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r w:rsidR="00356276">
        <w:rPr>
          <w:rFonts w:cs="Times New Roman"/>
          <w:szCs w:val="28"/>
        </w:rPr>
        <w:t>Калентьев</w:t>
      </w:r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694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694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694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694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r w:rsidR="00777E6B">
        <w:rPr>
          <w:lang w:val="en-US"/>
        </w:rPr>
        <w:t>ObjectARX</w:t>
      </w:r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 xml:space="preserve">это бесплатная кроссплатформенная платформа для разработчиков с открытым исходным кодом для создания множества различных типов </w:t>
      </w:r>
      <w:commentRangeStart w:id="5"/>
      <w:commentRangeStart w:id="6"/>
      <w:commentRangeStart w:id="7"/>
      <w:r w:rsidR="003669C7" w:rsidRPr="003669C7">
        <w:t>приложений</w:t>
      </w:r>
      <w:commentRangeEnd w:id="5"/>
      <w:r w:rsidR="008523FF">
        <w:rPr>
          <w:rStyle w:val="ab"/>
        </w:rPr>
        <w:commentReference w:id="5"/>
      </w:r>
      <w:commentRangeEnd w:id="6"/>
      <w:r w:rsidR="004A1553">
        <w:rPr>
          <w:rStyle w:val="ab"/>
        </w:rPr>
        <w:commentReference w:id="6"/>
      </w:r>
      <w:commentRangeEnd w:id="7"/>
      <w:r w:rsidR="004A1553">
        <w:rPr>
          <w:rStyle w:val="ab"/>
        </w:rPr>
        <w:commentReference w:id="7"/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ObjectARX</w:t>
      </w:r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>
        <w:rPr>
          <w:lang w:val="en-US"/>
        </w:rPr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2BFC8C4F" w:rsidR="00C7147C" w:rsidRDefault="00895610" w:rsidP="00E2362B">
      <w:pPr>
        <w:spacing w:after="0"/>
        <w:ind w:firstLine="708"/>
      </w:pPr>
      <w:r>
        <w:rPr>
          <w:lang w:val="en-US"/>
        </w:rPr>
        <w:t>Resharper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</w:t>
      </w:r>
      <w:r w:rsidR="00302062" w:rsidRPr="00302062">
        <w:t xml:space="preserve"> 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StyleCop</w:t>
      </w:r>
    </w:p>
    <w:p w14:paraId="2B019D9E" w14:textId="02FC4E29" w:rsidR="00D13DAF" w:rsidRDefault="007339D7" w:rsidP="00EE31B2">
      <w:pPr>
        <w:spacing w:after="0"/>
        <w:ind w:firstLine="708"/>
      </w:pPr>
      <w:r>
        <w:rPr>
          <w:lang w:val="en-US"/>
        </w:rPr>
        <w:t>StyleCop</w:t>
      </w:r>
      <w:r w:rsidRPr="00EE31B2">
        <w:t xml:space="preserve"> – </w:t>
      </w:r>
      <w:r w:rsidR="00EE31B2"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</w:t>
      </w:r>
      <w:r w:rsidR="00CD49BA">
        <w:rPr>
          <w:lang w:val="en-US"/>
        </w:rPr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8" w:name="_Toc153737315"/>
      <w:r w:rsidRPr="00486CBD">
        <w:lastRenderedPageBreak/>
        <w:t xml:space="preserve">4 </w:t>
      </w:r>
      <w:r>
        <w:t>НАЗНАЧЕНИЕ ПЛАГИНА</w:t>
      </w:r>
      <w:bookmarkEnd w:id="8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9" w:name="_Toc153737316"/>
      <w:r>
        <w:lastRenderedPageBreak/>
        <w:t>5 ОБЗОР АНАЛОГОВ</w:t>
      </w:r>
      <w:bookmarkEnd w:id="9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10" w:name="_Toc153737317"/>
      <w:r w:rsidRPr="00BF3409">
        <w:lastRenderedPageBreak/>
        <w:t>6</w:t>
      </w:r>
      <w:r w:rsidR="00DE4F5F">
        <w:t xml:space="preserve"> ОПИСАНИЕ РЕАЛИЗАЦИИ</w:t>
      </w:r>
      <w:bookmarkEnd w:id="10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maxValue, double minValue</w:t>
            </w:r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r>
              <w:t>Валидирует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r>
        <w:rPr>
          <w:lang w:val="en-US"/>
        </w:rPr>
        <w:t>ParameterType</w:t>
      </w:r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r>
        <w:rPr>
          <w:lang w:val="en-US"/>
        </w:rPr>
        <w:t>MainHeight</w:t>
      </w:r>
      <w:r w:rsidRPr="00FD6EAC">
        <w:t xml:space="preserve">, </w:t>
      </w:r>
      <w:r>
        <w:rPr>
          <w:lang w:val="en-US"/>
        </w:rPr>
        <w:t>NeckHeight</w:t>
      </w:r>
      <w:r w:rsidRPr="00FD6EAC">
        <w:t xml:space="preserve">, </w:t>
      </w:r>
      <w:r>
        <w:rPr>
          <w:lang w:val="en-US"/>
        </w:rPr>
        <w:t>NeckRadius</w:t>
      </w:r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BottleParameterType</w:t>
            </w:r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 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ValidateNeckHeight</w:t>
            </w:r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r>
              <w:t>Валидирует</w:t>
            </w:r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ValidateNeckRadius</w:t>
            </w:r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r>
              <w:t xml:space="preserve">Валидирует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r>
        <w:rPr>
          <w:lang w:val="en-US"/>
        </w:rPr>
        <w:t>SketchBuilder</w:t>
      </w:r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r>
        <w:rPr>
          <w:lang w:val="en-US"/>
        </w:rPr>
        <w:t>SketchBuilder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CreateCircle</w:t>
            </w:r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CreateRectangle</w:t>
            </w:r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 xml:space="preserve">idth, Parameter </w:t>
            </w:r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ength, Parameter mainHeight</w:t>
            </w:r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CC2F57">
              <w:rPr>
                <w:lang w:val="en-US"/>
              </w:rPr>
              <w:t>mainRadius, Parameter mainHeight</w:t>
            </w:r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neckHeight, Parameter neckRadius, Parameter</w:t>
            </w:r>
            <w:r w:rsidR="00140FB8">
              <w:rPr>
                <w:lang w:val="en-US"/>
              </w:rPr>
              <w:t xml:space="preserve"> mainHeight</w:t>
            </w:r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BuildNeck</w:t>
            </w:r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731A88">
              <w:rPr>
                <w:lang w:val="en-US"/>
              </w:rPr>
              <w:t xml:space="preserve">neckHeight, Parameter </w:t>
            </w:r>
            <w:r w:rsidR="00857D67">
              <w:rPr>
                <w:lang w:val="en-US"/>
              </w:rPr>
              <w:t>neckLength,</w:t>
            </w:r>
            <w:r w:rsidR="00AE37AB">
              <w:rPr>
                <w:lang w:val="en-US"/>
              </w:rPr>
              <w:t xml:space="preserve"> Parameter neckWidth, Parameter mainHeight</w:t>
            </w:r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neckLength, Parameter neckWidth, Parameter mainHeight</w:t>
            </w:r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r w:rsidR="0096257E">
              <w:rPr>
                <w:lang w:val="en-US"/>
              </w:rPr>
              <w:t xml:space="preserve">neckRadius, Parameter </w:t>
            </w:r>
            <w:r w:rsidR="00CD5B03">
              <w:rPr>
                <w:lang w:val="en-US"/>
              </w:rPr>
              <w:t>mainHeight</w:t>
            </w:r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r>
        <w:rPr>
          <w:lang w:val="en-US"/>
        </w:rPr>
        <w:t>MainForm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CheckOnErrors</w:t>
            </w:r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ClearForm</w:t>
            </w:r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OnTextChanged</w:t>
            </w:r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>Обработчик события ввода текста в текстбокс.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OpenApp</w:t>
            </w:r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Wrapper/Connector</w:t>
      </w:r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Удален метод OpenMainForm, так как логика в данном методе не является переиспользуемой</w:t>
      </w:r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В классе Connector больше не принимается объект Transaction, так как данный объект можно создать непосредственно при создании модели в классе Builder</w:t>
      </w:r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MainForm</w:t>
      </w:r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_transaction и соответствующее ему свойство Transaction,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gramStart"/>
      <w:r w:rsidRPr="00D05770">
        <w:rPr>
          <w:rFonts w:cs="Times New Roman"/>
          <w:szCs w:val="28"/>
        </w:rPr>
        <w:t>BuildModel(</w:t>
      </w:r>
      <w:proofErr w:type="gramEnd"/>
      <w:r w:rsidRPr="00D05770">
        <w:rPr>
          <w:rFonts w:cs="Times New Roman"/>
          <w:szCs w:val="28"/>
        </w:rPr>
        <w:t>Transaction),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gramStart"/>
      <w:r w:rsidRPr="00790AD7">
        <w:rPr>
          <w:rFonts w:cs="Times New Roman"/>
          <w:szCs w:val="28"/>
        </w:rPr>
        <w:t>CheckTextBoxType(</w:t>
      </w:r>
      <w:proofErr w:type="gramEnd"/>
      <w:r w:rsidRPr="00790AD7">
        <w:rPr>
          <w:rFonts w:cs="Times New Roman"/>
          <w:szCs w:val="28"/>
        </w:rPr>
        <w:t>TextBox), т.к. был найден более эффективный способ определения типа текстбокса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Parameters</w:t>
      </w:r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_parameters в _parameterDictionary,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>Добавлены авто-свойства IsMainCircle и IsNeckRectangle,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>Удалено свойство Parameters,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 метод SetValue</w:t>
      </w:r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>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Общий метод валидации зависимых параметров был разделен на несколько методов ValidateNeckHeight и ValidateNeckRadius, отдельно валидирующих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ParameterType/BottleParameterType</w:t>
      </w:r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Builder</w:t>
      </w:r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>Метод построения бутылки BuildBottle больше не принимает объект Transaction,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SketchBuilder</w:t>
      </w:r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CreateCircle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CreateRectangle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</w:t>
      </w:r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Добавлен метод ReturnToDefaultValue,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Свойства MinValue</w:t>
      </w:r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>и MaxValue были сделаны авто-свойствами, т.к. методах get и set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1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1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noProof/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2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2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3" w:name="_Toc153737320"/>
      <w:r>
        <w:t>8.1 Функциональное тестирование</w:t>
      </w:r>
      <w:bookmarkEnd w:id="13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rPr>
          <w:noProof/>
        </w:rPr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rPr>
          <w:noProof/>
        </w:rPr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rPr>
          <w:noProof/>
        </w:rPr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  <w:t xml:space="preserve">Успешный результат работы плагина с максимальными значениями параметров представлен на рисунках 8.12 – </w:t>
      </w:r>
      <w:proofErr w:type="gramStart"/>
      <w:r>
        <w:t>8..</w:t>
      </w:r>
      <w:proofErr w:type="gramEnd"/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4" w:name="_Toc153737321"/>
      <w:r>
        <w:lastRenderedPageBreak/>
        <w:t>8.2 Модульное тестирование</w:t>
      </w:r>
      <w:bookmarkEnd w:id="14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rPr>
          <w:noProof/>
        </w:rPr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MaxValueProperty</w:t>
            </w:r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r>
              <w:rPr>
                <w:lang w:val="en-US"/>
              </w:rPr>
              <w:t>MaxValue</w:t>
            </w:r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MinValueProperty</w:t>
            </w:r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r w:rsidR="00D56944">
              <w:rPr>
                <w:lang w:val="en-US"/>
              </w:rPr>
              <w:t>MinValue</w:t>
            </w:r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ReturnToDefaultValueTest</w:t>
            </w:r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r>
              <w:rPr>
                <w:lang w:val="en-US"/>
              </w:rPr>
              <w:t>ReturnToDefaultValue</w:t>
            </w:r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ValuePropertyFailureLess</w:t>
            </w:r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r>
              <w:rPr>
                <w:lang w:val="en-US"/>
              </w:rPr>
              <w:t>ValuePropertyFailureMore</w:t>
            </w:r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>Тест присваивания значения, большего, чем допустимое максимальное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ValuePropertySuccess</w:t>
            </w:r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BracketsOperatorLength</w:t>
            </w:r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BracketsOperatorMainHeight</w:t>
            </w:r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BracketsOperatorMainRadius</w:t>
            </w:r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радиуса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BracketsOperatorNeckHeight</w:t>
            </w:r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высоты горлышка.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BracketsOperatorNeckLength</w:t>
            </w:r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BracketsOperatorNeckRadius</w:t>
            </w:r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BracketsOperatorNeckWidth</w:t>
            </w:r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основной части.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r w:rsidR="00264669">
              <w:rPr>
                <w:lang w:val="en-US"/>
              </w:rPr>
              <w:t>IsMainCircle</w:t>
            </w:r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r>
              <w:rPr>
                <w:lang w:val="en-US"/>
              </w:rPr>
              <w:t>IsNeckRectangle</w:t>
            </w:r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SetValueFailureLength</w:t>
            </w:r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SetValueFailureMainRadius</w:t>
            </w:r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>провал, радиус основной части).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SetValueFailureNeckHeightOne</w:t>
            </w:r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SetValueFailureNeckHeightTwo</w:t>
            </w:r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SetValueFailureNeckRadiusOne</w:t>
            </w:r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>радиус горлышка, 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SetValueFailureNeckRadiusTwo</w:t>
            </w:r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r>
              <w:rPr>
                <w:lang w:val="en-US"/>
              </w:rPr>
              <w:t>SetValueFailureNeckRadiusThree</w:t>
            </w:r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r w:rsidR="00F70ADB">
              <w:rPr>
                <w:lang w:val="en-US"/>
              </w:rPr>
              <w:t>SetValue</w:t>
            </w:r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SetValueSuccessLength</w:t>
            </w:r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r w:rsidR="009117B9">
              <w:rPr>
                <w:lang w:val="en-US"/>
              </w:rPr>
              <w:t>SetValue</w:t>
            </w:r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r>
              <w:rPr>
                <w:lang w:val="en-US"/>
              </w:rPr>
              <w:t>SetValueSuccessMainHeight</w:t>
            </w:r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SetValueSuccessMainRadius</w:t>
            </w:r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r>
              <w:rPr>
                <w:lang w:val="en-US"/>
              </w:rPr>
              <w:t>SetValueSuccessNeckHeight</w:t>
            </w:r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SetValueSuccessNeckLength</w:t>
            </w:r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длина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r w:rsidR="004A201E">
              <w:rPr>
                <w:lang w:val="en-US"/>
              </w:rPr>
              <w:t>SetValue</w:t>
            </w:r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SetValueSuccessNeckWidth</w:t>
            </w:r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r>
              <w:rPr>
                <w:lang w:val="en-US"/>
              </w:rPr>
              <w:t>SetValueSuccessWidth</w:t>
            </w:r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5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5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0E38DD09" w:rsidR="007C3C7A" w:rsidRDefault="00D233F3" w:rsidP="008523FF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5ED0E047" w14:textId="12D7ADFA" w:rsidR="00F0569F" w:rsidRDefault="007C3C7A" w:rsidP="007C3C7A">
      <w:pPr>
        <w:spacing w:line="259" w:lineRule="auto"/>
        <w:jc w:val="left"/>
      </w:pPr>
      <w:r>
        <w:br w:type="page"/>
      </w:r>
    </w:p>
    <w:p w14:paraId="2C69E5BD" w14:textId="53B90650" w:rsidR="009F7BDD" w:rsidRDefault="00403A32" w:rsidP="009F7BDD">
      <w:pPr>
        <w:spacing w:after="0"/>
      </w:pPr>
      <w:r w:rsidRPr="00403A32">
        <w:lastRenderedPageBreak/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8523FF" w:rsidP="0047325F">
      <w:pPr>
        <w:spacing w:after="0"/>
      </w:pPr>
      <w:commentRangeStart w:id="16"/>
      <w:commentRangeStart w:id="17"/>
      <w:commentRangeEnd w:id="16"/>
      <w:r>
        <w:rPr>
          <w:rStyle w:val="ab"/>
        </w:rPr>
        <w:lastRenderedPageBreak/>
        <w:commentReference w:id="16"/>
      </w:r>
      <w:commentRangeEnd w:id="17"/>
      <w:r w:rsidR="0036407D">
        <w:rPr>
          <w:rStyle w:val="ab"/>
        </w:rPr>
        <w:commentReference w:id="17"/>
      </w:r>
      <w:r w:rsidR="0036407D" w:rsidRPr="0036407D">
        <w:rPr>
          <w:noProof/>
          <w14:ligatures w14:val="standardContextual"/>
        </w:rPr>
        <w:t xml:space="preserve"> </w:t>
      </w:r>
      <w:r w:rsidR="0036407D" w:rsidRPr="0036407D"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>, из-за чего даже при значительных количествах 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8" w:name="_Toc153737323"/>
      <w:r>
        <w:lastRenderedPageBreak/>
        <w:t>Заключение</w:t>
      </w:r>
      <w:bookmarkEnd w:id="18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 xml:space="preserve">бутылок </w:t>
      </w:r>
      <w:commentRangeStart w:id="19"/>
      <w:commentRangeStart w:id="20"/>
      <w:r w:rsidR="000962D0">
        <w:t>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  <w:commentRangeEnd w:id="19"/>
      <w:r w:rsidR="008523FF">
        <w:rPr>
          <w:rStyle w:val="ab"/>
        </w:rPr>
        <w:commentReference w:id="19"/>
      </w:r>
      <w:commentRangeEnd w:id="20"/>
      <w:r w:rsidR="00BD64D1">
        <w:rPr>
          <w:rStyle w:val="ab"/>
        </w:rPr>
        <w:commentReference w:id="20"/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21" w:name="_Toc153737324"/>
      <w:r>
        <w:lastRenderedPageBreak/>
        <w:t>Список использованных источников</w:t>
      </w:r>
      <w:bookmarkEnd w:id="21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8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9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r>
        <w:rPr>
          <w:lang w:val="en-US"/>
        </w:rPr>
        <w:t>ObjectARX</w:t>
      </w:r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40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41" w:tgtFrame="_blank" w:history="1">
        <w:r w:rsidR="002B20F2">
          <w:rPr>
            <w:rStyle w:val="a9"/>
          </w:rPr>
          <w:t>https://www.jetbrains.com/ru-ru/resharper/</w:t>
        </w:r>
      </w:hyperlink>
      <w:r w:rsidR="002B20F2">
        <w:rPr>
          <w:lang w:val="en-US"/>
        </w:rPr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StyleCop</w:t>
      </w:r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42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03608F65" w14:textId="3CBA5BAA" w:rsidR="00212FC4" w:rsidRPr="00212FC4" w:rsidRDefault="00694009" w:rsidP="00212FC4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43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Kalentyev Alexey" w:date="2023-12-18T12:12:00Z" w:initials="KA">
    <w:p w14:paraId="11C9DE3E" w14:textId="60B68B46" w:rsidR="008523FF" w:rsidRDefault="008523FF">
      <w:pPr>
        <w:pStyle w:val="ac"/>
      </w:pPr>
      <w:r>
        <w:rPr>
          <w:rStyle w:val="ab"/>
        </w:rPr>
        <w:annotationRef/>
      </w:r>
      <w:r>
        <w:t>Тут и ниже – используемыеы источники.</w:t>
      </w:r>
    </w:p>
  </w:comment>
  <w:comment w:id="6" w:author="Влад Сеченов" w:date="2023-12-18T12:28:00Z" w:initials="ВС">
    <w:p w14:paraId="7FC414DD" w14:textId="7EC9DC3E" w:rsidR="004A1553" w:rsidRDefault="004A1553">
      <w:pPr>
        <w:pStyle w:val="ac"/>
      </w:pPr>
      <w:r>
        <w:rPr>
          <w:rStyle w:val="ab"/>
        </w:rPr>
        <w:annotationRef/>
      </w:r>
      <w:r>
        <w:t>Добавлены ссылки на источники</w:t>
      </w:r>
    </w:p>
  </w:comment>
  <w:comment w:id="7" w:author="Влад Сеченов" w:date="2023-12-18T12:29:00Z" w:initials="ВС">
    <w:p w14:paraId="211321D3" w14:textId="76055352" w:rsidR="004A1553" w:rsidRDefault="004A1553">
      <w:pPr>
        <w:pStyle w:val="ac"/>
      </w:pPr>
      <w:r>
        <w:rPr>
          <w:rStyle w:val="ab"/>
        </w:rPr>
        <w:annotationRef/>
      </w:r>
    </w:p>
  </w:comment>
  <w:comment w:id="16" w:author="Kalentyev Alexey" w:date="2023-12-18T12:17:00Z" w:initials="KA">
    <w:p w14:paraId="0AB065DD" w14:textId="0D913478" w:rsidR="008523FF" w:rsidRDefault="008523FF">
      <w:pPr>
        <w:pStyle w:val="ac"/>
      </w:pPr>
      <w:r>
        <w:rPr>
          <w:rStyle w:val="ab"/>
        </w:rPr>
        <w:annotationRef/>
      </w:r>
      <w:r>
        <w:t>Переделать</w:t>
      </w:r>
    </w:p>
  </w:comment>
  <w:comment w:id="17" w:author="Влад Сеченов" w:date="2023-12-18T13:19:00Z" w:initials="ВС">
    <w:p w14:paraId="568FB416" w14:textId="57521A4D" w:rsidR="00656375" w:rsidRDefault="0036407D">
      <w:pPr>
        <w:pStyle w:val="ac"/>
      </w:pPr>
      <w:r>
        <w:rPr>
          <w:rStyle w:val="ab"/>
        </w:rPr>
        <w:annotationRef/>
      </w:r>
      <w:r>
        <w:t>График исправлен</w:t>
      </w:r>
    </w:p>
  </w:comment>
  <w:comment w:id="19" w:author="Kalentyev Alexey" w:date="2023-12-18T12:18:00Z" w:initials="KA">
    <w:p w14:paraId="1913AD96" w14:textId="7C6EA352" w:rsidR="008523FF" w:rsidRDefault="008523FF">
      <w:pPr>
        <w:pStyle w:val="ac"/>
      </w:pPr>
      <w:r>
        <w:rPr>
          <w:rStyle w:val="ab"/>
        </w:rPr>
        <w:annotationRef/>
      </w:r>
      <w:r>
        <w:t>Где?</w:t>
      </w:r>
    </w:p>
  </w:comment>
  <w:comment w:id="20" w:author="Влад Сеченов" w:date="2023-12-18T13:31:00Z" w:initials="ВС">
    <w:p w14:paraId="7C327C43" w14:textId="227B1C9B" w:rsidR="00BD64D1" w:rsidRDefault="00BD64D1">
      <w:pPr>
        <w:pStyle w:val="ac"/>
      </w:pPr>
      <w:r>
        <w:rPr>
          <w:rStyle w:val="ab"/>
        </w:rPr>
        <w:annotationRef/>
      </w:r>
      <w:r>
        <w:t>Добавлено название САПР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C9DE3E" w15:done="0"/>
  <w15:commentEx w15:paraId="7FC414DD" w15:paraIdParent="11C9DE3E" w15:done="0"/>
  <w15:commentEx w15:paraId="211321D3" w15:paraIdParent="11C9DE3E" w15:done="0"/>
  <w15:commentEx w15:paraId="0AB065DD" w15:done="0"/>
  <w15:commentEx w15:paraId="568FB416" w15:paraIdParent="0AB065DD" w15:done="0"/>
  <w15:commentEx w15:paraId="1913AD96" w15:done="0"/>
  <w15:commentEx w15:paraId="7C327C43" w15:paraIdParent="1913A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CBE09A" w16cex:dateUtc="2023-12-18T05:12:00Z"/>
  <w16cex:commentExtensible w16cex:durableId="292AB97D" w16cex:dateUtc="2023-12-18T05:28:00Z"/>
  <w16cex:commentExtensible w16cex:durableId="292AB98D" w16cex:dateUtc="2023-12-18T05:29:00Z"/>
  <w16cex:commentExtensible w16cex:durableId="6F43524F" w16cex:dateUtc="2023-12-18T05:17:00Z"/>
  <w16cex:commentExtensible w16cex:durableId="292AC55D" w16cex:dateUtc="2023-12-18T06:19:00Z"/>
  <w16cex:commentExtensible w16cex:durableId="3220FA05" w16cex:dateUtc="2023-12-18T05:18:00Z"/>
  <w16cex:commentExtensible w16cex:durableId="292AC840" w16cex:dateUtc="2023-12-18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C9DE3E" w16cid:durableId="6BCBE09A"/>
  <w16cid:commentId w16cid:paraId="7FC414DD" w16cid:durableId="292AB97D"/>
  <w16cid:commentId w16cid:paraId="211321D3" w16cid:durableId="292AB98D"/>
  <w16cid:commentId w16cid:paraId="0AB065DD" w16cid:durableId="6F43524F"/>
  <w16cid:commentId w16cid:paraId="568FB416" w16cid:durableId="292AC55D"/>
  <w16cid:commentId w16cid:paraId="1913AD96" w16cid:durableId="3220FA05"/>
  <w16cid:commentId w16cid:paraId="7C327C43" w16cid:durableId="292AC8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46FA" w14:textId="77777777" w:rsidR="00AA7B67" w:rsidRDefault="00AA7B67" w:rsidP="00F67736">
      <w:pPr>
        <w:spacing w:after="0" w:line="240" w:lineRule="auto"/>
      </w:pPr>
      <w:r>
        <w:separator/>
      </w:r>
    </w:p>
  </w:endnote>
  <w:endnote w:type="continuationSeparator" w:id="0">
    <w:p w14:paraId="3251C565" w14:textId="77777777" w:rsidR="00AA7B67" w:rsidRDefault="00AA7B67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5279" w14:textId="77777777" w:rsidR="00AA7B67" w:rsidRDefault="00AA7B67" w:rsidP="00F67736">
      <w:pPr>
        <w:spacing w:after="0" w:line="240" w:lineRule="auto"/>
      </w:pPr>
      <w:r>
        <w:separator/>
      </w:r>
    </w:p>
  </w:footnote>
  <w:footnote w:type="continuationSeparator" w:id="0">
    <w:p w14:paraId="25F35D94" w14:textId="77777777" w:rsidR="00AA7B67" w:rsidRDefault="00AA7B67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92E03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20F2"/>
    <w:rsid w:val="002B5976"/>
    <w:rsid w:val="002C05C7"/>
    <w:rsid w:val="002C3C36"/>
    <w:rsid w:val="002D0D28"/>
    <w:rsid w:val="002D2537"/>
    <w:rsid w:val="002E5CCE"/>
    <w:rsid w:val="002E7BCC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407D"/>
    <w:rsid w:val="003669C7"/>
    <w:rsid w:val="003700DD"/>
    <w:rsid w:val="003839E5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3A32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5C8"/>
    <w:rsid w:val="00465F3C"/>
    <w:rsid w:val="00466513"/>
    <w:rsid w:val="0046791D"/>
    <w:rsid w:val="0047325F"/>
    <w:rsid w:val="00476587"/>
    <w:rsid w:val="004866D8"/>
    <w:rsid w:val="00486CBD"/>
    <w:rsid w:val="00493849"/>
    <w:rsid w:val="004A1553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5637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4009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76D1E"/>
    <w:rsid w:val="009837F8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vk.com/away.php?to=https%3A%2F%2Fmarketplace.visualstudio.com%2Fitems%3FitemName%3DChrisDahlberg.StyleCop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help.autodesk.com/view/OARX/2024/RUS/?guid=GUID-3FF72BD0-9863-4739-8A45-B14AF1B67B06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vk.com/away.php?to=http%3A%2F%2Fwww.nxtrender.com%2Fwk%2FWine_Bottle.htm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vk.com/away.php?to=https%3A%2F%2Fdotnet.microsoft.com%2Fen-us%2Flearn%2Fdotnet%2Fwhat-is-dotnet&amp;cc_key=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vk.com/away.php?to=https%3A%2F%2Fwww.jetbrains.com%2Fru-ru%2Fresharper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36</Pages>
  <Words>3928</Words>
  <Characters>22393</Characters>
  <Application>Microsoft Office Word</Application>
  <DocSecurity>0</DocSecurity>
  <Lines>186</Lines>
  <Paragraphs>52</Paragraphs>
  <ScaleCrop>false</ScaleCrop>
  <Company/>
  <LinksUpToDate>false</LinksUpToDate>
  <CharactersWithSpaces>26269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563</cp:revision>
  <dcterms:created xsi:type="dcterms:W3CDTF">2023-12-16T15:58:00Z</dcterms:created>
  <dcterms:modified xsi:type="dcterms:W3CDTF">2023-12-18T06:46:00Z</dcterms:modified>
</cp:coreProperties>
</file>