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2BFC8C4F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</w:t>
      </w:r>
      <w:r w:rsidR="00302062" w:rsidRPr="00302062">
        <w:t xml:space="preserve"> 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02FC4E29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noProof/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rPr>
          <w:noProof/>
        </w:rPr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rPr>
          <w:noProof/>
        </w:rPr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rPr>
          <w:noProof/>
        </w:rPr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  <w:t xml:space="preserve">Успешный результат работы плагина с максимальными значениями параметров представлен на рисунках 8.12 – </w:t>
      </w:r>
      <w:proofErr w:type="gramStart"/>
      <w:r>
        <w:t>8..</w:t>
      </w:r>
      <w:proofErr w:type="gramEnd"/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rPr>
          <w:noProof/>
        </w:rPr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MaxValueProperty</w:t>
            </w:r>
            <w:proofErr w:type="spellEnd"/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MinValueProperty</w:t>
            </w:r>
            <w:proofErr w:type="spellEnd"/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proofErr w:type="spellStart"/>
            <w:r w:rsidR="00D56944">
              <w:rPr>
                <w:lang w:val="en-US"/>
              </w:rPr>
              <w:t>MinValue</w:t>
            </w:r>
            <w:proofErr w:type="spellEnd"/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ReturnToDefaultValueTest</w:t>
            </w:r>
            <w:proofErr w:type="spellEnd"/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ReturnToDefaultValue</w:t>
            </w:r>
            <w:proofErr w:type="spellEnd"/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ValuePropertyFailureLess</w:t>
            </w:r>
            <w:proofErr w:type="spellEnd"/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proofErr w:type="spellStart"/>
            <w:r>
              <w:rPr>
                <w:lang w:val="en-US"/>
              </w:rPr>
              <w:t>ValuePropertyFailureMore</w:t>
            </w:r>
            <w:proofErr w:type="spellEnd"/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>Тест присваивания значения, большего, чем допустимое максимальное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ValuePropertySuccess</w:t>
            </w:r>
            <w:proofErr w:type="spellEnd"/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BracketsOperatorLength</w:t>
            </w:r>
            <w:proofErr w:type="spellEnd"/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BracketsOperatorMainHeight</w:t>
            </w:r>
            <w:proofErr w:type="spellEnd"/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BracketsOperatorMainRadius</w:t>
            </w:r>
            <w:proofErr w:type="spellEnd"/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радиуса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BracketsOperatorNeckHeight</w:t>
            </w:r>
            <w:proofErr w:type="spellEnd"/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высоты горлышка.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BracketsOperatorNeckLength</w:t>
            </w:r>
            <w:proofErr w:type="spellEnd"/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BracketsOperatorNeckRadius</w:t>
            </w:r>
            <w:proofErr w:type="spellEnd"/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BracketsOperatorNeckWidth</w:t>
            </w:r>
            <w:proofErr w:type="spellEnd"/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основной части.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 w:rsidR="00264669">
              <w:rPr>
                <w:lang w:val="en-US"/>
              </w:rPr>
              <w:t>IsMainCircle</w:t>
            </w:r>
            <w:proofErr w:type="spellEnd"/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IsNeckRectangle</w:t>
            </w:r>
            <w:proofErr w:type="spellEnd"/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SetValueFailureLength</w:t>
            </w:r>
            <w:proofErr w:type="spellEnd"/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  <w:proofErr w:type="spellEnd"/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SetValueFailureMainRadius</w:t>
            </w:r>
            <w:proofErr w:type="spellEnd"/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>провал, радиус основной части).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SetValueFailureNeckHeightOne</w:t>
            </w:r>
            <w:proofErr w:type="spellEnd"/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SetValueFailureNeckHeightTwo</w:t>
            </w:r>
            <w:proofErr w:type="spellEnd"/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SetValueFailureNeckRadiusOne</w:t>
            </w:r>
            <w:proofErr w:type="spellEnd"/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>радиус горлышка, 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SetValueFailureNeckRadiusTwo</w:t>
            </w:r>
            <w:proofErr w:type="spellEnd"/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proofErr w:type="spellStart"/>
            <w:r>
              <w:rPr>
                <w:lang w:val="en-US"/>
              </w:rPr>
              <w:t>SetValueFailureNeckRadiusThree</w:t>
            </w:r>
            <w:proofErr w:type="spellEnd"/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  <w:proofErr w:type="spellEnd"/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  <w:proofErr w:type="spellEnd"/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F70ADB">
              <w:rPr>
                <w:lang w:val="en-US"/>
              </w:rPr>
              <w:t>SetValue</w:t>
            </w:r>
            <w:proofErr w:type="spellEnd"/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SetValueSuccessLength</w:t>
            </w:r>
            <w:proofErr w:type="spellEnd"/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9117B9">
              <w:rPr>
                <w:lang w:val="en-US"/>
              </w:rPr>
              <w:t>SetValue</w:t>
            </w:r>
            <w:proofErr w:type="spellEnd"/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SetValueSuccessMainHeight</w:t>
            </w:r>
            <w:proofErr w:type="spellEnd"/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SetValueSuccessMainRadius</w:t>
            </w:r>
            <w:proofErr w:type="spellEnd"/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SetValueSuccessNeckHeight</w:t>
            </w:r>
            <w:proofErr w:type="spellEnd"/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>успех,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SetValueSuccessNeckLength</w:t>
            </w:r>
            <w:proofErr w:type="spellEnd"/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>успех, длина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4A201E">
              <w:rPr>
                <w:lang w:val="en-US"/>
              </w:rPr>
              <w:t>SetValue</w:t>
            </w:r>
            <w:proofErr w:type="spellEnd"/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SetValueSuccessNeckWidth</w:t>
            </w:r>
            <w:proofErr w:type="spellEnd"/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>успех, ширина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SetValueSuccessWidth</w:t>
            </w:r>
            <w:proofErr w:type="spellEnd"/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2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0E38DD09" w:rsidR="007C3C7A" w:rsidRDefault="00D233F3" w:rsidP="008523FF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5ED0E047" w14:textId="12D7ADFA" w:rsidR="00F0569F" w:rsidRDefault="007C3C7A" w:rsidP="007C3C7A">
      <w:pPr>
        <w:spacing w:line="259" w:lineRule="auto"/>
        <w:jc w:val="left"/>
      </w:pPr>
      <w:r>
        <w:br w:type="page"/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lastRenderedPageBreak/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lastRenderedPageBreak/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>, из-за чего даже при значительных количествах 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4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5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36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7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8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03608F65" w14:textId="3CBA5BAA" w:rsidR="00212FC4" w:rsidRPr="00212FC4" w:rsidRDefault="00694009" w:rsidP="00212FC4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39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B8E1" w14:textId="77777777" w:rsidR="00461059" w:rsidRDefault="00461059" w:rsidP="00F67736">
      <w:pPr>
        <w:spacing w:after="0" w:line="240" w:lineRule="auto"/>
      </w:pPr>
      <w:r>
        <w:separator/>
      </w:r>
    </w:p>
  </w:endnote>
  <w:endnote w:type="continuationSeparator" w:id="0">
    <w:p w14:paraId="7B0C7877" w14:textId="77777777" w:rsidR="00461059" w:rsidRDefault="00461059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CF17" w14:textId="77777777" w:rsidR="00461059" w:rsidRDefault="00461059" w:rsidP="00F67736">
      <w:pPr>
        <w:spacing w:after="0" w:line="240" w:lineRule="auto"/>
      </w:pPr>
      <w:r>
        <w:separator/>
      </w:r>
    </w:p>
  </w:footnote>
  <w:footnote w:type="continuationSeparator" w:id="0">
    <w:p w14:paraId="2C194018" w14:textId="77777777" w:rsidR="00461059" w:rsidRDefault="00461059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0430">
    <w:abstractNumId w:val="3"/>
  </w:num>
  <w:num w:numId="2" w16cid:durableId="516501120">
    <w:abstractNumId w:val="2"/>
  </w:num>
  <w:num w:numId="3" w16cid:durableId="1960720546">
    <w:abstractNumId w:val="11"/>
  </w:num>
  <w:num w:numId="4" w16cid:durableId="1420250921">
    <w:abstractNumId w:val="6"/>
  </w:num>
  <w:num w:numId="5" w16cid:durableId="699016370">
    <w:abstractNumId w:val="7"/>
  </w:num>
  <w:num w:numId="6" w16cid:durableId="994575303">
    <w:abstractNumId w:val="15"/>
  </w:num>
  <w:num w:numId="7" w16cid:durableId="1804805401">
    <w:abstractNumId w:val="10"/>
  </w:num>
  <w:num w:numId="8" w16cid:durableId="484198428">
    <w:abstractNumId w:val="17"/>
  </w:num>
  <w:num w:numId="9" w16cid:durableId="1070734970">
    <w:abstractNumId w:val="12"/>
  </w:num>
  <w:num w:numId="10" w16cid:durableId="1826433330">
    <w:abstractNumId w:val="14"/>
  </w:num>
  <w:num w:numId="11" w16cid:durableId="1520894183">
    <w:abstractNumId w:val="8"/>
  </w:num>
  <w:num w:numId="12" w16cid:durableId="1894388792">
    <w:abstractNumId w:val="16"/>
  </w:num>
  <w:num w:numId="13" w16cid:durableId="2142072692">
    <w:abstractNumId w:val="9"/>
  </w:num>
  <w:num w:numId="14" w16cid:durableId="1521969850">
    <w:abstractNumId w:val="5"/>
  </w:num>
  <w:num w:numId="15" w16cid:durableId="499547405">
    <w:abstractNumId w:val="0"/>
  </w:num>
  <w:num w:numId="16" w16cid:durableId="123621466">
    <w:abstractNumId w:val="4"/>
  </w:num>
  <w:num w:numId="17" w16cid:durableId="335115130">
    <w:abstractNumId w:val="13"/>
  </w:num>
  <w:num w:numId="18" w16cid:durableId="148531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92E03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20F2"/>
    <w:rsid w:val="002B5976"/>
    <w:rsid w:val="002C05C7"/>
    <w:rsid w:val="002C3C36"/>
    <w:rsid w:val="002D0D28"/>
    <w:rsid w:val="002D2537"/>
    <w:rsid w:val="002E5CCE"/>
    <w:rsid w:val="002E7BCC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407D"/>
    <w:rsid w:val="003669C7"/>
    <w:rsid w:val="003700DD"/>
    <w:rsid w:val="003839E5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3A32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059"/>
    <w:rsid w:val="004615C8"/>
    <w:rsid w:val="00465F3C"/>
    <w:rsid w:val="00466513"/>
    <w:rsid w:val="0046791D"/>
    <w:rsid w:val="0047325F"/>
    <w:rsid w:val="00476587"/>
    <w:rsid w:val="004866D8"/>
    <w:rsid w:val="00486CBD"/>
    <w:rsid w:val="00493849"/>
    <w:rsid w:val="004A1553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5637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4009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76D1E"/>
    <w:rsid w:val="009837F8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vk.com/away.php?to=http%3A%2F%2Fwww.nxtrender.com%2Fwk%2FWine_Bottle.htm&amp;cc_key=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vk.com/away.php?to=https%3A%2F%2Fdotnet.microsoft.com%2Fen-us%2Flearn%2Fdotnet%2Fwhat-is-dotnet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vk.com/away.php?to=https%3A%2F%2Fmarketplace.visualstudio.com%2Fitems%3FitemName%3DChrisDahlberg.StyleCop&amp;cc_key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vk.com/away.php?to=https%3A%2F%2Fwww.jetbrains.com%2Fru-ru%2Fresharper%2F&amp;cc_key=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autodesk.com/view/OARX/2024/RUS/?guid=GUID-3FF72BD0-9863-4739-8A45-B14AF1B67B0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learn.microsoft.com%2Fru-ru%2Fdotnet%2Fdesktop%2Fwinforms%2Foverview%2F%3Fview%3Dnetdesktop-8.0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36</Pages>
  <Words>3924</Words>
  <Characters>22370</Characters>
  <Application>Microsoft Office Word</Application>
  <DocSecurity>0</DocSecurity>
  <Lines>186</Lines>
  <Paragraphs>52</Paragraphs>
  <ScaleCrop>false</ScaleCrop>
  <Company/>
  <LinksUpToDate>false</LinksUpToDate>
  <CharactersWithSpaces>26242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564</cp:revision>
  <dcterms:created xsi:type="dcterms:W3CDTF">2023-12-16T15:58:00Z</dcterms:created>
  <dcterms:modified xsi:type="dcterms:W3CDTF">2023-12-18T06:56:00Z</dcterms:modified>
</cp:coreProperties>
</file>