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proofErr w:type="gramStart"/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  <w:proofErr w:type="gramEnd"/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>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lastRenderedPageBreak/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7BE07AE9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commentRangeEnd w:id="10"/>
      <w:r w:rsidR="0094210F">
        <w:rPr>
          <w:rStyle w:val="ab"/>
        </w:rPr>
        <w:commentReference w:id="10"/>
      </w:r>
      <w:commentRangeEnd w:id="11"/>
      <w:r w:rsidR="007F0CF3">
        <w:rPr>
          <w:rStyle w:val="ab"/>
        </w:rPr>
        <w:commentReference w:id="11"/>
      </w:r>
      <w:r w:rsidR="005B507C" w:rsidRPr="005B507C">
        <w:rPr>
          <w:noProof/>
          <w14:ligatures w14:val="standardContextual"/>
        </w:rPr>
        <w:t xml:space="preserve"> </w:t>
      </w:r>
      <w:r w:rsidR="00AC720C">
        <w:rPr>
          <w:noProof/>
        </w:rPr>
        <w:drawing>
          <wp:inline distT="0" distB="0" distL="0" distR="0" wp14:anchorId="3DDFE28B" wp14:editId="13C728AD">
            <wp:extent cx="5940425" cy="3870325"/>
            <wp:effectExtent l="0" t="0" r="3175" b="0"/>
            <wp:docPr id="8992299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lastRenderedPageBreak/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</w:t>
            </w:r>
            <w:r>
              <w:rPr>
                <w:lang w:eastAsia="en-US"/>
              </w:rPr>
              <w:t xml:space="preserve">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</w:t>
            </w:r>
            <w:r>
              <w:rPr>
                <w:lang w:eastAsia="en-US"/>
              </w:rPr>
              <w:t>минимальное</w:t>
            </w:r>
            <w:r>
              <w:rPr>
                <w:lang w:eastAsia="en-US"/>
              </w:rPr>
              <w:t xml:space="preserve"> значение, которое может принимать параметр</w:t>
            </w:r>
            <w:r>
              <w:rPr>
                <w:lang w:eastAsia="en-US"/>
              </w:rPr>
              <w:t>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F33287">
              <w:rPr>
                <w:lang w:val="en-US" w:eastAsia="en-US"/>
              </w:rPr>
              <w:t>maxValue</w:t>
            </w:r>
            <w:proofErr w:type="spellEnd"/>
            <w:r w:rsidR="00F33287">
              <w:rPr>
                <w:lang w:val="en-US" w:eastAsia="en-US"/>
              </w:rPr>
              <w:t xml:space="preserve">, double </w:t>
            </w:r>
            <w:proofErr w:type="spellStart"/>
            <w:r w:rsidR="00F33287">
              <w:rPr>
                <w:lang w:val="en-US" w:eastAsia="en-US"/>
              </w:rPr>
              <w:t>minValue</w:t>
            </w:r>
            <w:proofErr w:type="spellEnd"/>
            <w:r w:rsidR="00F33287">
              <w:rPr>
                <w:lang w:val="en-US" w:eastAsia="en-US"/>
              </w:rPr>
              <w:t>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Default="00EB40B8" w:rsidP="00850B77">
      <w:pPr>
        <w:spacing w:after="160" w:line="360" w:lineRule="auto"/>
        <w:ind w:firstLine="0"/>
        <w:contextualSpacing w:val="0"/>
        <w:rPr>
          <w:lang w:val="en-US"/>
        </w:rPr>
      </w:pPr>
      <w:r>
        <w:rPr>
          <w:lang w:val="en-US"/>
        </w:rPr>
        <w:tab/>
      </w: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proofErr w:type="spellStart"/>
      <w:r w:rsidR="00A93D7F">
        <w:rPr>
          <w:lang w:val="en-US"/>
        </w:rPr>
        <w:t>ParameterType</w:t>
      </w:r>
      <w:proofErr w:type="spellEnd"/>
      <w:r w:rsidR="00A93D7F">
        <w:rPr>
          <w:lang w:val="en-US"/>
        </w:rPr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 xml:space="preserve">Length, Width, </w:t>
      </w:r>
      <w:proofErr w:type="spellStart"/>
      <w:r w:rsidR="00357944">
        <w:rPr>
          <w:lang w:val="en-US"/>
        </w:rPr>
        <w:t>MainHeight</w:t>
      </w:r>
      <w:proofErr w:type="spellEnd"/>
      <w:r w:rsidR="00357944">
        <w:rPr>
          <w:lang w:val="en-US"/>
        </w:rPr>
        <w:t xml:space="preserve">, </w:t>
      </w:r>
      <w:proofErr w:type="spellStart"/>
      <w:r w:rsidR="00357944">
        <w:rPr>
          <w:lang w:val="en-US"/>
        </w:rPr>
        <w:t>NeckHeight</w:t>
      </w:r>
      <w:proofErr w:type="spellEnd"/>
      <w:r w:rsidR="00357944">
        <w:rPr>
          <w:lang w:val="en-US"/>
        </w:rPr>
        <w:t xml:space="preserve">, </w:t>
      </w:r>
      <w:proofErr w:type="spellStart"/>
      <w:r w:rsidR="00357944">
        <w:rPr>
          <w:lang w:val="en-US"/>
        </w:rPr>
        <w:t>NeckRadius</w:t>
      </w:r>
      <w:proofErr w:type="spellEnd"/>
      <w:r w:rsidR="00357944">
        <w:rPr>
          <w:lang w:val="en-US"/>
        </w:rPr>
        <w:t>.</w:t>
      </w:r>
    </w:p>
    <w:p w14:paraId="22AFE33F" w14:textId="658A7407" w:rsidR="0043637E" w:rsidRDefault="0043637E" w:rsidP="00850B77">
      <w:pPr>
        <w:spacing w:after="160" w:line="360" w:lineRule="auto"/>
        <w:ind w:firstLine="0"/>
        <w:contextualSpacing w:val="0"/>
      </w:pPr>
      <w:r>
        <w:rPr>
          <w:lang w:val="en-US"/>
        </w:rPr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</w:t>
      </w:r>
      <w:r>
        <w:rPr>
          <w:szCs w:val="28"/>
          <w:lang w:val="en-US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</w:t>
            </w: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  <w:r>
              <w:rPr>
                <w:lang w:val="en-US" w:eastAsia="en-US"/>
              </w:rPr>
              <w:t>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lastRenderedPageBreak/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ValidateDependentParameters</w:t>
            </w:r>
            <w:proofErr w:type="spellEnd"/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Валидирует</w:t>
            </w:r>
            <w:proofErr w:type="spellEnd"/>
            <w:r>
              <w:rPr>
                <w:lang w:eastAsia="en-US"/>
              </w:rPr>
              <w:t xml:space="preserve">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6B095017" w14:textId="3D39D7F3" w:rsidR="00020610" w:rsidRDefault="00917726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>Таблица 3.5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7182BAA2" w:rsidR="00B52B9E" w:rsidRDefault="00B52B9E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5FDA86F4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6649B615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5805D3BC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67FA3515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381504FD" w14:textId="77777777" w:rsidR="00FE3A3A" w:rsidRDefault="00FE3A3A" w:rsidP="0037775A">
      <w:pPr>
        <w:spacing w:after="160" w:line="360" w:lineRule="auto"/>
        <w:ind w:firstLine="0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lastRenderedPageBreak/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BuildMainPart</w:t>
            </w:r>
            <w:proofErr w:type="spellEnd"/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proofErr w:type="spellStart"/>
            <w:r w:rsidR="00FE3A3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</w:t>
            </w:r>
            <w:proofErr w:type="spellStart"/>
            <w:r w:rsidR="0078761F">
              <w:rPr>
                <w:lang w:val="en-US" w:eastAsia="en-US"/>
              </w:rPr>
              <w:t>neckHeight</w:t>
            </w:r>
            <w:proofErr w:type="spellEnd"/>
            <w:r w:rsidR="0078761F">
              <w:rPr>
                <w:lang w:val="en-US" w:eastAsia="en-US"/>
              </w:rPr>
              <w:t xml:space="preserve">, Parameter </w:t>
            </w:r>
            <w:proofErr w:type="spellStart"/>
            <w:r w:rsidR="0078761F">
              <w:rPr>
                <w:lang w:val="en-US" w:eastAsia="en-US"/>
              </w:rPr>
              <w:t>neckRadius</w:t>
            </w:r>
            <w:proofErr w:type="spellEnd"/>
            <w:r w:rsidR="0078761F">
              <w:rPr>
                <w:lang w:val="en-US" w:eastAsia="en-US"/>
              </w:rPr>
              <w:t xml:space="preserve">, Parameter width, Parameter length, Parameter </w:t>
            </w:r>
            <w:proofErr w:type="spellStart"/>
            <w:r w:rsidR="00855D9A">
              <w:rPr>
                <w:lang w:val="en-US" w:eastAsia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BuildBottle</w:t>
            </w:r>
            <w:proofErr w:type="spellEnd"/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Parameters </w:t>
            </w:r>
            <w:proofErr w:type="spellStart"/>
            <w:r>
              <w:rPr>
                <w:lang w:val="en-US" w:eastAsia="en-US"/>
              </w:rPr>
              <w:t>parameters</w:t>
            </w:r>
            <w:proofErr w:type="spellEnd"/>
            <w:r>
              <w:rPr>
                <w:lang w:val="en-US" w:eastAsia="en-US"/>
              </w:rPr>
              <w:t xml:space="preserve">, 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>Таблица 3.</w:t>
      </w:r>
      <w:r>
        <w:t>7</w:t>
      </w:r>
      <w:r>
        <w:t xml:space="preserve">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proofErr w:type="spellStart"/>
      <w:r>
        <w:rPr>
          <w:szCs w:val="28"/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 xml:space="preserve">объект </w:t>
            </w:r>
            <w:r w:rsidR="000C2612">
              <w:rPr>
                <w:lang w:eastAsia="en-US"/>
              </w:rPr>
              <w:t>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lastRenderedPageBreak/>
        <w:tab/>
        <w:t>Таблица 3.8 –</w:t>
      </w:r>
      <w:r w:rsidR="00635B09">
        <w:t xml:space="preserve"> М</w:t>
      </w:r>
      <w:r>
        <w:t xml:space="preserve">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BuildModel</w:t>
            </w:r>
            <w:proofErr w:type="spellEnd"/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CheckOnErrors</w:t>
            </w:r>
            <w:proofErr w:type="spellEnd"/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CheckTextBoxType</w:t>
            </w:r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TextBox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textBox</w:t>
            </w:r>
            <w:proofErr w:type="spellEnd"/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ParameterType</w:t>
            </w:r>
            <w:proofErr w:type="spellEnd"/>
          </w:p>
        </w:tc>
        <w:tc>
          <w:tcPr>
            <w:tcW w:w="3538" w:type="dxa"/>
          </w:tcPr>
          <w:p w14:paraId="1F11A5C7" w14:textId="199CF550" w:rsidR="001C306D" w:rsidRPr="00AC720C" w:rsidRDefault="00FC1F00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ClearForm</w:t>
            </w:r>
            <w:proofErr w:type="spellEnd"/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OnTextChanged</w:t>
            </w:r>
            <w:proofErr w:type="spellEnd"/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object sender, </w:t>
            </w:r>
            <w:proofErr w:type="spellStart"/>
            <w:r>
              <w:rPr>
                <w:lang w:val="en-US" w:eastAsia="en-US"/>
              </w:rPr>
              <w:t>EventArgs</w:t>
            </w:r>
            <w:proofErr w:type="spellEnd"/>
            <w:r>
              <w:rPr>
                <w:lang w:val="en-US" w:eastAsia="en-US"/>
              </w:rPr>
              <w:t xml:space="preserve">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Обработчик события ввода текста в </w:t>
            </w:r>
            <w:proofErr w:type="spellStart"/>
            <w:r>
              <w:rPr>
                <w:lang w:eastAsia="en-US"/>
              </w:rPr>
              <w:t>текстбокс</w:t>
            </w:r>
            <w:proofErr w:type="spellEnd"/>
            <w:r>
              <w:rPr>
                <w:lang w:eastAsia="en-US"/>
              </w:rPr>
              <w:t>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OpenMainForm</w:t>
            </w:r>
            <w:proofErr w:type="spellEnd"/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Transaction </w:t>
            </w:r>
            <w:proofErr w:type="spellStart"/>
            <w:r>
              <w:rPr>
                <w:lang w:val="en-US" w:eastAsia="en-US"/>
              </w:rPr>
              <w:t>transaction</w:t>
            </w:r>
            <w:proofErr w:type="spellEnd"/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proofErr w:type="spellStart"/>
      <w:r w:rsidR="00CF4E6A">
        <w:rPr>
          <w:lang w:val="en-US"/>
        </w:rPr>
        <w:t>TextBox</w:t>
      </w:r>
      <w:proofErr w:type="spellEnd"/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</w:t>
      </w:r>
      <w:proofErr w:type="spellStart"/>
      <w:r w:rsidR="001C175B">
        <w:t>текстбокс</w:t>
      </w:r>
      <w:proofErr w:type="spellEnd"/>
      <w:r w:rsidR="001C175B">
        <w:t xml:space="preserve">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proofErr w:type="spellStart"/>
      <w:r w:rsidR="00A04966">
        <w:rPr>
          <w:lang w:val="en-US"/>
        </w:rPr>
        <w:t>ObjectARX</w:t>
      </w:r>
      <w:proofErr w:type="spellEnd"/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  <w:comment w:id="10" w:author="Kalentyev Alexey" w:date="2023-11-06T11:53:00Z" w:initials="KA">
    <w:p w14:paraId="143B8450" w14:textId="32A56A2B" w:rsidR="0094210F" w:rsidRPr="0094210F" w:rsidRDefault="0094210F">
      <w:pPr>
        <w:pStyle w:val="ac"/>
      </w:pPr>
      <w:r>
        <w:rPr>
          <w:rStyle w:val="ab"/>
        </w:rPr>
        <w:annotationRef/>
      </w:r>
      <w:r>
        <w:t xml:space="preserve">Диаграмма принята, сейчас нужно добавить таблицы с описанием всех классов и их членов с входными/выходными типами данных, назначением и пр. </w:t>
      </w:r>
    </w:p>
  </w:comment>
  <w:comment w:id="11" w:author="Влад Сеченов" w:date="2023-11-06T11:59:00Z" w:initials="ВС">
    <w:p w14:paraId="40289AC6" w14:textId="6B4632C7" w:rsidR="007F0CF3" w:rsidRDefault="007F0CF3" w:rsidP="009C7E42">
      <w:pPr>
        <w:pStyle w:val="ac"/>
        <w:ind w:firstLine="0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  <w15:commentEx w15:paraId="143B8450" w15:paraIdParent="12F34917" w15:done="0"/>
  <w15:commentEx w15:paraId="40289AC6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  <w16cex:commentExtensible w16cex:durableId="134A3793" w16cex:dateUtc="2023-11-06T04:53:00Z"/>
  <w16cex:commentExtensible w16cex:durableId="7F2BB8C6" w16cex:dateUtc="2023-1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  <w16cid:commentId w16cid:paraId="143B8450" w16cid:durableId="134A3793"/>
  <w16cid:commentId w16cid:paraId="40289AC6" w16cid:durableId="7F2BB8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93D0C" w14:textId="77777777" w:rsidR="00EC6821" w:rsidRDefault="00EC6821" w:rsidP="00567873">
      <w:pPr>
        <w:spacing w:line="240" w:lineRule="auto"/>
      </w:pPr>
      <w:r>
        <w:separator/>
      </w:r>
    </w:p>
  </w:endnote>
  <w:endnote w:type="continuationSeparator" w:id="0">
    <w:p w14:paraId="74BA375A" w14:textId="77777777" w:rsidR="00EC6821" w:rsidRDefault="00EC6821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6D9F" w14:textId="77777777" w:rsidR="00EC6821" w:rsidRDefault="00EC6821" w:rsidP="00567873">
      <w:pPr>
        <w:spacing w:line="240" w:lineRule="auto"/>
      </w:pPr>
      <w:r>
        <w:separator/>
      </w:r>
    </w:p>
  </w:footnote>
  <w:footnote w:type="continuationSeparator" w:id="0">
    <w:p w14:paraId="3339C7AA" w14:textId="77777777" w:rsidR="00EC6821" w:rsidRDefault="00EC6821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CF3"/>
    <w:rsid w:val="007F4D0C"/>
    <w:rsid w:val="00801802"/>
    <w:rsid w:val="008062C3"/>
    <w:rsid w:val="00806632"/>
    <w:rsid w:val="00807FB9"/>
    <w:rsid w:val="00821270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19C8"/>
    <w:rsid w:val="00AB1AE4"/>
    <w:rsid w:val="00AB52BB"/>
    <w:rsid w:val="00AB553B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18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522</cp:revision>
  <dcterms:created xsi:type="dcterms:W3CDTF">2023-10-15T16:46:00Z</dcterms:created>
  <dcterms:modified xsi:type="dcterms:W3CDTF">2023-11-06T06:24:00Z</dcterms:modified>
</cp:coreProperties>
</file>