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073B2825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r w:rsidR="005B507C" w:rsidRPr="005B507C">
        <w:rPr>
          <w:noProof/>
          <w14:ligatures w14:val="standardContextual"/>
        </w:rPr>
        <w:t xml:space="preserve"> </w:t>
      </w:r>
      <w:r w:rsidR="001C4712">
        <w:rPr>
          <w:noProof/>
        </w:rPr>
        <w:drawing>
          <wp:inline distT="0" distB="0" distL="0" distR="0" wp14:anchorId="0A863D13" wp14:editId="7259E49C">
            <wp:extent cx="5940425" cy="3975735"/>
            <wp:effectExtent l="0" t="0" r="3175" b="5715"/>
            <wp:docPr id="9735732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>Появился отдельный контрол – за что он отвечает и как буде выполняться валидация зависимых параметров с применением этого контрола?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>т храниться текстбоксы</w:t>
      </w:r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r>
        <w:rPr>
          <w:lang w:val="en-US"/>
        </w:rPr>
        <w:t>CheckOnErrors</w:t>
      </w:r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меседжбоксе</w:t>
      </w:r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r>
        <w:rPr>
          <w:lang w:val="en-US"/>
        </w:rPr>
        <w:t>Build</w:t>
      </w:r>
      <w:r w:rsidR="00C11C9B">
        <w:rPr>
          <w:lang w:val="en-US"/>
        </w:rPr>
        <w:t>Bottle</w:t>
      </w:r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r>
        <w:rPr>
          <w:lang w:val="en-US"/>
        </w:rPr>
        <w:t>ParameterControl</w:t>
      </w:r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r w:rsidR="00CF4E6A">
        <w:rPr>
          <w:lang w:val="en-US"/>
        </w:rPr>
        <w:t>TextBox</w:t>
      </w:r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текстбокс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FB1F" w14:textId="77777777" w:rsidR="00C760F8" w:rsidRDefault="00C760F8" w:rsidP="00567873">
      <w:pPr>
        <w:spacing w:line="240" w:lineRule="auto"/>
      </w:pPr>
      <w:r>
        <w:separator/>
      </w:r>
    </w:p>
  </w:endnote>
  <w:endnote w:type="continuationSeparator" w:id="0">
    <w:p w14:paraId="1EE01B9F" w14:textId="77777777" w:rsidR="00C760F8" w:rsidRDefault="00C760F8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70C0" w14:textId="77777777" w:rsidR="00C760F8" w:rsidRDefault="00C760F8" w:rsidP="00567873">
      <w:pPr>
        <w:spacing w:line="240" w:lineRule="auto"/>
      </w:pPr>
      <w:r>
        <w:separator/>
      </w:r>
    </w:p>
  </w:footnote>
  <w:footnote w:type="continuationSeparator" w:id="0">
    <w:p w14:paraId="24E96B04" w14:textId="77777777" w:rsidR="00C760F8" w:rsidRDefault="00C760F8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4712"/>
    <w:rsid w:val="001D44DD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7965"/>
    <w:rsid w:val="00291F42"/>
    <w:rsid w:val="002A1587"/>
    <w:rsid w:val="002A6DE3"/>
    <w:rsid w:val="002A76A1"/>
    <w:rsid w:val="002B35DD"/>
    <w:rsid w:val="002E5BB8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3435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C6CB6"/>
    <w:rsid w:val="003F00EF"/>
    <w:rsid w:val="003F1AD5"/>
    <w:rsid w:val="00410D5A"/>
    <w:rsid w:val="00411478"/>
    <w:rsid w:val="00412AE9"/>
    <w:rsid w:val="00415545"/>
    <w:rsid w:val="00420838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A7909"/>
    <w:rsid w:val="004B2314"/>
    <w:rsid w:val="004C441D"/>
    <w:rsid w:val="004C60E2"/>
    <w:rsid w:val="004C706A"/>
    <w:rsid w:val="004E2D8E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2F2C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4D0C"/>
    <w:rsid w:val="008062C3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B144B"/>
    <w:rsid w:val="009B5271"/>
    <w:rsid w:val="009C1181"/>
    <w:rsid w:val="009C1376"/>
    <w:rsid w:val="009C2452"/>
    <w:rsid w:val="009D6EAE"/>
    <w:rsid w:val="009E1D31"/>
    <w:rsid w:val="009E231F"/>
    <w:rsid w:val="009E7D7D"/>
    <w:rsid w:val="00A04C20"/>
    <w:rsid w:val="00A070BB"/>
    <w:rsid w:val="00A145D0"/>
    <w:rsid w:val="00A1651D"/>
    <w:rsid w:val="00A26F96"/>
    <w:rsid w:val="00A3188C"/>
    <w:rsid w:val="00A32194"/>
    <w:rsid w:val="00A649C2"/>
    <w:rsid w:val="00A66A85"/>
    <w:rsid w:val="00A6789C"/>
    <w:rsid w:val="00A67ED1"/>
    <w:rsid w:val="00A735F2"/>
    <w:rsid w:val="00A74655"/>
    <w:rsid w:val="00A77E7A"/>
    <w:rsid w:val="00A94EEC"/>
    <w:rsid w:val="00AA3D2B"/>
    <w:rsid w:val="00AB1AE4"/>
    <w:rsid w:val="00AB52BB"/>
    <w:rsid w:val="00AC0CA6"/>
    <w:rsid w:val="00AD24A1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F4E6A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266A1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41CD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A22ED"/>
    <w:rsid w:val="00FA3C9C"/>
    <w:rsid w:val="00FA7528"/>
    <w:rsid w:val="00FB20DA"/>
    <w:rsid w:val="00FD230A"/>
    <w:rsid w:val="00FD2BBE"/>
    <w:rsid w:val="00FE084D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14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419</cp:revision>
  <dcterms:created xsi:type="dcterms:W3CDTF">2023-10-15T16:46:00Z</dcterms:created>
  <dcterms:modified xsi:type="dcterms:W3CDTF">2023-11-05T21:01:00Z</dcterms:modified>
</cp:coreProperties>
</file>