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1899D4FA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5BCEA698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312469DA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62B5B1D2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13E31036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77DBD8B2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7017F5EC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2CE4924D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6D361FC3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6AAD522F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1CA508A4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2DCDE3FB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52CA408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7D21F5C4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0D46214D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7FEBC0F0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6E09CFC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54CF83AE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19B2709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15B2BB3F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2E1F560C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3A378790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46CA7527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63A1B6E5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7DA3A5AE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1E61F07F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0738E3C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1A07BDA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779D1E5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EBE7DB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18658C28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6BD4A00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003A648B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39A3405C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5C795D65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30DB113B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45FF6199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02996963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1D492007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1EC5F219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0410899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008785D2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88BE2DF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1ADBDBFF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0D5B445E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068AF380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Pr="0007370D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</w:t>
      </w:r>
      <w:commentRangeStart w:id="3"/>
      <w:r w:rsidR="00924120">
        <w:rPr>
          <w:rFonts w:cs="Times New Roman"/>
          <w:szCs w:val="28"/>
        </w:rPr>
        <w:t xml:space="preserve">компьютерных систем в управлении </w:t>
      </w:r>
      <w:r w:rsidR="009777BF">
        <w:rPr>
          <w:rFonts w:cs="Times New Roman"/>
          <w:szCs w:val="28"/>
        </w:rPr>
        <w:t>и проектировании (КСУП) Калентьев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  <w:commentRangeEnd w:id="3"/>
      <w:r w:rsidR="00F642A0">
        <w:rPr>
          <w:rStyle w:val="ad"/>
        </w:rPr>
        <w:commentReference w:id="3"/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154608"/>
      <w:bookmarkStart w:id="5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6"/>
    </w:p>
    <w:p w14:paraId="2C02A264" w14:textId="77777777" w:rsidR="00A46A09" w:rsidRDefault="00A46A09" w:rsidP="00A46A09">
      <w:pPr>
        <w:ind w:firstLine="0"/>
      </w:pPr>
    </w:p>
    <w:p w14:paraId="4F99A382" w14:textId="77777777" w:rsidR="00F77429" w:rsidRDefault="00A46A09" w:rsidP="004C070A">
      <w:pPr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commentRangeStart w:id="7"/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23 </w:t>
      </w:r>
      <w:r w:rsidR="00F77429">
        <w:rPr>
          <w:rFonts w:cs="Times New Roman"/>
          <w:szCs w:val="28"/>
        </w:rPr>
        <w:t>сентября 2023 года.</w:t>
      </w:r>
      <w:commentRangeEnd w:id="7"/>
      <w:r w:rsidR="00F642A0">
        <w:rPr>
          <w:rStyle w:val="ad"/>
        </w:rPr>
        <w:commentReference w:id="7"/>
      </w:r>
    </w:p>
    <w:p w14:paraId="7FA5AADA" w14:textId="77777777" w:rsidR="00F77429" w:rsidRDefault="00F77429" w:rsidP="004C070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8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9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10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 xml:space="preserve">и при </w:t>
      </w:r>
      <w:r w:rsidR="00380F8E">
        <w:rPr>
          <w:rFonts w:cs="Times New Roman"/>
          <w:szCs w:val="28"/>
        </w:rPr>
        <w:lastRenderedPageBreak/>
        <w:t>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11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2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3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≤H2/4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lastRenderedPageBreak/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проверки 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4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5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636C35D2" w14:textId="0DFC568A" w:rsidR="00FE627E" w:rsidRDefault="00C22285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A44AA4A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3"/>
      <w:commentRangeStart w:id="1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6"/>
      <w:commentRangeEnd w:id="17"/>
      <w:r w:rsidR="00F642A0">
        <w:rPr>
          <w:rStyle w:val="ad"/>
          <w:rFonts w:ascii="Times New Roman" w:eastAsiaTheme="minorHAnsi" w:hAnsi="Times New Roman" w:cstheme="minorBidi"/>
          <w:color w:val="auto"/>
        </w:rPr>
        <w:commentReference w:id="17"/>
      </w:r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8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9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>Элементы интерфейса должны отвечать рекомендациям по верстке интерфейсов desktop-приложений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21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1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lastRenderedPageBreak/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22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77777777" w:rsidR="00837D94" w:rsidRPr="00AB54CB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3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4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5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6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7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78761ADB" w14:textId="77777777" w:rsidR="00243823" w:rsidRPr="00C22285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8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9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30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31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lastRenderedPageBreak/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32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3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4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5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P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lastRenderedPageBreak/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6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13"/>
          <w:headerReference w:type="first" r:id="rId14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7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pacing w:val="-4"/>
                <w:szCs w:val="28"/>
              </w:rPr>
              <w:t>Этап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Состав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работ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  <w:r>
              <w:rPr>
                <w:spacing w:val="-11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документа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Обозначение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согласно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4"/>
                <w:szCs w:val="28"/>
              </w:rPr>
              <w:t xml:space="preserve">Сроки </w:t>
            </w:r>
            <w:r>
              <w:rPr>
                <w:spacing w:val="-2"/>
                <w:szCs w:val="28"/>
              </w:rPr>
              <w:t>выполнения</w:t>
            </w:r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Техническое</w:t>
            </w:r>
            <w:r>
              <w:rPr>
                <w:spacing w:val="-8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задание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r>
              <w:rPr>
                <w:szCs w:val="28"/>
              </w:rPr>
              <w:t xml:space="preserve">октября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Создание проекта системы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Проект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системы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r>
              <w:rPr>
                <w:spacing w:val="-2"/>
                <w:szCs w:val="28"/>
              </w:rPr>
              <w:t>ктября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Реализация плагина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</w:t>
            </w:r>
            <w:r>
              <w:rPr>
                <w:spacing w:val="-10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r>
              <w:rPr>
                <w:szCs w:val="28"/>
              </w:rPr>
              <w:t>ноября</w:t>
            </w:r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года</w:t>
            </w:r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Модульные</w:t>
            </w:r>
            <w:r>
              <w:rPr>
                <w:spacing w:val="-7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</w:t>
            </w:r>
            <w:r>
              <w:rPr>
                <w:spacing w:val="-10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r>
              <w:rPr>
                <w:spacing w:val="-2"/>
                <w:szCs w:val="28"/>
              </w:rPr>
              <w:t>декабря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Модульные</w:t>
            </w:r>
            <w:r>
              <w:rPr>
                <w:spacing w:val="-7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Пояснительная</w:t>
            </w:r>
            <w:r>
              <w:rPr>
                <w:spacing w:val="-9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8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9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40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75877132" w14:textId="56640380" w:rsidR="0009235B" w:rsidRDefault="00B079F4" w:rsidP="0009235B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079F4">
        <w:rPr>
          <w:rFonts w:cs="Times New Roman"/>
          <w:szCs w:val="28"/>
        </w:rPr>
        <w:t>документация для языка программированию C#</w:t>
      </w:r>
      <w:commentRangeStart w:id="41"/>
      <w:r w:rsidRPr="00B079F4">
        <w:rPr>
          <w:rFonts w:cs="Times New Roman"/>
          <w:szCs w:val="28"/>
        </w:rPr>
        <w:t>;</w:t>
      </w:r>
      <w:commentRangeEnd w:id="41"/>
      <w:r w:rsidR="00F642A0">
        <w:rPr>
          <w:rStyle w:val="ad"/>
        </w:rPr>
        <w:commentReference w:id="41"/>
      </w:r>
    </w:p>
    <w:p w14:paraId="21E5F909" w14:textId="77777777" w:rsidR="00B079F4" w:rsidRDefault="00B079F4" w:rsidP="00B079F4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42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Pr="008A603F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43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4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5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5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6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7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6047C8">
      <w:pPr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6047C8">
      <w:pPr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8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.docx и .pdf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lastRenderedPageBreak/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9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>шрифт – Times New Roman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50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50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Новые технологии в программировании: учебное пособие / А. А. Калентьев, Д. В. Гарайс,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lastRenderedPageBreak/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F6E4886" w:rsidR="002B514E" w:rsidRDefault="002D6FB5" w:rsidP="002B514E">
      <w:pPr>
        <w:pStyle w:val="a9"/>
        <w:numPr>
          <w:ilvl w:val="0"/>
          <w:numId w:val="29"/>
        </w:numPr>
        <w:spacing w:line="360" w:lineRule="auto"/>
        <w:jc w:val="both"/>
      </w:pPr>
      <w:commentRangeStart w:id="51"/>
      <w:r w:rsidRPr="002D6FB5">
        <w:t>Рабочая программа дисциплины «Основы разработки САПР»;</w:t>
      </w:r>
    </w:p>
    <w:p w14:paraId="49D9419C" w14:textId="6CE464C1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Учебное пособие для студентов направления «Электроника и</w:t>
      </w:r>
      <w:r w:rsidRPr="002D6FB5">
        <w:t xml:space="preserve"> </w:t>
      </w:r>
      <w:r>
        <w:t>микроэлектроника» «Математические модели и САПР электронных приборов</w:t>
      </w:r>
      <w:r w:rsidRPr="002D6FB5">
        <w:t xml:space="preserve"> </w:t>
      </w:r>
      <w:r>
        <w:t>и устройств»;</w:t>
      </w:r>
      <w:commentRangeEnd w:id="51"/>
      <w:r w:rsidR="00F642A0">
        <w:rPr>
          <w:rStyle w:val="ad"/>
        </w:rPr>
        <w:commentReference w:id="51"/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>- 494 с.: ил. - (Классика программирования). - Предм.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>Ли. К. Основы САПР (CAD/CAM/CAE). – Спб.: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alentyev Alexey" w:date="2023-10-16T14:23:00Z" w:initials="KA">
    <w:p w14:paraId="03FD44C2" w14:textId="75BCE872" w:rsidR="00F642A0" w:rsidRPr="00F642A0" w:rsidRDefault="00F642A0">
      <w:pPr>
        <w:pStyle w:val="ae"/>
      </w:pPr>
      <w:r>
        <w:rPr>
          <w:rStyle w:val="ad"/>
        </w:rPr>
        <w:annotationRef/>
      </w:r>
      <w:r>
        <w:t>Межабзацный интервал должен быть равен 0 по всему документу</w:t>
      </w:r>
    </w:p>
  </w:comment>
  <w:comment w:id="7" w:author="Kalentyev Alexey" w:date="2023-10-16T14:23:00Z" w:initials="KA">
    <w:p w14:paraId="6B2E5778" w14:textId="5B01682E" w:rsidR="00F642A0" w:rsidRDefault="00F642A0">
      <w:pPr>
        <w:pStyle w:val="ae"/>
      </w:pPr>
      <w:r>
        <w:rPr>
          <w:rStyle w:val="ad"/>
        </w:rPr>
        <w:annotationRef/>
      </w:r>
      <w:r>
        <w:t>Дату сдачи ТЗ</w:t>
      </w:r>
    </w:p>
  </w:comment>
  <w:comment w:id="17" w:author="Kalentyev Alexey" w:date="2023-10-16T14:25:00Z" w:initials="KA">
    <w:p w14:paraId="60068AD2" w14:textId="1757DC42" w:rsidR="00F642A0" w:rsidRDefault="00F642A0">
      <w:pPr>
        <w:pStyle w:val="ae"/>
      </w:pPr>
      <w:r>
        <w:rPr>
          <w:rStyle w:val="ad"/>
        </w:rPr>
        <w:annotationRef/>
      </w:r>
      <w:r>
        <w:t>Перенести ниже или поднять, чтобы название главы и текста было на одной странице</w:t>
      </w:r>
    </w:p>
  </w:comment>
  <w:comment w:id="41" w:author="Kalentyev Alexey" w:date="2023-10-16T14:26:00Z" w:initials="KA">
    <w:p w14:paraId="05D5A367" w14:textId="29EFB551" w:rsidR="00F642A0" w:rsidRDefault="00F642A0">
      <w:pPr>
        <w:pStyle w:val="ae"/>
      </w:pPr>
      <w:r>
        <w:rPr>
          <w:rStyle w:val="ad"/>
        </w:rPr>
        <w:annotationRef/>
      </w:r>
      <w:r>
        <w:t>ОС ТУСУР</w:t>
      </w:r>
    </w:p>
  </w:comment>
  <w:comment w:id="51" w:author="Kalentyev Alexey" w:date="2023-10-16T14:27:00Z" w:initials="KA">
    <w:p w14:paraId="6C0BB891" w14:textId="2A5172AE" w:rsidR="00F642A0" w:rsidRDefault="00F642A0">
      <w:pPr>
        <w:pStyle w:val="ae"/>
      </w:pPr>
      <w:r>
        <w:rPr>
          <w:rStyle w:val="ad"/>
        </w:rPr>
        <w:annotationRef/>
      </w:r>
      <w:r>
        <w:t>Нужно оформить как следует – РП должна быть по направлению специальности и конкретному году, учебное пособие также, их нужно разделить. У учебного пособия также есть год, автор, кол-во страниц и пр. По оформлению смотрите ОС ТУСУР.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FD44C2" w15:done="0"/>
  <w15:commentEx w15:paraId="6B2E5778" w15:done="0"/>
  <w15:commentEx w15:paraId="60068AD2" w15:done="0"/>
  <w15:commentEx w15:paraId="05D5A367" w15:done="0"/>
  <w15:commentEx w15:paraId="6C0BB8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897C8F" w16cex:dateUtc="2023-10-16T07:23:00Z"/>
  <w16cex:commentExtensible w16cex:durableId="5FD61678" w16cex:dateUtc="2023-10-16T07:23:00Z"/>
  <w16cex:commentExtensible w16cex:durableId="10699ADA" w16cex:dateUtc="2023-10-16T07:25:00Z"/>
  <w16cex:commentExtensible w16cex:durableId="55A1BE65" w16cex:dateUtc="2023-10-16T07:26:00Z"/>
  <w16cex:commentExtensible w16cex:durableId="4BBCAD12" w16cex:dateUtc="2023-10-16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FD44C2" w16cid:durableId="2B897C8F"/>
  <w16cid:commentId w16cid:paraId="6B2E5778" w16cid:durableId="5FD61678"/>
  <w16cid:commentId w16cid:paraId="60068AD2" w16cid:durableId="10699ADA"/>
  <w16cid:commentId w16cid:paraId="05D5A367" w16cid:durableId="55A1BE65"/>
  <w16cid:commentId w16cid:paraId="6C0BB891" w16cid:durableId="4BBCAD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E439" w14:textId="77777777" w:rsidR="00893335" w:rsidRDefault="00893335" w:rsidP="007F1924">
      <w:pPr>
        <w:spacing w:after="0" w:line="240" w:lineRule="auto"/>
      </w:pPr>
      <w:r>
        <w:separator/>
      </w:r>
    </w:p>
  </w:endnote>
  <w:endnote w:type="continuationSeparator" w:id="0">
    <w:p w14:paraId="59C3C951" w14:textId="77777777" w:rsidR="00893335" w:rsidRDefault="00893335" w:rsidP="007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FA1E" w14:textId="77777777" w:rsidR="00893335" w:rsidRDefault="00893335" w:rsidP="007F1924">
      <w:pPr>
        <w:spacing w:after="0" w:line="240" w:lineRule="auto"/>
      </w:pPr>
      <w:r>
        <w:separator/>
      </w:r>
    </w:p>
  </w:footnote>
  <w:footnote w:type="continuationSeparator" w:id="0">
    <w:p w14:paraId="2D508991" w14:textId="77777777" w:rsidR="00893335" w:rsidRDefault="00893335" w:rsidP="007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5D40F53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1"/>
  </w:num>
  <w:num w:numId="5" w16cid:durableId="430442630">
    <w:abstractNumId w:val="12"/>
  </w:num>
  <w:num w:numId="6" w16cid:durableId="1791822974">
    <w:abstractNumId w:val="28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7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0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29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4EB8"/>
    <w:rsid w:val="00155BE0"/>
    <w:rsid w:val="001670AF"/>
    <w:rsid w:val="001939AC"/>
    <w:rsid w:val="001B566D"/>
    <w:rsid w:val="001C4BDB"/>
    <w:rsid w:val="001D3EF6"/>
    <w:rsid w:val="001D463B"/>
    <w:rsid w:val="001E16E7"/>
    <w:rsid w:val="001E18E1"/>
    <w:rsid w:val="001E4800"/>
    <w:rsid w:val="001E79D4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76A5"/>
    <w:rsid w:val="0026622B"/>
    <w:rsid w:val="00274AF4"/>
    <w:rsid w:val="0028379F"/>
    <w:rsid w:val="002B3769"/>
    <w:rsid w:val="002B514E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30241"/>
    <w:rsid w:val="00331D03"/>
    <w:rsid w:val="00333A2E"/>
    <w:rsid w:val="003645FC"/>
    <w:rsid w:val="00364EDD"/>
    <w:rsid w:val="00380F8E"/>
    <w:rsid w:val="00390C74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625A6"/>
    <w:rsid w:val="004640FB"/>
    <w:rsid w:val="00466378"/>
    <w:rsid w:val="00474F70"/>
    <w:rsid w:val="00483F8B"/>
    <w:rsid w:val="004862ED"/>
    <w:rsid w:val="00492CC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B627C"/>
    <w:rsid w:val="005C08E4"/>
    <w:rsid w:val="005C534C"/>
    <w:rsid w:val="005D644F"/>
    <w:rsid w:val="005E5E1D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F6F03"/>
    <w:rsid w:val="00700801"/>
    <w:rsid w:val="00704E37"/>
    <w:rsid w:val="007352F4"/>
    <w:rsid w:val="007375B8"/>
    <w:rsid w:val="00742040"/>
    <w:rsid w:val="007611A9"/>
    <w:rsid w:val="00777E1D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A3DB7"/>
    <w:rsid w:val="00AB33A4"/>
    <w:rsid w:val="00AB54CB"/>
    <w:rsid w:val="00AD6C37"/>
    <w:rsid w:val="00AE5A1B"/>
    <w:rsid w:val="00AF2824"/>
    <w:rsid w:val="00B00FFD"/>
    <w:rsid w:val="00B068FF"/>
    <w:rsid w:val="00B079F4"/>
    <w:rsid w:val="00B10149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A7E3B"/>
    <w:rsid w:val="00DC3F00"/>
    <w:rsid w:val="00DD4D34"/>
    <w:rsid w:val="00DF5053"/>
    <w:rsid w:val="00E02FE8"/>
    <w:rsid w:val="00E039E0"/>
    <w:rsid w:val="00E3020A"/>
    <w:rsid w:val="00E34456"/>
    <w:rsid w:val="00E438E9"/>
    <w:rsid w:val="00E51E36"/>
    <w:rsid w:val="00E61979"/>
    <w:rsid w:val="00E6450F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538A7"/>
    <w:rsid w:val="00F56FDF"/>
    <w:rsid w:val="00F642A0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56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5049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after="0"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19</Pages>
  <Words>2774</Words>
  <Characters>15816</Characters>
  <Application>Microsoft Office Word</Application>
  <DocSecurity>0</DocSecurity>
  <Lines>131</Lines>
  <Paragraphs>37</Paragraphs>
  <ScaleCrop>false</ScaleCrop>
  <Company/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292</cp:revision>
  <dcterms:created xsi:type="dcterms:W3CDTF">2023-10-01T16:21:00Z</dcterms:created>
  <dcterms:modified xsi:type="dcterms:W3CDTF">2023-10-16T07:28:00Z</dcterms:modified>
</cp:coreProperties>
</file>