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600"/>
      </w:pPr>
    </w:p>
    <w:p>
      <w:pPr>
        <w:spacing w:before="120" w:after="200"/>
        <w:jc w:val="center"/>
      </w:pPr>
      <w:r>
        <w:drawing>
          <wp:inline distT="0" distB="0" distL="0" distR="0">
            <wp:extent cx="5760000" cy="2496000"/>
            <wp:docPr id="1" name="Imag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760000" cy="2496000"/>
                    </a:xfrm>
                    <a:prstGeom prst="rect">
                      <a:avLst/>
                    </a:prstGeom>
                  </pic:spPr>
                </pic:pic>
              </a:graphicData>
            </a:graphic>
          </wp:inline>
        </w:drawing>
      </w:r>
    </w:p>
    <w:p>
      <w:pPr>
        <w:pStyle w:val="Titre"/>
        <w:jc w:val="center"/>
      </w:pPr>
      <w:r>
        <w:t xml:space="preserve">Direction artistique</w:t>
      </w:r>
    </w:p>
    <w:p>
      <w:pPr>
        <w:pStyle w:val="SousTitre"/>
        <w:jc w:val="center"/>
      </w:pPr>
      <w:r>
        <w:t xml:space="preserve">Reskope · version du 26 septembre 2026</w:t>
      </w:r>
    </w:p>
    <w:p>
      <w:pPr>
        <w:spacing w:after="300"/>
      </w:pPr>
    </w:p>
    <w:p>
      <w:pPr>
        <w:pStyle w:val="Chapeau"/>
        <w:jc w:val="center"/>
      </w:pPr>
      <w:r>
        <w:t xml:space="preserve">Ce document fixe la façon dont Reskope se montre : le logo, les couleurs, la typographie, le réseau, les volumes, le mouvement, la mise en page, les images et le ton. Il vaut pour le site, les cartes de visite, le livret et le motion design.</w:t>
      </w:r>
    </w:p>
    <w:p>
      <w:r>
        <w:br w:type="page"/>
      </w:r>
    </w:p>
    <w:p>
      <w:pPr>
        <w:pStyle w:val="Titre1"/>
      </w:pPr>
      <w:r>
        <w:t xml:space="preserve">L’essentiel, en une page</w:t>
      </w:r>
    </w:p>
    <w:p>
      <w:pPr>
        <w:pStyle w:val="Encadre"/>
        <w:shd w:val="clear" w:color="auto" w:fill="ECE7F9"/>
      </w:pPr>
      <w:r>
        <w:rPr>
          <w:b/>
        </w:rPr>
        <w:t xml:space="preserve">La marque en une phrase :</w:t>
      </w:r>
      <w:r>
        <w:t xml:space="preserve"> On vous aide à décider, et on construit la suite.</w:t>
      </w:r>
    </w:p>
    <w:p>
      <w:pPr>
        <w:pStyle w:val="Puce"/>
        <w:numPr>
          <w:ilvl w:val="0"/>
          <w:numId w:val="1"/>
        </w:numPr>
      </w:pPr>
      <w:r>
        <w:rPr>
          <w:b/>
        </w:rPr>
        <w:t xml:space="preserve">Un monde en réseau.</w:t>
      </w:r>
      <w:r>
        <w:t xml:space="preserve"> Des nœuds et des liens, partout : ils portent l’information, jamais la décoration.</w:t>
      </w:r>
    </w:p>
    <w:p>
      <w:pPr>
        <w:pStyle w:val="Puce"/>
        <w:numPr>
          <w:ilvl w:val="0"/>
          <w:numId w:val="1"/>
        </w:numPr>
      </w:pPr>
      <w:r>
        <w:rPr>
          <w:b/>
        </w:rPr>
        <w:t xml:space="preserve">L’indigo et le crème font la marque.</w:t>
      </w:r>
      <w:r>
        <w:t xml:space="preserve"> Cinq couleurs servent à expliquer, et seulement à ça.</w:t>
      </w:r>
    </w:p>
    <w:p>
      <w:pPr>
        <w:pStyle w:val="Puce"/>
        <w:numPr>
          <w:ilvl w:val="0"/>
          <w:numId w:val="1"/>
        </w:numPr>
      </w:pPr>
      <w:r>
        <w:rPr>
          <w:b/>
        </w:rPr>
        <w:t xml:space="preserve">Tout arrive de la profondeur et flotte.</w:t>
      </w:r>
      <w:r>
        <w:t xml:space="preserve"> Rien n’entre à plat.</w:t>
      </w:r>
    </w:p>
    <w:p>
      <w:pPr>
        <w:pStyle w:val="Puce"/>
        <w:numPr>
          <w:ilvl w:val="0"/>
          <w:numId w:val="1"/>
        </w:numPr>
      </w:pPr>
      <w:r>
        <w:rPr>
          <w:b/>
        </w:rPr>
        <w:t xml:space="preserve">Au centre, ou dans de bonnes cases.</w:t>
      </w:r>
      <w:r>
        <w:t xml:space="preserve"> Jamais un bloc calé sur un bord ; un fond qui aide à lire.</w:t>
      </w:r>
    </w:p>
    <w:p>
      <w:pPr>
        <w:pStyle w:val="Puce"/>
        <w:numPr>
          <w:ilvl w:val="0"/>
          <w:numId w:val="1"/>
        </w:numPr>
      </w:pPr>
      <w:r>
        <w:rPr>
          <w:b/>
        </w:rPr>
        <w:t xml:space="preserve">Trois publics, trois façons de parler :</w:t>
      </w:r>
      <w:r>
        <w:t xml:space="preserve"> la personne qui crée ou reprend, la TPE, la PME.</w:t>
      </w:r>
    </w:p>
    <w:p>
      <w:pPr>
        <w:pStyle w:val="Puce"/>
        <w:numPr>
          <w:ilvl w:val="0"/>
          <w:numId w:val="1"/>
        </w:numPr>
      </w:pPr>
      <w:r>
        <w:rPr>
          <w:b/>
        </w:rPr>
        <w:t xml:space="preserve">Ce qui se clique se voit,</w:t>
      </w:r>
      <w:r>
        <w:t xml:space="preserve"> et réagit au survol.</w:t>
      </w:r>
    </w:p>
    <w:p>
      <w:pPr>
        <w:pStyle w:val="Puce"/>
        <w:numPr>
          <w:ilvl w:val="0"/>
          <w:numId w:val="1"/>
        </w:numPr>
      </w:pPr>
      <w:r>
        <w:rPr>
          <w:b/>
        </w:rPr>
        <w:t xml:space="preserve">On le dit franchement :</w:t>
      </w:r>
      <w:r>
        <w:t xml:space="preserve"> les exemples sont signalés, les portraits générés aussi.</w:t>
      </w:r>
    </w:p>
    <w:p>
      <w:r>
        <w:br w:type="page"/>
      </w:r>
    </w:p>
    <w:p>
      <w:pPr>
        <w:pStyle w:val="Titre1"/>
      </w:pPr>
      <w:r>
        <w:t xml:space="preserve">Le logo</w:t>
      </w:r>
    </w:p>
    <w:p>
      <w:r>
        <w:t xml:space="preserve">Le R de Reskope est un réseau : six nœuds, six liens. Le nœud de jonction, au milieu du fût, est plus gros : c’est là que tout se relie. À côté, le nom en Neue Einstellung SemiBold, serré d’un cheveu (−2 %).</w:t>
      </w:r>
    </w:p>
    <w:tbl>
      <w:tblPr>
        <w:tblW w:w="9638" w:type="dxa"/>
        <w:jc w:val="center"/>
        <w:tblBorders>
          <w:top w:val="nil"/>
          <w:left w:val="nil"/>
          <w:bottom w:val="nil"/>
          <w:right w:val="nil"/>
          <w:insideH w:val="nil"/>
          <w:insideV w:val="nil"/>
        </w:tblBorders>
        <w:tblLayout w:type="fixed"/>
        <w:tblCellMar>
          <w:top w:w="90" w:type="dxa"/>
          <w:left w:w="110" w:type="dxa"/>
          <w:bottom w:w="90" w:type="dxa"/>
          <w:right w:w="110" w:type="dxa"/>
        </w:tblCellMar>
      </w:tblPr>
      <w:tblGrid>
        <w:gridCol w:w="4819"/>
        <w:gridCol w:w="4819"/>
      </w:tblGrid>
      <w:tr>
        <w:tc>
          <w:tcPr>
            <w:tcW w:w="4819" w:type="dxa"/>
            <w:vAlign w:val="center"/>
          </w:tcPr>
          <w:p>
            <w:pPr>
              <w:spacing w:before="120" w:after="200"/>
              <w:jc w:val="center"/>
            </w:pPr>
            <w:r>
              <w:drawing>
                <wp:inline distT="0" distB="0" distL="0" distR="0">
                  <wp:extent cx="2916000" cy="1263600"/>
                  <wp:docPr id="2" name="Imag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2916000" cy="1263600"/>
                          </a:xfrm>
                          <a:prstGeom prst="rect">
                            <a:avLst/>
                          </a:prstGeom>
                        </pic:spPr>
                      </pic:pic>
                    </a:graphicData>
                  </a:graphic>
                </wp:inline>
              </w:drawing>
            </w:r>
          </w:p>
        </w:tc>
        <w:tc>
          <w:tcPr>
            <w:tcW w:w="4819" w:type="dxa"/>
            <w:vAlign w:val="center"/>
          </w:tcPr>
          <w:p>
            <w:pPr>
              <w:spacing w:before="120" w:after="200"/>
              <w:jc w:val="center"/>
            </w:pPr>
            <w:r>
              <w:drawing>
                <wp:inline distT="0" distB="0" distL="0" distR="0">
                  <wp:extent cx="2916000" cy="1263600"/>
                  <wp:docPr id="3" name="Imag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2916000" cy="1263600"/>
                          </a:xfrm>
                          <a:prstGeom prst="rect">
                            <a:avLst/>
                          </a:prstGeom>
                        </pic:spPr>
                      </pic:pic>
                    </a:graphicData>
                  </a:graphic>
                </wp:inline>
              </w:drawing>
            </w:r>
          </w:p>
        </w:tc>
      </w:tr>
    </w:tbl>
    <w:p>
      <w:pPr>
        <w:spacing w:after="120"/>
      </w:pPr>
    </w:p>
    <w:p>
      <w:pPr>
        <w:pStyle w:val="Legende"/>
        <w:jc w:val="center"/>
      </w:pPr>
      <w:r>
        <w:t xml:space="preserve">Indigo sur crème ; crème sur indigo. En noir et blanc : encre sur blanc.</w:t>
      </w:r>
    </w:p>
    <w:p>
      <w:pPr>
        <w:pStyle w:val="Titre2"/>
      </w:pPr>
      <w:r>
        <w:t xml:space="preserve">Les règles</w:t>
      </w:r>
    </w:p>
    <w:p>
      <w:pPr>
        <w:pStyle w:val="Puce"/>
        <w:numPr>
          <w:ilvl w:val="0"/>
          <w:numId w:val="1"/>
        </w:numPr>
      </w:pPr>
      <w:r>
        <w:rPr>
          <w:b/>
        </w:rPr>
        <w:t xml:space="preserve">Zone de protection :</w:t>
      </w:r>
      <w:r>
        <w:t xml:space="preserve"> un espace libre égal à la moitié de la hauteur du R, tout autour.</w:t>
      </w:r>
    </w:p>
    <w:p>
      <w:pPr>
        <w:pStyle w:val="Puce"/>
        <w:numPr>
          <w:ilvl w:val="0"/>
          <w:numId w:val="1"/>
        </w:numPr>
      </w:pPr>
      <w:r>
        <w:rPr>
          <w:b/>
        </w:rPr>
        <w:t xml:space="preserve">Taille minimale :</w:t>
      </w:r>
      <w:r>
        <w:t xml:space="preserve"> le R seul, 24 px à l’écran et 6 mm à l’impression ; avec le nom, 90 px et 22 mm.</w:t>
      </w:r>
    </w:p>
    <w:p>
      <w:pPr>
        <w:pStyle w:val="Puce"/>
        <w:numPr>
          <w:ilvl w:val="0"/>
          <w:numId w:val="1"/>
        </w:numPr>
      </w:pPr>
      <w:r>
        <w:rPr>
          <w:b/>
        </w:rPr>
        <w:t xml:space="preserve">Sur téléphone,</w:t>
      </w:r>
      <w:r>
        <w:t xml:space="preserve"> le R porte seul la marque dans l’en-tête : il y est plus grand (34 px).</w:t>
      </w:r>
    </w:p>
    <w:p>
      <w:pPr>
        <w:pStyle w:val="Puce"/>
        <w:numPr>
          <w:ilvl w:val="0"/>
          <w:numId w:val="1"/>
        </w:numPr>
      </w:pPr>
      <w:r>
        <w:rPr>
          <w:b/>
        </w:rPr>
        <w:t xml:space="preserve">Jamais :</w:t>
      </w:r>
      <w:r>
        <w:t xml:space="preserve"> déformé, incliné, ombré, en dégradé, dans une autre couleur que l’indigo, le crème ou l’encre, ni posé sur une photo chargée.</w:t>
      </w:r>
    </w:p>
    <w:p>
      <w:r>
        <w:br w:type="page"/>
      </w:r>
    </w:p>
    <w:p>
      <w:pPr>
        <w:pStyle w:val="Titre1"/>
      </w:pPr>
      <w:r>
        <w:t xml:space="preserve">Les couleurs</w:t>
      </w:r>
    </w:p>
    <w:p>
      <w:r>
        <w:t xml:space="preserve">La marque reste bleue et blanche : l’indigo et le crème. Pour expliquer, cinq couleurs de plus ; chacune dit une chose, dans les schémas, et chaque espace du site en porte une en accent.</w:t>
      </w:r>
    </w:p>
    <w:p>
      <w:pPr>
        <w:spacing w:before="120" w:after="200"/>
        <w:jc w:val="center"/>
      </w:pPr>
      <w:r>
        <w:drawing>
          <wp:inline distT="0" distB="0" distL="0" distR="0">
            <wp:extent cx="5940000" cy="2663100"/>
            <wp:docPr id="4" name="Imag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940000" cy="2663100"/>
                    </a:xfrm>
                    <a:prstGeom prst="rect">
                      <a:avLst/>
                    </a:prstGeom>
                  </pic:spPr>
                </pic:pic>
              </a:graphicData>
            </a:graphic>
          </wp:inline>
        </w:drawing>
      </w:r>
    </w:p>
    <w:tbl>
      <w:tblPr>
        <w:tblW w:w="9636" w:type="dxa"/>
        <w:jc w:val="center"/>
        <w:tblBorders>
          <w:top w:val="single" w:sz="4" w:space="0" w:color="D9D6CE"/>
          <w:left w:val="single" w:sz="4" w:space="0" w:color="D9D6CE"/>
          <w:bottom w:val="single" w:sz="4" w:space="0" w:color="D9D6CE"/>
          <w:right w:val="single" w:sz="4" w:space="0" w:color="D9D6CE"/>
          <w:insideH w:val="single" w:sz="4" w:space="0" w:color="D9D6CE"/>
          <w:insideV w:val="single" w:sz="4" w:space="0" w:color="D9D6CE"/>
        </w:tblBorders>
        <w:tblLayout w:type="fixed"/>
        <w:tblCellMar>
          <w:top w:w="90" w:type="dxa"/>
          <w:left w:w="110" w:type="dxa"/>
          <w:bottom w:w="90" w:type="dxa"/>
          <w:right w:w="110" w:type="dxa"/>
        </w:tblCellMar>
      </w:tblPr>
      <w:tblGrid>
        <w:gridCol w:w="1360"/>
        <w:gridCol w:w="1247"/>
        <w:gridCol w:w="1474"/>
        <w:gridCol w:w="1927"/>
        <w:gridCol w:w="3628"/>
      </w:tblGrid>
      <w:tr>
        <w:tc>
          <w:tcPr>
            <w:tcW w:w="1360" w:type="dxa"/>
            <w:shd w:val="clear" w:color="auto" w:fill="1C0CB3"/>
            <w:vAlign w:val="center"/>
          </w:tcPr>
          <w:p>
            <w:pPr>
              <w:pStyle w:val="Cellule"/>
            </w:pPr>
            <w:r>
              <w:rPr>
                <w:color w:val="F0EEE8"/>
              </w:rPr>
              <w:t xml:space="preserve">Couleur</w:t>
            </w:r>
          </w:p>
        </w:tc>
        <w:tc>
          <w:tcPr>
            <w:tcW w:w="1247" w:type="dxa"/>
            <w:shd w:val="clear" w:color="auto" w:fill="1C0CB3"/>
            <w:vAlign w:val="center"/>
          </w:tcPr>
          <w:p>
            <w:pPr>
              <w:pStyle w:val="Cellule"/>
            </w:pPr>
            <w:r>
              <w:rPr>
                <w:color w:val="F0EEE8"/>
              </w:rPr>
              <w:t xml:space="preserve">Hexa</w:t>
            </w:r>
          </w:p>
        </w:tc>
        <w:tc>
          <w:tcPr>
            <w:tcW w:w="1474" w:type="dxa"/>
            <w:shd w:val="clear" w:color="auto" w:fill="1C0CB3"/>
            <w:vAlign w:val="center"/>
          </w:tcPr>
          <w:p>
            <w:pPr>
              <w:pStyle w:val="Cellule"/>
            </w:pPr>
            <w:r>
              <w:rPr>
                <w:color w:val="F0EEE8"/>
              </w:rPr>
              <w:t xml:space="preserve">RVB</w:t>
            </w:r>
          </w:p>
        </w:tc>
        <w:tc>
          <w:tcPr>
            <w:tcW w:w="1927" w:type="dxa"/>
            <w:shd w:val="clear" w:color="auto" w:fill="1C0CB3"/>
            <w:vAlign w:val="center"/>
          </w:tcPr>
          <w:p>
            <w:pPr>
              <w:pStyle w:val="Cellule"/>
            </w:pPr>
            <w:r>
              <w:rPr>
                <w:color w:val="F0EEE8"/>
              </w:rPr>
              <w:t xml:space="preserve">CMJN indicatif</w:t>
            </w:r>
          </w:p>
        </w:tc>
        <w:tc>
          <w:tcPr>
            <w:tcW w:w="3628" w:type="dxa"/>
            <w:shd w:val="clear" w:color="auto" w:fill="1C0CB3"/>
            <w:vAlign w:val="center"/>
          </w:tcPr>
          <w:p>
            <w:pPr>
              <w:pStyle w:val="Cellule"/>
            </w:pPr>
            <w:r>
              <w:rPr>
                <w:color w:val="F0EEE8"/>
              </w:rPr>
              <w:t xml:space="preserve">Rôle</w:t>
            </w:r>
          </w:p>
        </w:tc>
      </w:tr>
      <w:tr>
        <w:tc>
          <w:tcPr>
            <w:tcW w:w="1360" w:type="dxa"/>
            <w:shd w:val="clear" w:color="auto" w:fill="1C0CB3"/>
            <w:vAlign w:val="center"/>
          </w:tcPr>
          <w:p>
            <w:pPr>
              <w:pStyle w:val="Cellule"/>
            </w:pPr>
            <w:r>
              <w:rPr>
                <w:color w:val="F0EEE8"/>
              </w:rPr>
              <w:t xml:space="preserve">Indigo</w:t>
            </w:r>
          </w:p>
        </w:tc>
        <w:tc>
          <w:tcPr>
            <w:tcW w:w="1247" w:type="dxa"/>
            <w:vAlign w:val="center"/>
          </w:tcPr>
          <w:p>
            <w:pPr>
              <w:pStyle w:val="Cellule"/>
            </w:pPr>
            <w:r>
              <w:t xml:space="preserve">#1C0CB3</w:t>
            </w:r>
          </w:p>
        </w:tc>
        <w:tc>
          <w:tcPr>
            <w:tcW w:w="1474" w:type="dxa"/>
            <w:vAlign w:val="center"/>
          </w:tcPr>
          <w:p>
            <w:pPr>
              <w:pStyle w:val="Cellule"/>
            </w:pPr>
            <w:r>
              <w:t xml:space="preserve">28 12 179</w:t>
            </w:r>
          </w:p>
        </w:tc>
        <w:tc>
          <w:tcPr>
            <w:tcW w:w="1927" w:type="dxa"/>
            <w:vAlign w:val="center"/>
          </w:tcPr>
          <w:p>
            <w:pPr>
              <w:pStyle w:val="Cellule"/>
            </w:pPr>
            <w:r>
              <w:t xml:space="preserve">C84 M93 J0 N30</w:t>
            </w:r>
          </w:p>
        </w:tc>
        <w:tc>
          <w:tcPr>
            <w:tcW w:w="3628" w:type="dxa"/>
            <w:vAlign w:val="center"/>
          </w:tcPr>
          <w:p>
            <w:pPr>
              <w:pStyle w:val="Cellule"/>
            </w:pPr>
            <w:r>
              <w:t xml:space="preserve">La marque : logo, boutons, liens, bande du moment fort.</w:t>
            </w:r>
          </w:p>
        </w:tc>
      </w:tr>
      <w:tr>
        <w:tc>
          <w:tcPr>
            <w:tcW w:w="1360" w:type="dxa"/>
            <w:shd w:val="clear" w:color="auto" w:fill="F0EEE8"/>
            <w:vAlign w:val="center"/>
          </w:tcPr>
          <w:p>
            <w:pPr>
              <w:pStyle w:val="Cellule"/>
            </w:pPr>
            <w:r>
              <w:rPr>
                <w:color w:val="0E0B1F"/>
              </w:rPr>
              <w:t xml:space="preserve">Crème</w:t>
            </w:r>
          </w:p>
        </w:tc>
        <w:tc>
          <w:tcPr>
            <w:tcW w:w="1247" w:type="dxa"/>
            <w:vAlign w:val="center"/>
          </w:tcPr>
          <w:p>
            <w:pPr>
              <w:pStyle w:val="Cellule"/>
            </w:pPr>
            <w:r>
              <w:t xml:space="preserve">#F0EEE8</w:t>
            </w:r>
          </w:p>
        </w:tc>
        <w:tc>
          <w:tcPr>
            <w:tcW w:w="1474" w:type="dxa"/>
            <w:vAlign w:val="center"/>
          </w:tcPr>
          <w:p>
            <w:pPr>
              <w:pStyle w:val="Cellule"/>
            </w:pPr>
            <w:r>
              <w:t xml:space="preserve">240 238 232</w:t>
            </w:r>
          </w:p>
        </w:tc>
        <w:tc>
          <w:tcPr>
            <w:tcW w:w="1927" w:type="dxa"/>
            <w:vAlign w:val="center"/>
          </w:tcPr>
          <w:p>
            <w:pPr>
              <w:pStyle w:val="Cellule"/>
            </w:pPr>
            <w:r>
              <w:t xml:space="preserve">C0 M1 J3 N6</w:t>
            </w:r>
          </w:p>
        </w:tc>
        <w:tc>
          <w:tcPr>
            <w:tcW w:w="3628" w:type="dxa"/>
            <w:vAlign w:val="center"/>
          </w:tcPr>
          <w:p>
            <w:pPr>
              <w:pStyle w:val="Cellule"/>
            </w:pPr>
            <w:r>
              <w:t xml:space="preserve">Le fond du site et des supports.</w:t>
            </w:r>
          </w:p>
        </w:tc>
      </w:tr>
      <w:tr>
        <w:tc>
          <w:tcPr>
            <w:tcW w:w="1360" w:type="dxa"/>
            <w:shd w:val="clear" w:color="auto" w:fill="0E0B1F"/>
            <w:vAlign w:val="center"/>
          </w:tcPr>
          <w:p>
            <w:pPr>
              <w:pStyle w:val="Cellule"/>
            </w:pPr>
            <w:r>
              <w:rPr>
                <w:color w:val="F0EEE8"/>
              </w:rPr>
              <w:t xml:space="preserve">Encre</w:t>
            </w:r>
          </w:p>
        </w:tc>
        <w:tc>
          <w:tcPr>
            <w:tcW w:w="1247" w:type="dxa"/>
            <w:vAlign w:val="center"/>
          </w:tcPr>
          <w:p>
            <w:pPr>
              <w:pStyle w:val="Cellule"/>
            </w:pPr>
            <w:r>
              <w:t xml:space="preserve">#0E0B1F</w:t>
            </w:r>
          </w:p>
        </w:tc>
        <w:tc>
          <w:tcPr>
            <w:tcW w:w="1474" w:type="dxa"/>
            <w:vAlign w:val="center"/>
          </w:tcPr>
          <w:p>
            <w:pPr>
              <w:pStyle w:val="Cellule"/>
            </w:pPr>
            <w:r>
              <w:t xml:space="preserve">14 11 31</w:t>
            </w:r>
          </w:p>
        </w:tc>
        <w:tc>
          <w:tcPr>
            <w:tcW w:w="1927" w:type="dxa"/>
            <w:vAlign w:val="center"/>
          </w:tcPr>
          <w:p>
            <w:pPr>
              <w:pStyle w:val="Cellule"/>
            </w:pPr>
            <w:r>
              <w:t xml:space="preserve">C55 M65 J0 N88</w:t>
            </w:r>
          </w:p>
        </w:tc>
        <w:tc>
          <w:tcPr>
            <w:tcW w:w="3628" w:type="dxa"/>
            <w:vAlign w:val="center"/>
          </w:tcPr>
          <w:p>
            <w:pPr>
              <w:pStyle w:val="Cellule"/>
            </w:pPr>
            <w:r>
              <w:t xml:space="preserve">Le texte.</w:t>
            </w:r>
          </w:p>
        </w:tc>
      </w:tr>
      <w:tr>
        <w:tc>
          <w:tcPr>
            <w:tcW w:w="1360" w:type="dxa"/>
            <w:shd w:val="clear" w:color="auto" w:fill="F2A93B"/>
            <w:vAlign w:val="center"/>
          </w:tcPr>
          <w:p>
            <w:pPr>
              <w:pStyle w:val="Cellule"/>
            </w:pPr>
            <w:r>
              <w:rPr>
                <w:color w:val="0E0B1F"/>
              </w:rPr>
              <w:t xml:space="preserve">Soleil</w:t>
            </w:r>
          </w:p>
        </w:tc>
        <w:tc>
          <w:tcPr>
            <w:tcW w:w="1247" w:type="dxa"/>
            <w:vAlign w:val="center"/>
          </w:tcPr>
          <w:p>
            <w:pPr>
              <w:pStyle w:val="Cellule"/>
            </w:pPr>
            <w:r>
              <w:t xml:space="preserve">#F2A93B</w:t>
            </w:r>
          </w:p>
        </w:tc>
        <w:tc>
          <w:tcPr>
            <w:tcW w:w="1474" w:type="dxa"/>
            <w:vAlign w:val="center"/>
          </w:tcPr>
          <w:p>
            <w:pPr>
              <w:pStyle w:val="Cellule"/>
            </w:pPr>
            <w:r>
              <w:t xml:space="preserve">242 169 59</w:t>
            </w:r>
          </w:p>
        </w:tc>
        <w:tc>
          <w:tcPr>
            <w:tcW w:w="1927" w:type="dxa"/>
            <w:vAlign w:val="center"/>
          </w:tcPr>
          <w:p>
            <w:pPr>
              <w:pStyle w:val="Cellule"/>
            </w:pPr>
            <w:r>
              <w:t xml:space="preserve">C0 M30 J76 N5</w:t>
            </w:r>
          </w:p>
        </w:tc>
        <w:tc>
          <w:tcPr>
            <w:tcW w:w="3628" w:type="dxa"/>
            <w:vAlign w:val="center"/>
          </w:tcPr>
          <w:p>
            <w:pPr>
              <w:pStyle w:val="Cellule"/>
            </w:pPr>
            <w:r>
              <w:t xml:space="preserve">L’espace « en projet », le client idéal, le moment clé.</w:t>
            </w:r>
          </w:p>
        </w:tc>
      </w:tr>
      <w:tr>
        <w:tc>
          <w:tcPr>
            <w:tcW w:w="1360" w:type="dxa"/>
            <w:shd w:val="clear" w:color="auto" w:fill="2FAE8E"/>
            <w:vAlign w:val="center"/>
          </w:tcPr>
          <w:p>
            <w:pPr>
              <w:pStyle w:val="Cellule"/>
            </w:pPr>
            <w:r>
              <w:rPr>
                <w:color w:val="0E0B1F"/>
              </w:rPr>
              <w:t xml:space="preserve">Menthe</w:t>
            </w:r>
          </w:p>
        </w:tc>
        <w:tc>
          <w:tcPr>
            <w:tcW w:w="1247" w:type="dxa"/>
            <w:vAlign w:val="center"/>
          </w:tcPr>
          <w:p>
            <w:pPr>
              <w:pStyle w:val="Cellule"/>
            </w:pPr>
            <w:r>
              <w:t xml:space="preserve">#2FAE8E</w:t>
            </w:r>
          </w:p>
        </w:tc>
        <w:tc>
          <w:tcPr>
            <w:tcW w:w="1474" w:type="dxa"/>
            <w:vAlign w:val="center"/>
          </w:tcPr>
          <w:p>
            <w:pPr>
              <w:pStyle w:val="Cellule"/>
            </w:pPr>
            <w:r>
              <w:t xml:space="preserve">47 174 142</w:t>
            </w:r>
          </w:p>
        </w:tc>
        <w:tc>
          <w:tcPr>
            <w:tcW w:w="1927" w:type="dxa"/>
            <w:vAlign w:val="center"/>
          </w:tcPr>
          <w:p>
            <w:pPr>
              <w:pStyle w:val="Cellule"/>
            </w:pPr>
            <w:r>
              <w:t xml:space="preserve">C73 M0 J18 N32</w:t>
            </w:r>
          </w:p>
        </w:tc>
        <w:tc>
          <w:tcPr>
            <w:tcW w:w="3628" w:type="dxa"/>
            <w:vAlign w:val="center"/>
          </w:tcPr>
          <w:p>
            <w:pPr>
              <w:pStyle w:val="Cellule"/>
            </w:pPr>
            <w:r>
              <w:t xml:space="preserve">L’espace TPE, le quotidien, ce que ça rapporte.</w:t>
            </w:r>
          </w:p>
        </w:tc>
      </w:tr>
      <w:tr>
        <w:tc>
          <w:tcPr>
            <w:tcW w:w="1360" w:type="dxa"/>
            <w:shd w:val="clear" w:color="auto" w:fill="3B9DE8"/>
            <w:vAlign w:val="center"/>
          </w:tcPr>
          <w:p>
            <w:pPr>
              <w:pStyle w:val="Cellule"/>
            </w:pPr>
            <w:r>
              <w:rPr>
                <w:color w:val="0E0B1F"/>
              </w:rPr>
              <w:t xml:space="preserve">Ciel</w:t>
            </w:r>
          </w:p>
        </w:tc>
        <w:tc>
          <w:tcPr>
            <w:tcW w:w="1247" w:type="dxa"/>
            <w:vAlign w:val="center"/>
          </w:tcPr>
          <w:p>
            <w:pPr>
              <w:pStyle w:val="Cellule"/>
            </w:pPr>
            <w:r>
              <w:t xml:space="preserve">#3B9DE8</w:t>
            </w:r>
          </w:p>
        </w:tc>
        <w:tc>
          <w:tcPr>
            <w:tcW w:w="1474" w:type="dxa"/>
            <w:vAlign w:val="center"/>
          </w:tcPr>
          <w:p>
            <w:pPr>
              <w:pStyle w:val="Cellule"/>
            </w:pPr>
            <w:r>
              <w:t xml:space="preserve">59 157 232</w:t>
            </w:r>
          </w:p>
        </w:tc>
        <w:tc>
          <w:tcPr>
            <w:tcW w:w="1927" w:type="dxa"/>
            <w:vAlign w:val="center"/>
          </w:tcPr>
          <w:p>
            <w:pPr>
              <w:pStyle w:val="Cellule"/>
            </w:pPr>
            <w:r>
              <w:t xml:space="preserve">C75 M32 J0 N9</w:t>
            </w:r>
          </w:p>
        </w:tc>
        <w:tc>
          <w:tcPr>
            <w:tcW w:w="3628" w:type="dxa"/>
            <w:vAlign w:val="center"/>
          </w:tcPr>
          <w:p>
            <w:pPr>
              <w:pStyle w:val="Cellule"/>
            </w:pPr>
            <w:r>
              <w:t xml:space="preserve">L’espace PME, les chiffres, là où toucher la personne.</w:t>
            </w:r>
          </w:p>
        </w:tc>
      </w:tr>
      <w:tr>
        <w:tc>
          <w:tcPr>
            <w:tcW w:w="1360" w:type="dxa"/>
            <w:shd w:val="clear" w:color="auto" w:fill="EF6F5E"/>
            <w:vAlign w:val="center"/>
          </w:tcPr>
          <w:p>
            <w:pPr>
              <w:pStyle w:val="Cellule"/>
            </w:pPr>
            <w:r>
              <w:rPr>
                <w:color w:val="0E0B1F"/>
              </w:rPr>
              <w:t xml:space="preserve">Corail</w:t>
            </w:r>
          </w:p>
        </w:tc>
        <w:tc>
          <w:tcPr>
            <w:tcW w:w="1247" w:type="dxa"/>
            <w:vAlign w:val="center"/>
          </w:tcPr>
          <w:p>
            <w:pPr>
              <w:pStyle w:val="Cellule"/>
            </w:pPr>
            <w:r>
              <w:t xml:space="preserve">#EF6F5E</w:t>
            </w:r>
          </w:p>
        </w:tc>
        <w:tc>
          <w:tcPr>
            <w:tcW w:w="1474" w:type="dxa"/>
            <w:vAlign w:val="center"/>
          </w:tcPr>
          <w:p>
            <w:pPr>
              <w:pStyle w:val="Cellule"/>
            </w:pPr>
            <w:r>
              <w:t xml:space="preserve">239 111 94</w:t>
            </w:r>
          </w:p>
        </w:tc>
        <w:tc>
          <w:tcPr>
            <w:tcW w:w="1927" w:type="dxa"/>
            <w:vAlign w:val="center"/>
          </w:tcPr>
          <w:p>
            <w:pPr>
              <w:pStyle w:val="Cellule"/>
            </w:pPr>
            <w:r>
              <w:t xml:space="preserve">C0 M54 J61 N6</w:t>
            </w:r>
          </w:p>
        </w:tc>
        <w:tc>
          <w:tcPr>
            <w:tcW w:w="3628" w:type="dxa"/>
            <w:vAlign w:val="center"/>
          </w:tcPr>
          <w:p>
            <w:pPr>
              <w:pStyle w:val="Cellule"/>
            </w:pPr>
            <w:r>
              <w:t xml:space="preserve">Ce qui compte pour elle, ce que ça évite.</w:t>
            </w:r>
          </w:p>
        </w:tc>
      </w:tr>
      <w:tr>
        <w:tc>
          <w:tcPr>
            <w:tcW w:w="1360" w:type="dxa"/>
            <w:shd w:val="clear" w:color="auto" w:fill="8B7FF0"/>
            <w:vAlign w:val="center"/>
          </w:tcPr>
          <w:p>
            <w:pPr>
              <w:pStyle w:val="Cellule"/>
            </w:pPr>
            <w:r>
              <w:rPr>
                <w:color w:val="0E0B1F"/>
              </w:rPr>
              <w:t xml:space="preserve">Lilas</w:t>
            </w:r>
          </w:p>
        </w:tc>
        <w:tc>
          <w:tcPr>
            <w:tcW w:w="1247" w:type="dxa"/>
            <w:vAlign w:val="center"/>
          </w:tcPr>
          <w:p>
            <w:pPr>
              <w:pStyle w:val="Cellule"/>
            </w:pPr>
            <w:r>
              <w:t xml:space="preserve">#8B7FF0</w:t>
            </w:r>
          </w:p>
        </w:tc>
        <w:tc>
          <w:tcPr>
            <w:tcW w:w="1474" w:type="dxa"/>
            <w:vAlign w:val="center"/>
          </w:tcPr>
          <w:p>
            <w:pPr>
              <w:pStyle w:val="Cellule"/>
            </w:pPr>
            <w:r>
              <w:t xml:space="preserve">139 127 240</w:t>
            </w:r>
          </w:p>
        </w:tc>
        <w:tc>
          <w:tcPr>
            <w:tcW w:w="1927" w:type="dxa"/>
            <w:vAlign w:val="center"/>
          </w:tcPr>
          <w:p>
            <w:pPr>
              <w:pStyle w:val="Cellule"/>
            </w:pPr>
            <w:r>
              <w:t xml:space="preserve">C42 M47 J0 N6</w:t>
            </w:r>
          </w:p>
        </w:tc>
        <w:tc>
          <w:tcPr>
            <w:tcW w:w="3628" w:type="dxa"/>
            <w:vAlign w:val="center"/>
          </w:tcPr>
          <w:p>
            <w:pPr>
              <w:pStyle w:val="Cellule"/>
            </w:pPr>
            <w:r>
              <w:t xml:space="preserve">Le business plan, les premiers clients.</w:t>
            </w:r>
          </w:p>
        </w:tc>
      </w:tr>
    </w:tbl>
    <w:p>
      <w:pPr>
        <w:spacing w:after="120"/>
      </w:pPr>
    </w:p>
    <w:p>
      <w:pPr>
        <w:pStyle w:val="Petit"/>
      </w:pPr>
      <w:r>
        <w:t xml:space="preserve">Le CMJN est une conversion directe, à valider sur un bon à tirer : l’indigo ternit souvent à l’impression. Pour un indigo plus vif, tester C 100 M 90 J 0 N 0.</w:t>
      </w:r>
    </w:p>
    <w:p>
      <w:pPr>
        <w:pStyle w:val="Titre2"/>
      </w:pPr>
      <w:r>
        <w:t xml:space="preserve">Les règles</w:t>
      </w:r>
    </w:p>
    <w:p>
      <w:pPr>
        <w:pStyle w:val="Puce"/>
        <w:numPr>
          <w:ilvl w:val="0"/>
          <w:numId w:val="1"/>
        </w:numPr>
      </w:pPr>
      <w:r>
        <w:t xml:space="preserve">L’indigo porte la marque et les actions : boutons, liens, bande du moment fort.</w:t>
      </w:r>
    </w:p>
    <w:p>
      <w:pPr>
        <w:pStyle w:val="Puce"/>
        <w:numPr>
          <w:ilvl w:val="0"/>
          <w:numId w:val="1"/>
        </w:numPr>
      </w:pPr>
      <w:r>
        <w:t xml:space="preserve">Les couleurs d’explication ne décorent jamais un titre ni un bouton.</w:t>
      </w:r>
    </w:p>
    <w:p>
      <w:pPr>
        <w:pStyle w:val="Puce"/>
        <w:numPr>
          <w:ilvl w:val="0"/>
          <w:numId w:val="1"/>
        </w:numPr>
      </w:pPr>
      <w:r>
        <w:t xml:space="preserve">Un espace, un accent : </w:t>
      </w:r>
      <w:r>
        <w:rPr>
          <w:b/>
        </w:rPr>
        <w:t xml:space="preserve">soleil</w:t>
      </w:r>
      <w:r>
        <w:t xml:space="preserve"> pour « en projet », </w:t>
      </w:r>
      <w:r>
        <w:rPr>
          <w:b/>
        </w:rPr>
        <w:t xml:space="preserve">menthe</w:t>
      </w:r>
      <w:r>
        <w:t xml:space="preserve"> pour les TPE, </w:t>
      </w:r>
      <w:r>
        <w:rPr>
          <w:b/>
        </w:rPr>
        <w:t xml:space="preserve">ciel</w:t>
      </w:r>
      <w:r>
        <w:t xml:space="preserve"> pour les PME.</w:t>
      </w:r>
    </w:p>
    <w:p>
      <w:pPr>
        <w:pStyle w:val="Puce"/>
        <w:numPr>
          <w:ilvl w:val="0"/>
          <w:numId w:val="1"/>
        </w:numPr>
      </w:pPr>
      <w:r>
        <w:t xml:space="preserve">Une mission, une couleur : le client idéal au soleil, le business plan au lilas, le dossier au ciel, les clients à la menthe.</w:t>
      </w:r>
    </w:p>
    <w:p>
      <w:pPr>
        <w:pStyle w:val="Puce"/>
        <w:numPr>
          <w:ilvl w:val="0"/>
          <w:numId w:val="1"/>
        </w:numPr>
      </w:pPr>
      <w:r>
        <w:t xml:space="preserve">Les bandes de fond sont des versions pâles (16 à 18 % de la couleur sur le crème) : deux ou trois par page au plus, et une bande indigo pour le moment fort.</w:t>
      </w:r>
    </w:p>
    <w:p>
      <w:pPr>
        <w:pStyle w:val="Titre2"/>
      </w:pPr>
      <w:r>
        <w:t xml:space="preserve">La lisibilité</w:t>
      </w:r>
    </w:p>
    <w:tbl>
      <w:tblPr>
        <w:tblW w:w="9183" w:type="dxa"/>
        <w:jc w:val="center"/>
        <w:tblBorders>
          <w:top w:val="single" w:sz="4" w:space="0" w:color="D9D6CE"/>
          <w:left w:val="single" w:sz="4" w:space="0" w:color="D9D6CE"/>
          <w:bottom w:val="single" w:sz="4" w:space="0" w:color="D9D6CE"/>
          <w:right w:val="single" w:sz="4" w:space="0" w:color="D9D6CE"/>
          <w:insideH w:val="single" w:sz="4" w:space="0" w:color="D9D6CE"/>
          <w:insideV w:val="single" w:sz="4" w:space="0" w:color="D9D6CE"/>
        </w:tblBorders>
        <w:tblLayout w:type="fixed"/>
        <w:tblCellMar>
          <w:top w:w="90" w:type="dxa"/>
          <w:left w:w="110" w:type="dxa"/>
          <w:bottom w:w="90" w:type="dxa"/>
          <w:right w:w="110" w:type="dxa"/>
        </w:tblCellMar>
      </w:tblPr>
      <w:tblGrid>
        <w:gridCol w:w="1927"/>
        <w:gridCol w:w="1814"/>
        <w:gridCol w:w="1814"/>
        <w:gridCol w:w="1814"/>
        <w:gridCol w:w="1814"/>
      </w:tblGrid>
      <w:tr>
        <w:tc>
          <w:tcPr>
            <w:tcW w:w="1927" w:type="dxa"/>
            <w:shd w:val="clear" w:color="auto" w:fill="1C0CB3"/>
            <w:vAlign w:val="center"/>
          </w:tcPr>
          <w:p>
            <w:pPr>
              <w:pStyle w:val="Cellule"/>
            </w:pPr>
            <w:r>
              <w:rPr>
                <w:color w:val="F0EEE8"/>
              </w:rPr>
              <w:t xml:space="preserve">Fond</w:t>
            </w:r>
          </w:p>
        </w:tc>
        <w:tc>
          <w:tcPr>
            <w:tcW w:w="1814" w:type="dxa"/>
            <w:shd w:val="clear" w:color="auto" w:fill="1C0CB3"/>
            <w:vAlign w:val="center"/>
          </w:tcPr>
          <w:p>
            <w:pPr>
              <w:pStyle w:val="Cellule"/>
            </w:pPr>
            <w:r>
              <w:rPr>
                <w:color w:val="F0EEE8"/>
              </w:rPr>
              <w:t xml:space="preserve">Encre</w:t>
            </w:r>
          </w:p>
        </w:tc>
        <w:tc>
          <w:tcPr>
            <w:tcW w:w="1814" w:type="dxa"/>
            <w:shd w:val="clear" w:color="auto" w:fill="1C0CB3"/>
            <w:vAlign w:val="center"/>
          </w:tcPr>
          <w:p>
            <w:pPr>
              <w:pStyle w:val="Cellule"/>
            </w:pPr>
            <w:r>
              <w:rPr>
                <w:color w:val="F0EEE8"/>
              </w:rPr>
              <w:t xml:space="preserve">Indigo</w:t>
            </w:r>
          </w:p>
        </w:tc>
        <w:tc>
          <w:tcPr>
            <w:tcW w:w="1814" w:type="dxa"/>
            <w:shd w:val="clear" w:color="auto" w:fill="1C0CB3"/>
            <w:vAlign w:val="center"/>
          </w:tcPr>
          <w:p>
            <w:pPr>
              <w:pStyle w:val="Cellule"/>
            </w:pPr>
            <w:r>
              <w:rPr>
                <w:color w:val="F0EEE8"/>
              </w:rPr>
              <w:t xml:space="preserve">Gris soutenu</w:t>
            </w:r>
          </w:p>
        </w:tc>
        <w:tc>
          <w:tcPr>
            <w:tcW w:w="1814" w:type="dxa"/>
            <w:shd w:val="clear" w:color="auto" w:fill="1C0CB3"/>
            <w:vAlign w:val="center"/>
          </w:tcPr>
          <w:p>
            <w:pPr>
              <w:pStyle w:val="Cellule"/>
            </w:pPr>
            <w:r>
              <w:rPr>
                <w:color w:val="F0EEE8"/>
              </w:rPr>
              <w:t xml:space="preserve">Crème</w:t>
            </w:r>
          </w:p>
        </w:tc>
      </w:tr>
      <w:tr>
        <w:tc>
          <w:tcPr>
            <w:tcW w:w="1927" w:type="dxa"/>
            <w:shd w:val="clear" w:color="auto" w:fill="F0EEE8"/>
            <w:vAlign w:val="center"/>
          </w:tcPr>
          <w:p>
            <w:pPr>
              <w:pStyle w:val="Cellule"/>
            </w:pPr>
            <w:r>
              <w:rPr>
                <w:color w:val="0E0B1F"/>
              </w:rPr>
              <w:t xml:space="preserve">Crème</w:t>
            </w:r>
          </w:p>
        </w:tc>
        <w:tc>
          <w:tcPr>
            <w:tcW w:w="1814" w:type="dxa"/>
            <w:vAlign w:val="center"/>
          </w:tcPr>
          <w:p>
            <w:pPr>
              <w:pStyle w:val="Cellule"/>
            </w:pPr>
            <w:r>
              <w:t xml:space="preserve">16.7 : 1</w:t>
            </w:r>
          </w:p>
        </w:tc>
        <w:tc>
          <w:tcPr>
            <w:tcW w:w="1814" w:type="dxa"/>
            <w:vAlign w:val="center"/>
          </w:tcPr>
          <w:p>
            <w:pPr>
              <w:pStyle w:val="Cellule"/>
            </w:pPr>
            <w:r>
              <w:t xml:space="preserve">10.3 : 1</w:t>
            </w:r>
          </w:p>
        </w:tc>
        <w:tc>
          <w:tcPr>
            <w:tcW w:w="1814" w:type="dxa"/>
            <w:vAlign w:val="center"/>
          </w:tcPr>
          <w:p>
            <w:pPr>
              <w:pStyle w:val="Cellule"/>
            </w:pPr>
            <w:r>
              <w:t xml:space="preserve">6.0 : 1</w:t>
            </w:r>
          </w:p>
        </w:tc>
        <w:tc>
          <w:tcPr>
            <w:tcW w:w="1814" w:type="dxa"/>
            <w:vAlign w:val="center"/>
          </w:tcPr>
          <w:p>
            <w:pPr>
              <w:pStyle w:val="Cellule"/>
            </w:pPr>
            <w:r>
              <w:t xml:space="preserve">1.0 : 1</w:t>
            </w:r>
          </w:p>
        </w:tc>
      </w:tr>
      <w:tr>
        <w:tc>
          <w:tcPr>
            <w:tcW w:w="1927" w:type="dxa"/>
            <w:shd w:val="clear" w:color="auto" w:fill="F0E2C9"/>
            <w:vAlign w:val="center"/>
          </w:tcPr>
          <w:p>
            <w:pPr>
              <w:pStyle w:val="Cellule"/>
            </w:pPr>
            <w:r>
              <w:rPr>
                <w:color w:val="0E0B1F"/>
              </w:rPr>
              <w:t xml:space="preserve">Soleil pâle</w:t>
            </w:r>
          </w:p>
        </w:tc>
        <w:tc>
          <w:tcPr>
            <w:tcW w:w="1814" w:type="dxa"/>
            <w:vAlign w:val="center"/>
          </w:tcPr>
          <w:p>
            <w:pPr>
              <w:pStyle w:val="Cellule"/>
            </w:pPr>
            <w:r>
              <w:t xml:space="preserve">15.1 : 1</w:t>
            </w:r>
          </w:p>
        </w:tc>
        <w:tc>
          <w:tcPr>
            <w:tcW w:w="1814" w:type="dxa"/>
            <w:vAlign w:val="center"/>
          </w:tcPr>
          <w:p>
            <w:pPr>
              <w:pStyle w:val="Cellule"/>
            </w:pPr>
            <w:r>
              <w:t xml:space="preserve">9.4 : 1</w:t>
            </w:r>
          </w:p>
        </w:tc>
        <w:tc>
          <w:tcPr>
            <w:tcW w:w="1814" w:type="dxa"/>
            <w:vAlign w:val="center"/>
          </w:tcPr>
          <w:p>
            <w:pPr>
              <w:pStyle w:val="Cellule"/>
            </w:pPr>
            <w:r>
              <w:t xml:space="preserve">5.5 : 1</w:t>
            </w:r>
          </w:p>
        </w:tc>
        <w:tc>
          <w:tcPr>
            <w:tcW w:w="1814" w:type="dxa"/>
            <w:vAlign w:val="center"/>
          </w:tcPr>
          <w:p>
            <w:pPr>
              <w:pStyle w:val="Cellule"/>
            </w:pPr>
            <w:r>
              <w:t xml:space="preserve">1.1 : 1</w:t>
            </w:r>
          </w:p>
        </w:tc>
      </w:tr>
      <w:tr>
        <w:tc>
          <w:tcPr>
            <w:tcW w:w="1927" w:type="dxa"/>
            <w:shd w:val="clear" w:color="auto" w:fill="D1E4DA"/>
            <w:vAlign w:val="center"/>
          </w:tcPr>
          <w:p>
            <w:pPr>
              <w:pStyle w:val="Cellule"/>
            </w:pPr>
            <w:r>
              <w:rPr>
                <w:color w:val="0E0B1F"/>
              </w:rPr>
              <w:t xml:space="preserve">Menthe pâle</w:t>
            </w:r>
          </w:p>
        </w:tc>
        <w:tc>
          <w:tcPr>
            <w:tcW w:w="1814" w:type="dxa"/>
            <w:vAlign w:val="center"/>
          </w:tcPr>
          <w:p>
            <w:pPr>
              <w:pStyle w:val="Cellule"/>
            </w:pPr>
            <w:r>
              <w:t xml:space="preserve">14.6 : 1</w:t>
            </w:r>
          </w:p>
        </w:tc>
        <w:tc>
          <w:tcPr>
            <w:tcW w:w="1814" w:type="dxa"/>
            <w:vAlign w:val="center"/>
          </w:tcPr>
          <w:p>
            <w:pPr>
              <w:pStyle w:val="Cellule"/>
            </w:pPr>
            <w:r>
              <w:t xml:space="preserve">9.0 : 1</w:t>
            </w:r>
          </w:p>
        </w:tc>
        <w:tc>
          <w:tcPr>
            <w:tcW w:w="1814" w:type="dxa"/>
            <w:vAlign w:val="center"/>
          </w:tcPr>
          <w:p>
            <w:pPr>
              <w:pStyle w:val="Cellule"/>
            </w:pPr>
            <w:r>
              <w:t xml:space="preserve">5.3 : 1</w:t>
            </w:r>
          </w:p>
        </w:tc>
        <w:tc>
          <w:tcPr>
            <w:tcW w:w="1814" w:type="dxa"/>
            <w:vAlign w:val="center"/>
          </w:tcPr>
          <w:p>
            <w:pPr>
              <w:pStyle w:val="Cellule"/>
            </w:pPr>
            <w:r>
              <w:t xml:space="preserve">1.1 : 1</w:t>
            </w:r>
          </w:p>
        </w:tc>
      </w:tr>
      <w:tr>
        <w:tc>
          <w:tcPr>
            <w:tcW w:w="1927" w:type="dxa"/>
            <w:shd w:val="clear" w:color="auto" w:fill="D3E1E8"/>
            <w:vAlign w:val="center"/>
          </w:tcPr>
          <w:p>
            <w:pPr>
              <w:pStyle w:val="Cellule"/>
            </w:pPr>
            <w:r>
              <w:rPr>
                <w:color w:val="0E0B1F"/>
              </w:rPr>
              <w:t xml:space="preserve">Ciel pâle</w:t>
            </w:r>
          </w:p>
        </w:tc>
        <w:tc>
          <w:tcPr>
            <w:tcW w:w="1814" w:type="dxa"/>
            <w:vAlign w:val="center"/>
          </w:tcPr>
          <w:p>
            <w:pPr>
              <w:pStyle w:val="Cellule"/>
            </w:pPr>
            <w:r>
              <w:t xml:space="preserve">14.5 : 1</w:t>
            </w:r>
          </w:p>
        </w:tc>
        <w:tc>
          <w:tcPr>
            <w:tcW w:w="1814" w:type="dxa"/>
            <w:vAlign w:val="center"/>
          </w:tcPr>
          <w:p>
            <w:pPr>
              <w:pStyle w:val="Cellule"/>
            </w:pPr>
            <w:r>
              <w:t xml:space="preserve">9.0 : 1</w:t>
            </w:r>
          </w:p>
        </w:tc>
        <w:tc>
          <w:tcPr>
            <w:tcW w:w="1814" w:type="dxa"/>
            <w:vAlign w:val="center"/>
          </w:tcPr>
          <w:p>
            <w:pPr>
              <w:pStyle w:val="Cellule"/>
            </w:pPr>
            <w:r>
              <w:t xml:space="preserve">5.2 : 1</w:t>
            </w:r>
          </w:p>
        </w:tc>
        <w:tc>
          <w:tcPr>
            <w:tcW w:w="1814" w:type="dxa"/>
            <w:vAlign w:val="center"/>
          </w:tcPr>
          <w:p>
            <w:pPr>
              <w:pStyle w:val="Cellule"/>
            </w:pPr>
            <w:r>
              <w:t xml:space="preserve">1.2 : 1</w:t>
            </w:r>
          </w:p>
        </w:tc>
      </w:tr>
      <w:tr>
        <w:tc>
          <w:tcPr>
            <w:tcW w:w="1927" w:type="dxa"/>
            <w:shd w:val="clear" w:color="auto" w:fill="1C0CB3"/>
            <w:vAlign w:val="center"/>
          </w:tcPr>
          <w:p>
            <w:pPr>
              <w:pStyle w:val="Cellule"/>
            </w:pPr>
            <w:r>
              <w:rPr>
                <w:color w:val="F0EEE8"/>
              </w:rPr>
              <w:t xml:space="preserve">Indigo</w:t>
            </w:r>
          </w:p>
        </w:tc>
        <w:tc>
          <w:tcPr>
            <w:tcW w:w="1814" w:type="dxa"/>
            <w:vAlign w:val="center"/>
          </w:tcPr>
          <w:p>
            <w:pPr>
              <w:pStyle w:val="Cellule"/>
            </w:pPr>
            <w:r>
              <w:t xml:space="preserve">1.6 : 1</w:t>
            </w:r>
          </w:p>
        </w:tc>
        <w:tc>
          <w:tcPr>
            <w:tcW w:w="1814" w:type="dxa"/>
            <w:vAlign w:val="center"/>
          </w:tcPr>
          <w:p>
            <w:pPr>
              <w:pStyle w:val="Cellule"/>
            </w:pPr>
            <w:r>
              <w:t xml:space="preserve">1.0 : 1</w:t>
            </w:r>
          </w:p>
        </w:tc>
        <w:tc>
          <w:tcPr>
            <w:tcW w:w="1814" w:type="dxa"/>
            <w:vAlign w:val="center"/>
          </w:tcPr>
          <w:p>
            <w:pPr>
              <w:pStyle w:val="Cellule"/>
            </w:pPr>
            <w:r>
              <w:t xml:space="preserve">1.7 : 1</w:t>
            </w:r>
          </w:p>
        </w:tc>
        <w:tc>
          <w:tcPr>
            <w:tcW w:w="1814" w:type="dxa"/>
            <w:vAlign w:val="center"/>
          </w:tcPr>
          <w:p>
            <w:pPr>
              <w:pStyle w:val="Cellule"/>
            </w:pPr>
            <w:r>
              <w:t xml:space="preserve">10.3 : 1</w:t>
            </w:r>
          </w:p>
        </w:tc>
      </w:tr>
    </w:tbl>
    <w:p>
      <w:pPr>
        <w:spacing w:after="120"/>
      </w:pPr>
    </w:p>
    <w:p>
      <w:pPr>
        <w:pStyle w:val="Petit"/>
      </w:pPr>
      <w:r>
        <w:t xml:space="preserve">Seuil à respecter : 4,5 : 1 pour le texte courant. Sur les bandes pâles, le texte secondaire prend le gris soutenu (#5C5951) ; sur l’indigo, le texte est crème.</w:t>
      </w:r>
    </w:p>
    <w:p>
      <w:r>
        <w:br w:type="page"/>
      </w:r>
    </w:p>
    <w:p>
      <w:pPr>
        <w:pStyle w:val="Titre1"/>
      </w:pPr>
      <w:r>
        <w:t xml:space="preserve">La typographie</w:t>
      </w:r>
    </w:p>
    <w:p>
      <w:pPr>
        <w:spacing w:before="120" w:after="200"/>
        <w:jc w:val="center"/>
      </w:pPr>
      <w:r>
        <w:drawing>
          <wp:inline distT="0" distB="0" distL="0" distR="0">
            <wp:extent cx="5940000" cy="2509650"/>
            <wp:docPr id="5" name="Imag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940000" cy="2509650"/>
                    </a:xfrm>
                    <a:prstGeom prst="rect">
                      <a:avLst/>
                    </a:prstGeom>
                  </pic:spPr>
                </pic:pic>
              </a:graphicData>
            </a:graphic>
          </wp:inline>
        </w:drawing>
      </w:r>
    </w:p>
    <w:p>
      <w:pPr>
        <w:pStyle w:val="Puce"/>
        <w:numPr>
          <w:ilvl w:val="0"/>
          <w:numId w:val="1"/>
        </w:numPr>
      </w:pPr>
      <w:r>
        <w:rPr>
          <w:b/>
        </w:rPr>
        <w:t xml:space="preserve">Neue Einstellung</w:t>
      </w:r>
      <w:r>
        <w:t xml:space="preserve"> pour tout le texte : Regular 400 pour lire, Medium 500 pour les liens et les étiquettes, SemiBold 600 pour les titres.</w:t>
      </w:r>
    </w:p>
    <w:p>
      <w:pPr>
        <w:pStyle w:val="Puce"/>
        <w:numPr>
          <w:ilvl w:val="0"/>
          <w:numId w:val="1"/>
        </w:numPr>
      </w:pPr>
      <w:r>
        <w:rPr>
          <w:b/>
        </w:rPr>
        <w:t xml:space="preserve">Reskope Network</w:t>
      </w:r>
      <w:r>
        <w:t xml:space="preserve">, la police dessinée en réseau, pour le nom de la marque et quelques grands mots : jamais pour du texte courant.</w:t>
      </w:r>
    </w:p>
    <w:p>
      <w:pPr>
        <w:pStyle w:val="Puce"/>
        <w:numPr>
          <w:ilvl w:val="0"/>
          <w:numId w:val="1"/>
        </w:numPr>
      </w:pPr>
      <w:r>
        <w:rPr>
          <w:b/>
        </w:rPr>
        <w:t xml:space="preserve">Échelle du site :</w:t>
      </w:r>
      <w:r>
        <w:t xml:space="preserve"> titre de page 2,3 à 4,8 rem ; titre de section 1,75 à 3 rem ; texte 1 à 1,12 rem ; interligne 1,6 à 1,7 ; 60 à 70 signes par ligne.</w:t>
      </w:r>
    </w:p>
    <w:p>
      <w:pPr>
        <w:pStyle w:val="Puce"/>
        <w:numPr>
          <w:ilvl w:val="0"/>
          <w:numId w:val="1"/>
        </w:numPr>
      </w:pPr>
      <w:r>
        <w:rPr>
          <w:b/>
        </w:rPr>
        <w:t xml:space="preserve">Écriture :</w:t>
      </w:r>
      <w:r>
        <w:t xml:space="preserve"> espace insécable avant « : ; ! ? » et dans les guillemets français ; pas de tiret cadratin ; pas de petites capitales espacées au-dessus des titres ; « vous » pour le lecteur, « on » pour Reskope.</w:t>
      </w:r>
    </w:p>
    <w:p>
      <w:pPr>
        <w:pStyle w:val="Encadre"/>
        <w:shd w:val="clear" w:color="auto" w:fill="FBEBD1"/>
      </w:pPr>
      <w:r>
        <w:rPr>
          <w:b/>
        </w:rPr>
        <w:t xml:space="preserve">À venir :</w:t>
      </w:r>
      <w:r>
        <w:t xml:space="preserve"> une typographie maison, « Reskope ». La police Neue Einstellung n’est pas à nous ; la nôtre la remplacera partout, sur le site comme sur les supports.</w:t>
      </w:r>
    </w:p>
    <w:p>
      <w:r>
        <w:br w:type="page"/>
      </w:r>
    </w:p>
    <w:p>
      <w:pPr>
        <w:pStyle w:val="Titre1"/>
      </w:pPr>
      <w:r>
        <w:t xml:space="preserve">Le réseau</w:t>
      </w:r>
    </w:p>
    <w:p>
      <w:r>
        <w:t xml:space="preserve">Le réseau est la langue de la marque. Un nœud, c’est une chose ; un lien, une relation ; une couleur, une catégorie. Il a trois usages.</w:t>
      </w:r>
    </w:p>
    <w:p>
      <w:pPr>
        <w:pStyle w:val="Puce"/>
        <w:numPr>
          <w:ilvl w:val="0"/>
          <w:numId w:val="1"/>
        </w:numPr>
      </w:pPr>
      <w:r>
        <w:rPr>
          <w:b/>
        </w:rPr>
        <w:t xml:space="preserve">La trame :</w:t>
      </w:r>
      <w:r>
        <w:t xml:space="preserve"> en fond, très légère, peu dense ; elle reste sur les bords des bandes et ne passe jamais derrière un texte à lire. La souris l’attire, jamais un doigt.</w:t>
      </w:r>
    </w:p>
    <w:p>
      <w:pPr>
        <w:pStyle w:val="Puce"/>
        <w:numPr>
          <w:ilvl w:val="0"/>
          <w:numId w:val="1"/>
        </w:numPr>
      </w:pPr>
      <w:r>
        <w:rPr>
          <w:b/>
        </w:rPr>
        <w:t xml:space="preserve">Les schémas :</w:t>
      </w:r>
      <w:r>
        <w:t xml:space="preserve"> le réseau porte l’information, par exemple la taille d’une entreprise (un nœud, sept, vingt-six), le client idéal et ses centres d’intérêt, le business plan et ses cinq parties.</w:t>
      </w:r>
    </w:p>
    <w:p>
      <w:pPr>
        <w:pStyle w:val="Puce"/>
        <w:numPr>
          <w:ilvl w:val="0"/>
          <w:numId w:val="1"/>
        </w:numPr>
      </w:pPr>
      <w:r>
        <w:rPr>
          <w:b/>
        </w:rPr>
        <w:t xml:space="preserve">Le mot-symbole :</w:t>
      </w:r>
      <w:r>
        <w:t xml:space="preserve"> le R, et « Reskope » écrit en police réseau.</w:t>
      </w:r>
    </w:p>
    <w:p>
      <w:pPr>
        <w:spacing w:before="120" w:after="200"/>
        <w:jc w:val="center"/>
      </w:pPr>
      <w:r>
        <w:drawing>
          <wp:inline distT="0" distB="0" distL="0" distR="0">
            <wp:extent cx="5940000" cy="4445419"/>
            <wp:docPr id="6" name="Imag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940000" cy="4445419"/>
                    </a:xfrm>
                    <a:prstGeom prst="rect">
                      <a:avLst/>
                    </a:prstGeom>
                  </pic:spPr>
                </pic:pic>
              </a:graphicData>
            </a:graphic>
          </wp:inline>
        </w:drawing>
      </w:r>
    </w:p>
    <w:p>
      <w:pPr>
        <w:pStyle w:val="Legende"/>
        <w:jc w:val="center"/>
      </w:pPr>
      <w:r>
        <w:t xml:space="preserve">L’entrée du site : trois tailles d’entreprise, dessinées en réseau.</w:t>
      </w:r>
    </w:p>
    <w:p>
      <w:pPr>
        <w:spacing w:before="120" w:after="200"/>
        <w:jc w:val="center"/>
      </w:pPr>
      <w:r>
        <w:drawing>
          <wp:inline distT="0" distB="0" distL="0" distR="0">
            <wp:extent cx="5940000" cy="7448738"/>
            <wp:docPr id="7" name="Imag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940000" cy="7448738"/>
                    </a:xfrm>
                    <a:prstGeom prst="rect">
                      <a:avLst/>
                    </a:prstGeom>
                  </pic:spPr>
                </pic:pic>
              </a:graphicData>
            </a:graphic>
          </wp:inline>
        </w:drawing>
      </w:r>
    </w:p>
    <w:p>
      <w:pPr>
        <w:pStyle w:val="Legende"/>
        <w:jc w:val="center"/>
      </w:pPr>
      <w:r>
        <w:t xml:space="preserve">Le livrable « votre client idéal » : ses centres d’intérêt en constellation, sa journée en réseau.</w:t>
      </w:r>
    </w:p>
    <w:p>
      <w:r>
        <w:br w:type="page"/>
      </w:r>
    </w:p>
    <w:p>
      <w:pPr>
        <w:pStyle w:val="Titre1"/>
      </w:pPr>
      <w:r>
        <w:t xml:space="preserve">Les volumes</w:t>
      </w:r>
    </w:p>
    <w:p>
      <w:r>
        <w:t xml:space="preserve">Les chiffres et les étapes se posent en volume, en axonométrie à 30°, comme sur une maquette. Trois faces d’indigo : dessus #5B4BE6, droite #1C0CB3, gauche #130982. Un volume plein, c’est vérifié ; en fil de fer, pas encore. Les couleurs d’explication s’y posent quand elles portent un sens : ce que ça évite en corail, ce que ça rapporte en menthe.</w:t>
      </w:r>
    </w:p>
    <w:p>
      <w:pPr>
        <w:spacing w:before="120" w:after="200"/>
        <w:jc w:val="center"/>
      </w:pPr>
      <w:r>
        <w:drawing>
          <wp:inline distT="0" distB="0" distL="0" distR="0">
            <wp:extent cx="5940000" cy="1809843"/>
            <wp:docPr id="8" name="Image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5940000" cy="1809843"/>
                    </a:xfrm>
                    <a:prstGeom prst="rect">
                      <a:avLst/>
                    </a:prstGeom>
                  </pic:spPr>
                </pic:pic>
              </a:graphicData>
            </a:graphic>
          </wp:inline>
        </w:drawing>
      </w:r>
    </w:p>
    <w:p>
      <w:pPr>
        <w:pStyle w:val="Legende"/>
        <w:jc w:val="center"/>
      </w:pPr>
      <w:r>
        <w:t xml:space="preserve">« Un investissement léger, et des gains qui se voient » : un bloc pour la mission, une pile pour ce qu’elle évite et rapporte.</w:t>
      </w:r>
    </w:p>
    <w:p>
      <w:pPr>
        <w:pStyle w:val="Titre1"/>
      </w:pPr>
      <w:r>
        <w:t xml:space="preserve">Le mouvement</w:t>
      </w:r>
    </w:p>
    <w:p>
      <w:pPr>
        <w:pStyle w:val="Puce"/>
        <w:numPr>
          <w:ilvl w:val="0"/>
          <w:numId w:val="1"/>
        </w:numPr>
      </w:pPr>
      <w:r>
        <w:rPr>
          <w:b/>
        </w:rPr>
        <w:t xml:space="preserve">Tout arrive de la profondeur</w:t>
      </w:r>
      <w:r>
        <w:t xml:space="preserve"> et se redresse ; rien n’entre à plat par un simple glissement.</w:t>
      </w:r>
    </w:p>
    <w:p>
      <w:pPr>
        <w:pStyle w:val="Puce"/>
        <w:numPr>
          <w:ilvl w:val="0"/>
          <w:numId w:val="1"/>
        </w:numPr>
      </w:pPr>
      <w:r>
        <w:rPr>
          <w:b/>
        </w:rPr>
        <w:t xml:space="preserve">Trois entrées, pour varier :</w:t>
      </w:r>
      <w:r>
        <w:t xml:space="preserve"> la profondeur, le pivot (depuis le côté, comme une porte qu’on pousse), la bascule (depuis le haut, vers l’avant).</w:t>
      </w:r>
    </w:p>
    <w:p>
      <w:pPr>
        <w:pStyle w:val="Puce"/>
        <w:numPr>
          <w:ilvl w:val="0"/>
          <w:numId w:val="1"/>
        </w:numPr>
      </w:pPr>
      <w:r>
        <w:rPr>
          <w:b/>
        </w:rPr>
        <w:t xml:space="preserve">Les schémas se construisent :</w:t>
      </w:r>
      <w:r>
        <w:t xml:space="preserve"> les traits se tracent, les nœuds apparaissent, un influx parcourt les liens.</w:t>
      </w:r>
    </w:p>
    <w:p>
      <w:pPr>
        <w:pStyle w:val="Puce"/>
        <w:numPr>
          <w:ilvl w:val="0"/>
          <w:numId w:val="1"/>
        </w:numPr>
      </w:pPr>
      <w:r>
        <w:rPr>
          <w:b/>
        </w:rPr>
        <w:t xml:space="preserve">Au survol :</w:t>
      </w:r>
      <w:r>
        <w:t xml:space="preserve"> les liens se surlignent, les flèches avancent, les cartes s’inclinent en volume sous la souris.</w:t>
      </w:r>
    </w:p>
    <w:p>
      <w:pPr>
        <w:pStyle w:val="Puce"/>
        <w:numPr>
          <w:ilvl w:val="0"/>
          <w:numId w:val="1"/>
        </w:numPr>
      </w:pPr>
      <w:r>
        <w:rPr>
          <w:b/>
        </w:rPr>
        <w:t xml:space="preserve">Rythme :</w:t>
      </w:r>
      <w:r>
        <w:t xml:space="preserve"> 0,3 à 1,1 seconde, des courbes douces ; le mouvement suit la lecture, il ne la retarde jamais.</w:t>
      </w:r>
    </w:p>
    <w:p>
      <w:pPr>
        <w:pStyle w:val="Puce"/>
        <w:numPr>
          <w:ilvl w:val="0"/>
          <w:numId w:val="1"/>
        </w:numPr>
      </w:pPr>
      <w:r>
        <w:rPr>
          <w:b/>
        </w:rPr>
        <w:t xml:space="preserve">Mouvement réduit :</w:t>
      </w:r>
      <w:r>
        <w:t xml:space="preserve"> si le visiteur l’a demandé, tout reste lisible et à sa place, sans animation.</w:t>
      </w:r>
    </w:p>
    <w:p>
      <w:r>
        <w:br w:type="page"/>
      </w:r>
    </w:p>
    <w:p>
      <w:pPr>
        <w:pStyle w:val="Titre1"/>
      </w:pPr>
      <w:r>
        <w:t xml:space="preserve">La mise en page</w:t>
      </w:r>
    </w:p>
    <w:p>
      <w:pPr>
        <w:pStyle w:val="Puce"/>
        <w:numPr>
          <w:ilvl w:val="0"/>
          <w:numId w:val="1"/>
        </w:numPr>
      </w:pPr>
      <w:r>
        <w:rPr>
          <w:b/>
        </w:rPr>
        <w:t xml:space="preserve">Chaque section s’ouvre par une phrase d’amorce,</w:t>
      </w:r>
      <w:r>
        <w:t xml:space="preserve"> centrée ; le détail suit dessous.</w:t>
      </w:r>
    </w:p>
    <w:p>
      <w:pPr>
        <w:pStyle w:val="Puce"/>
        <w:numPr>
          <w:ilvl w:val="0"/>
          <w:numId w:val="1"/>
        </w:numPr>
      </w:pPr>
      <w:r>
        <w:rPr>
          <w:b/>
        </w:rPr>
        <w:t xml:space="preserve">Une colonne de lecture au centre</w:t>
      </w:r>
      <w:r>
        <w:t xml:space="preserve"> (42 rem, soit 60 à 70 signes) ; les schémas prennent une colonne plus large (64 rem), toujours au centre.</w:t>
      </w:r>
    </w:p>
    <w:p>
      <w:pPr>
        <w:pStyle w:val="Puce"/>
        <w:numPr>
          <w:ilvl w:val="0"/>
          <w:numId w:val="1"/>
        </w:numPr>
      </w:pPr>
      <w:r>
        <w:rPr>
          <w:b/>
        </w:rPr>
        <w:t xml:space="preserve">De bonnes cases</w:t>
      </w:r>
      <w:r>
        <w:t xml:space="preserve"> pour ce qui se clique : cartes et tuiles, avec un bouton visible (« Entrer → »).</w:t>
      </w:r>
    </w:p>
    <w:p>
      <w:pPr>
        <w:pStyle w:val="Puce"/>
        <w:numPr>
          <w:ilvl w:val="0"/>
          <w:numId w:val="1"/>
        </w:numPr>
      </w:pPr>
      <w:r>
        <w:rPr>
          <w:b/>
        </w:rPr>
        <w:t xml:space="preserve">Des espaces réguliers :</w:t>
      </w:r>
      <w:r>
        <w:t xml:space="preserve"> un bloc est à égale distance de ce qui le précède et de ce qui le suit.</w:t>
      </w:r>
    </w:p>
    <w:p>
      <w:pPr>
        <w:pStyle w:val="Puce"/>
        <w:numPr>
          <w:ilvl w:val="0"/>
          <w:numId w:val="1"/>
        </w:numPr>
      </w:pPr>
      <w:r>
        <w:rPr>
          <w:b/>
        </w:rPr>
        <w:t xml:space="preserve">Des bandes de couleur</w:t>
      </w:r>
      <w:r>
        <w:t xml:space="preserve"> pour rythmer : un fond pâle pour ce qu’on reçoit ou ce que ça coûte, une bande indigo pour le moment fort.</w:t>
      </w:r>
    </w:p>
    <w:p>
      <w:pPr>
        <w:pStyle w:val="Puce"/>
        <w:numPr>
          <w:ilvl w:val="0"/>
          <w:numId w:val="1"/>
        </w:numPr>
      </w:pPr>
      <w:r>
        <w:rPr>
          <w:b/>
        </w:rPr>
        <w:t xml:space="preserve">Le menu tient dans un écran,</w:t>
      </w:r>
      <w:r>
        <w:t xml:space="preserve"> sur téléphone comme sur ordinateur, avec une croix pour le fermer.</w:t>
      </w:r>
    </w:p>
    <w:p>
      <w:pPr>
        <w:spacing w:before="120" w:after="200"/>
        <w:jc w:val="center"/>
      </w:pPr>
      <w:r>
        <w:drawing>
          <wp:inline distT="0" distB="0" distL="0" distR="0">
            <wp:extent cx="5940000" cy="4200428"/>
            <wp:docPr id="9" name="Image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5940000" cy="4200428"/>
                    </a:xfrm>
                    <a:prstGeom prst="rect">
                      <a:avLst/>
                    </a:prstGeom>
                  </pic:spPr>
                </pic:pic>
              </a:graphicData>
            </a:graphic>
          </wp:inline>
        </w:drawing>
      </w:r>
    </w:p>
    <w:p>
      <w:pPr>
        <w:pStyle w:val="Legende"/>
        <w:jc w:val="center"/>
      </w:pPr>
      <w:r>
        <w:t xml:space="preserve">La bande indigo du moment fort : le business plan, en réseau.</w:t>
      </w:r>
    </w:p>
    <w:p>
      <w:pPr>
        <w:spacing w:before="120" w:after="200"/>
        <w:jc w:val="center"/>
      </w:pPr>
      <w:r>
        <w:drawing>
          <wp:inline distT="0" distB="0" distL="0" distR="0">
            <wp:extent cx="5940000" cy="3712500"/>
            <wp:docPr id="10" name="Image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5940000" cy="3712500"/>
                    </a:xfrm>
                    <a:prstGeom prst="rect">
                      <a:avLst/>
                    </a:prstGeom>
                  </pic:spPr>
                </pic:pic>
              </a:graphicData>
            </a:graphic>
          </wp:inline>
        </w:drawing>
      </w:r>
    </w:p>
    <w:p>
      <w:pPr>
        <w:pStyle w:val="Legende"/>
        <w:jc w:val="center"/>
      </w:pPr>
      <w:r>
        <w:t xml:space="preserve">Le menu : les trois espaces en tuiles, les missions, les pages.</w:t>
      </w:r>
    </w:p>
    <w:p>
      <w:r>
        <w:br w:type="page"/>
      </w:r>
    </w:p>
    <w:p>
      <w:pPr>
        <w:pStyle w:val="Titre1"/>
      </w:pPr>
      <w:r>
        <w:t xml:space="preserve">Les images</w:t>
      </w:r>
    </w:p>
    <w:p>
      <w:pPr>
        <w:pStyle w:val="Puce"/>
        <w:numPr>
          <w:ilvl w:val="0"/>
          <w:numId w:val="1"/>
        </w:numPr>
      </w:pPr>
      <w:r>
        <w:rPr>
          <w:b/>
        </w:rPr>
        <w:t xml:space="preserve">Des photos de reportage :</w:t>
      </w:r>
      <w:r>
        <w:t xml:space="preserve"> une personne au travail, dans son lieu réel, en lumière naturelle. Jamais de pose de banque d’images, jamais un écran seul.</w:t>
      </w:r>
    </w:p>
    <w:p>
      <w:pPr>
        <w:pStyle w:val="Puce"/>
        <w:numPr>
          <w:ilvl w:val="0"/>
          <w:numId w:val="1"/>
        </w:numPr>
      </w:pPr>
      <w:r>
        <w:rPr>
          <w:b/>
        </w:rPr>
        <w:t xml:space="preserve">Les portraits d’exemple sont générés,</w:t>
      </w:r>
      <w:r>
        <w:t xml:space="preserve"> et on le dit sous l’image. On les recadre pour écarter les détails qui trahissent (écritures, écrans, étiquettes) et on les garde petits sur téléphone.</w:t>
      </w:r>
    </w:p>
    <w:p>
      <w:pPr>
        <w:pStyle w:val="Puce"/>
        <w:numPr>
          <w:ilvl w:val="0"/>
          <w:numId w:val="1"/>
        </w:numPr>
      </w:pPr>
      <w:r>
        <w:rPr>
          <w:b/>
        </w:rPr>
        <w:t xml:space="preserve">L’équipe :</w:t>
      </w:r>
      <w:r>
        <w:t xml:space="preserve"> fond clair, cadrage aux épaules, regard franc.</w:t>
      </w:r>
    </w:p>
    <w:p>
      <w:pPr>
        <w:pStyle w:val="Titre1"/>
      </w:pPr>
      <w:r>
        <w:t xml:space="preserve">Le ton</w:t>
      </w:r>
    </w:p>
    <w:p>
      <w:r>
        <w:t xml:space="preserve">Trois publics, trois façons de parler. Toujours « vous » et « on », des phrases simples, jamais en mode vendeur ; on dit aussi ce qu’on ne fait pas.</w:t>
      </w:r>
    </w:p>
    <w:tbl>
      <w:tblPr>
        <w:tblW w:w="9637" w:type="dxa"/>
        <w:jc w:val="center"/>
        <w:tblBorders>
          <w:top w:val="single" w:sz="4" w:space="0" w:color="D9D6CE"/>
          <w:left w:val="single" w:sz="4" w:space="0" w:color="D9D6CE"/>
          <w:bottom w:val="single" w:sz="4" w:space="0" w:color="D9D6CE"/>
          <w:right w:val="single" w:sz="4" w:space="0" w:color="D9D6CE"/>
          <w:insideH w:val="single" w:sz="4" w:space="0" w:color="D9D6CE"/>
          <w:insideV w:val="single" w:sz="4" w:space="0" w:color="D9D6CE"/>
        </w:tblBorders>
        <w:tblLayout w:type="fixed"/>
        <w:tblCellMar>
          <w:top w:w="90" w:type="dxa"/>
          <w:left w:w="110" w:type="dxa"/>
          <w:bottom w:w="90" w:type="dxa"/>
          <w:right w:w="110" w:type="dxa"/>
        </w:tblCellMar>
      </w:tblPr>
      <w:tblGrid>
        <w:gridCol w:w="2041"/>
        <w:gridCol w:w="2948"/>
        <w:gridCol w:w="3061"/>
        <w:gridCol w:w="1587"/>
      </w:tblGrid>
      <w:tr>
        <w:tc>
          <w:tcPr>
            <w:tcW w:w="2041" w:type="dxa"/>
            <w:shd w:val="clear" w:color="auto" w:fill="1C0CB3"/>
            <w:vAlign w:val="center"/>
          </w:tcPr>
          <w:p>
            <w:pPr>
              <w:pStyle w:val="Cellule"/>
            </w:pPr>
            <w:r>
              <w:rPr>
                <w:color w:val="F0EEE8"/>
              </w:rPr>
              <w:t xml:space="preserve">Public</w:t>
            </w:r>
          </w:p>
        </w:tc>
        <w:tc>
          <w:tcPr>
            <w:tcW w:w="2948" w:type="dxa"/>
            <w:shd w:val="clear" w:color="auto" w:fill="1C0CB3"/>
            <w:vAlign w:val="center"/>
          </w:tcPr>
          <w:p>
            <w:pPr>
              <w:pStyle w:val="Cellule"/>
            </w:pPr>
            <w:r>
              <w:rPr>
                <w:color w:val="F0EEE8"/>
              </w:rPr>
              <w:t xml:space="preserve">Ton</w:t>
            </w:r>
          </w:p>
        </w:tc>
        <w:tc>
          <w:tcPr>
            <w:tcW w:w="3061" w:type="dxa"/>
            <w:shd w:val="clear" w:color="auto" w:fill="1C0CB3"/>
            <w:vAlign w:val="center"/>
          </w:tcPr>
          <w:p>
            <w:pPr>
              <w:pStyle w:val="Cellule"/>
            </w:pPr>
            <w:r>
              <w:rPr>
                <w:color w:val="F0EEE8"/>
              </w:rPr>
              <w:t xml:space="preserve">Exemple</w:t>
            </w:r>
          </w:p>
        </w:tc>
        <w:tc>
          <w:tcPr>
            <w:tcW w:w="1587" w:type="dxa"/>
            <w:shd w:val="clear" w:color="auto" w:fill="1C0CB3"/>
            <w:vAlign w:val="center"/>
          </w:tcPr>
          <w:p>
            <w:pPr>
              <w:pStyle w:val="Cellule"/>
            </w:pPr>
            <w:r>
              <w:rPr>
                <w:color w:val="F0EEE8"/>
              </w:rPr>
              <w:t xml:space="preserve">Couleur</w:t>
            </w:r>
          </w:p>
        </w:tc>
      </w:tr>
      <w:tr>
        <w:tc>
          <w:tcPr>
            <w:tcW w:w="2041" w:type="dxa"/>
            <w:vAlign w:val="center"/>
          </w:tcPr>
          <w:p>
            <w:pPr>
              <w:pStyle w:val="Cellule"/>
            </w:pPr>
            <w:r>
              <w:t xml:space="preserve">En projet (créer, reprendre)</w:t>
            </w:r>
          </w:p>
        </w:tc>
        <w:tc>
          <w:tcPr>
            <w:tcW w:w="2948" w:type="dxa"/>
            <w:vAlign w:val="center"/>
          </w:tcPr>
          <w:p>
            <w:pPr>
              <w:pStyle w:val="Cellule"/>
            </w:pPr>
            <w:r>
              <w:t xml:space="preserve">Chaleureux et concret. « Votre projet », « vos futurs clients », jamais de méthode dans les mots.</w:t>
            </w:r>
          </w:p>
        </w:tc>
        <w:tc>
          <w:tcPr>
            <w:tcW w:w="3061" w:type="dxa"/>
            <w:vAlign w:val="center"/>
          </w:tcPr>
          <w:p>
            <w:pPr>
              <w:pStyle w:val="Cellule"/>
            </w:pPr>
            <w:r>
              <w:t xml:space="preserve">« On trouve le client qui fera vivre votre projet. »</w:t>
            </w:r>
          </w:p>
        </w:tc>
        <w:tc>
          <w:tcPr>
            <w:tcW w:w="1587" w:type="dxa"/>
            <w:shd w:val="clear" w:color="auto" w:fill="F2A93B"/>
            <w:vAlign w:val="center"/>
          </w:tcPr>
          <w:p>
            <w:pPr>
              <w:pStyle w:val="Cellule"/>
            </w:pPr>
            <w:r>
              <w:rPr>
                <w:color w:val="0E0B1F"/>
              </w:rPr>
              <w:t xml:space="preserve">Soleil</w:t>
            </w:r>
          </w:p>
        </w:tc>
      </w:tr>
      <w:tr>
        <w:tc>
          <w:tcPr>
            <w:tcW w:w="2041" w:type="dxa"/>
            <w:vAlign w:val="center"/>
          </w:tcPr>
          <w:p>
            <w:pPr>
              <w:pStyle w:val="Cellule"/>
            </w:pPr>
            <w:r>
              <w:t xml:space="preserve">TPE, de 1 à 10 personnes</w:t>
            </w:r>
          </w:p>
        </w:tc>
        <w:tc>
          <w:tcPr>
            <w:tcW w:w="2948" w:type="dxa"/>
            <w:vAlign w:val="center"/>
          </w:tcPr>
          <w:p>
            <w:pPr>
              <w:pStyle w:val="Cellule"/>
            </w:pPr>
            <w:r>
              <w:t xml:space="preserve">Direct et pratique. Des phrases courtes, des durées, des résultats.</w:t>
            </w:r>
          </w:p>
        </w:tc>
        <w:tc>
          <w:tcPr>
            <w:tcW w:w="3061" w:type="dxa"/>
            <w:vAlign w:val="center"/>
          </w:tcPr>
          <w:p>
            <w:pPr>
              <w:pStyle w:val="Cellule"/>
            </w:pPr>
            <w:r>
              <w:t xml:space="preserve">« Vous arrêtez de rappeler le soir. »</w:t>
            </w:r>
          </w:p>
        </w:tc>
        <w:tc>
          <w:tcPr>
            <w:tcW w:w="1587" w:type="dxa"/>
            <w:shd w:val="clear" w:color="auto" w:fill="2FAE8E"/>
            <w:vAlign w:val="center"/>
          </w:tcPr>
          <w:p>
            <w:pPr>
              <w:pStyle w:val="Cellule"/>
            </w:pPr>
            <w:r>
              <w:rPr>
                <w:color w:val="0E0B1F"/>
              </w:rPr>
              <w:t xml:space="preserve">Menthe</w:t>
            </w:r>
          </w:p>
        </w:tc>
      </w:tr>
      <w:tr>
        <w:tc>
          <w:tcPr>
            <w:tcW w:w="2041" w:type="dxa"/>
            <w:vAlign w:val="center"/>
          </w:tcPr>
          <w:p>
            <w:pPr>
              <w:pStyle w:val="Cellule"/>
            </w:pPr>
            <w:r>
              <w:t xml:space="preserve">PME, de 10 à 250 personnes</w:t>
            </w:r>
          </w:p>
        </w:tc>
        <w:tc>
          <w:tcPr>
            <w:tcW w:w="2948" w:type="dxa"/>
            <w:vAlign w:val="center"/>
          </w:tcPr>
          <w:p>
            <w:pPr>
              <w:pStyle w:val="Cellule"/>
            </w:pPr>
            <w:r>
              <w:t xml:space="preserve">Posé et chiffré. Du temps gagné, des coûts, des équipes, des sources.</w:t>
            </w:r>
          </w:p>
        </w:tc>
        <w:tc>
          <w:tcPr>
            <w:tcW w:w="3061" w:type="dxa"/>
            <w:vAlign w:val="center"/>
          </w:tcPr>
          <w:p>
            <w:pPr>
              <w:pStyle w:val="Cellule"/>
            </w:pPr>
            <w:r>
              <w:t xml:space="preserve">« Vos équipes perdent des heures dans leurs outils. On vous dit combien, et où. »</w:t>
            </w:r>
          </w:p>
        </w:tc>
        <w:tc>
          <w:tcPr>
            <w:tcW w:w="1587" w:type="dxa"/>
            <w:shd w:val="clear" w:color="auto" w:fill="3B9DE8"/>
            <w:vAlign w:val="center"/>
          </w:tcPr>
          <w:p>
            <w:pPr>
              <w:pStyle w:val="Cellule"/>
            </w:pPr>
            <w:r>
              <w:rPr>
                <w:color w:val="0E0B1F"/>
              </w:rPr>
              <w:t xml:space="preserve">Ciel</w:t>
            </w:r>
          </w:p>
        </w:tc>
      </w:tr>
    </w:tbl>
    <w:p>
      <w:pPr>
        <w:spacing w:after="120"/>
      </w:pPr>
    </w:p>
    <w:p>
      <w:r>
        <w:br w:type="page"/>
      </w:r>
    </w:p>
    <w:p>
      <w:pPr>
        <w:pStyle w:val="Titre1"/>
      </w:pPr>
      <w:r>
        <w:t xml:space="preserve">Les supports</w:t>
      </w:r>
    </w:p>
    <w:p>
      <w:pPr>
        <w:pStyle w:val="Titre2"/>
      </w:pPr>
      <w:r>
        <w:t xml:space="preserve">Les cartes de visite</w:t>
      </w:r>
    </w:p>
    <w:p>
      <w:r>
        <w:t xml:space="preserve">85 × 55 mm, recto indigo (le nom, ce que la personne mène, ses coordonnées), verso crème (le R et la phrase de marque). Fichiers prêts pour l’imprimeur dans « Impression / Cartes de visite ».</w:t>
      </w:r>
    </w:p>
    <w:tbl>
      <w:tblPr>
        <w:tblW w:w="9638" w:type="dxa"/>
        <w:jc w:val="center"/>
        <w:tblBorders>
          <w:top w:val="nil"/>
          <w:left w:val="nil"/>
          <w:bottom w:val="nil"/>
          <w:right w:val="nil"/>
          <w:insideH w:val="nil"/>
          <w:insideV w:val="nil"/>
        </w:tblBorders>
        <w:tblLayout w:type="fixed"/>
        <w:tblCellMar>
          <w:top w:w="90" w:type="dxa"/>
          <w:left w:w="110" w:type="dxa"/>
          <w:bottom w:w="90" w:type="dxa"/>
          <w:right w:w="110" w:type="dxa"/>
        </w:tblCellMar>
      </w:tblPr>
      <w:tblGrid>
        <w:gridCol w:w="4819"/>
        <w:gridCol w:w="4819"/>
      </w:tblGrid>
      <w:tr>
        <w:tc>
          <w:tcPr>
            <w:tcW w:w="4819" w:type="dxa"/>
            <w:vAlign w:val="center"/>
          </w:tcPr>
          <w:p>
            <w:pPr>
              <w:spacing w:before="120" w:after="200"/>
              <w:jc w:val="center"/>
            </w:pPr>
            <w:r>
              <w:drawing>
                <wp:inline distT="0" distB="0" distL="0" distR="0">
                  <wp:extent cx="2916000" cy="1887848"/>
                  <wp:docPr id="11" name="Image 11"/>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2916000" cy="1887848"/>
                          </a:xfrm>
                          <a:prstGeom prst="rect">
                            <a:avLst/>
                          </a:prstGeom>
                        </pic:spPr>
                      </pic:pic>
                    </a:graphicData>
                  </a:graphic>
                </wp:inline>
              </w:drawing>
            </w:r>
          </w:p>
        </w:tc>
        <w:tc>
          <w:tcPr>
            <w:tcW w:w="4819" w:type="dxa"/>
            <w:vAlign w:val="center"/>
          </w:tcPr>
          <w:p>
            <w:pPr>
              <w:spacing w:before="120" w:after="200"/>
              <w:jc w:val="center"/>
            </w:pPr>
            <w:r>
              <w:drawing>
                <wp:inline distT="0" distB="0" distL="0" distR="0">
                  <wp:extent cx="2916000" cy="1887848"/>
                  <wp:docPr id="12" name="Image 12"/>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2916000" cy="1887848"/>
                          </a:xfrm>
                          <a:prstGeom prst="rect">
                            <a:avLst/>
                          </a:prstGeom>
                        </pic:spPr>
                      </pic:pic>
                    </a:graphicData>
                  </a:graphic>
                </wp:inline>
              </w:drawing>
            </w:r>
          </w:p>
        </w:tc>
      </w:tr>
      <w:tr>
        <w:tc>
          <w:tcPr>
            <w:tcW w:w="4819" w:type="dxa"/>
            <w:vAlign w:val="center"/>
          </w:tcPr>
          <w:p>
            <w:pPr>
              <w:spacing w:before="120" w:after="200"/>
              <w:jc w:val="center"/>
            </w:pPr>
            <w:r>
              <w:drawing>
                <wp:inline distT="0" distB="0" distL="0" distR="0">
                  <wp:extent cx="2916000" cy="1887848"/>
                  <wp:docPr id="13" name="Image 13"/>
                  <wp:cNvGraphicFramePr>
                    <a:graphicFrameLocks noChangeAspect="1"/>
                  </wp:cNvGraphicFramePr>
                  <a:graphic>
                    <a:graphicData uri="http://schemas.openxmlformats.org/drawingml/2006/picture">
                      <pic:pic>
                        <pic:nvPicPr>
                          <pic:cNvPr id="13" name="image13.png"/>
                          <pic:cNvPicPr/>
                        </pic:nvPicPr>
                        <pic:blipFill>
                          <a:blip r:embed="rIdImg13"/>
                          <a:stretch>
                            <a:fillRect/>
                          </a:stretch>
                        </pic:blipFill>
                        <pic:spPr>
                          <a:xfrm>
                            <a:off x="0" y="0"/>
                            <a:ext cx="2916000" cy="1887848"/>
                          </a:xfrm>
                          <a:prstGeom prst="rect">
                            <a:avLst/>
                          </a:prstGeom>
                        </pic:spPr>
                      </pic:pic>
                    </a:graphicData>
                  </a:graphic>
                </wp:inline>
              </w:drawing>
            </w:r>
          </w:p>
        </w:tc>
        <w:tc>
          <w:tcPr>
            <w:tcW w:w="4819" w:type="dxa"/>
            <w:vAlign w:val="center"/>
          </w:tcPr>
          <w:p>
            <w:pPr>
              <w:spacing w:before="120" w:after="200"/>
              <w:jc w:val="center"/>
            </w:pPr>
            <w:r>
              <w:drawing>
                <wp:inline distT="0" distB="0" distL="0" distR="0">
                  <wp:extent cx="2916000" cy="1887848"/>
                  <wp:docPr id="14" name="Image 14"/>
                  <wp:cNvGraphicFramePr>
                    <a:graphicFrameLocks noChangeAspect="1"/>
                  </wp:cNvGraphicFramePr>
                  <a:graphic>
                    <a:graphicData uri="http://schemas.openxmlformats.org/drawingml/2006/picture">
                      <pic:pic>
                        <pic:nvPicPr>
                          <pic:cNvPr id="14" name="image14.png"/>
                          <pic:cNvPicPr/>
                        </pic:nvPicPr>
                        <pic:blipFill>
                          <a:blip r:embed="rIdImg14"/>
                          <a:stretch>
                            <a:fillRect/>
                          </a:stretch>
                        </pic:blipFill>
                        <pic:spPr>
                          <a:xfrm>
                            <a:off x="0" y="0"/>
                            <a:ext cx="2916000" cy="1887848"/>
                          </a:xfrm>
                          <a:prstGeom prst="rect">
                            <a:avLst/>
                          </a:prstGeom>
                        </pic:spPr>
                      </pic:pic>
                    </a:graphicData>
                  </a:graphic>
                </wp:inline>
              </w:drawing>
            </w:r>
          </w:p>
        </w:tc>
      </w:tr>
    </w:tbl>
    <w:p>
      <w:pPr>
        <w:spacing w:after="120"/>
      </w:pPr>
    </w:p>
    <w:p>
      <w:pPr>
        <w:pStyle w:val="Titre2"/>
      </w:pPr>
      <w:r>
        <w:t xml:space="preserve">Le site</w:t>
      </w:r>
    </w:p>
    <w:p>
      <w:r>
        <w:t xml:space="preserve">Une entrée qui pose une seule question (« Où en est votre entreprise ? »), trois espaces, un sélecteur toujours visible à côté du logo.</w:t>
      </w:r>
    </w:p>
    <w:p>
      <w:pPr>
        <w:spacing w:before="120" w:after="200"/>
        <w:jc w:val="center"/>
      </w:pPr>
      <w:r>
        <w:drawing>
          <wp:inline distT="0" distB="0" distL="0" distR="0">
            <wp:extent cx="5040000" cy="382064"/>
            <wp:docPr id="15" name="Image 15"/>
            <wp:cNvGraphicFramePr>
              <a:graphicFrameLocks noChangeAspect="1"/>
            </wp:cNvGraphicFramePr>
            <a:graphic>
              <a:graphicData uri="http://schemas.openxmlformats.org/drawingml/2006/picture">
                <pic:pic>
                  <pic:nvPicPr>
                    <pic:cNvPr id="15" name="image15.png"/>
                    <pic:cNvPicPr/>
                  </pic:nvPicPr>
                  <pic:blipFill>
                    <a:blip r:embed="rIdImg15"/>
                    <a:stretch>
                      <a:fillRect/>
                    </a:stretch>
                  </pic:blipFill>
                  <pic:spPr>
                    <a:xfrm>
                      <a:off x="0" y="0"/>
                      <a:ext cx="5040000" cy="382064"/>
                    </a:xfrm>
                    <a:prstGeom prst="rect">
                      <a:avLst/>
                    </a:prstGeom>
                  </pic:spPr>
                </pic:pic>
              </a:graphicData>
            </a:graphic>
          </wp:inline>
        </w:drawing>
      </w:r>
    </w:p>
    <w:p>
      <w:pPr>
        <w:pStyle w:val="Titre2"/>
      </w:pPr>
      <w:r>
        <w:t xml:space="preserve">À venir</w:t>
      </w:r>
    </w:p>
    <w:p>
      <w:pPr>
        <w:pStyle w:val="Puce"/>
        <w:numPr>
          <w:ilvl w:val="0"/>
          <w:numId w:val="1"/>
        </w:numPr>
      </w:pPr>
      <w:r>
        <w:t xml:space="preserve">Le motion design de la marque.</w:t>
      </w:r>
    </w:p>
    <w:p>
      <w:pPr>
        <w:pStyle w:val="Puce"/>
        <w:numPr>
          <w:ilvl w:val="0"/>
          <w:numId w:val="1"/>
        </w:numPr>
      </w:pPr>
      <w:r>
        <w:t xml:space="preserve">Le livret imprimé, mis à jour.</w:t>
      </w:r>
    </w:p>
    <w:p>
      <w:pPr>
        <w:pStyle w:val="Puce"/>
        <w:numPr>
          <w:ilvl w:val="0"/>
          <w:numId w:val="1"/>
        </w:numPr>
      </w:pPr>
      <w:r>
        <w:t xml:space="preserve">La typographie maison « Reskope ».</w:t>
      </w:r>
    </w:p>
    <w:p>
      <w:pPr>
        <w:pStyle w:val="Titre1"/>
      </w:pPr>
      <w:r>
        <w:t xml:space="preserve">Ce qu’on ne fait jamais</w:t>
      </w:r>
    </w:p>
    <w:p>
      <w:pPr>
        <w:pStyle w:val="Puce"/>
        <w:numPr>
          <w:ilvl w:val="0"/>
          <w:numId w:val="1"/>
        </w:numPr>
      </w:pPr>
      <w:r>
        <w:t xml:space="preserve">Déformer ou recolorer le logo.</w:t>
      </w:r>
    </w:p>
    <w:p>
      <w:pPr>
        <w:pStyle w:val="Puce"/>
        <w:numPr>
          <w:ilvl w:val="0"/>
          <w:numId w:val="1"/>
        </w:numPr>
      </w:pPr>
      <w:r>
        <w:t xml:space="preserve">Utiliser une couleur d’explication pour décorer.</w:t>
      </w:r>
    </w:p>
    <w:p>
      <w:pPr>
        <w:pStyle w:val="Puce"/>
        <w:numPr>
          <w:ilvl w:val="0"/>
          <w:numId w:val="1"/>
        </w:numPr>
      </w:pPr>
      <w:r>
        <w:t xml:space="preserve">Faire entrer un élément à plat, sans profondeur.</w:t>
      </w:r>
    </w:p>
    <w:p>
      <w:pPr>
        <w:pStyle w:val="Puce"/>
        <w:numPr>
          <w:ilvl w:val="0"/>
          <w:numId w:val="1"/>
        </w:numPr>
      </w:pPr>
      <w:r>
        <w:t xml:space="preserve">Caler un bloc sur un bord, ou poser un texte sur un fond qui gêne la lecture.</w:t>
      </w:r>
    </w:p>
    <w:p>
      <w:pPr>
        <w:pStyle w:val="Puce"/>
        <w:numPr>
          <w:ilvl w:val="0"/>
          <w:numId w:val="1"/>
        </w:numPr>
      </w:pPr>
      <w:r>
        <w:t xml:space="preserve">Écrire en petites capitales espacées au-dessus d’un titre, ou avec des tirets cadratins.</w:t>
      </w:r>
    </w:p>
    <w:p>
      <w:pPr>
        <w:pStyle w:val="Puce"/>
        <w:numPr>
          <w:ilvl w:val="0"/>
          <w:numId w:val="1"/>
        </w:numPr>
      </w:pPr>
      <w:r>
        <w:t xml:space="preserve">Montrer un exemple ou un portrait généré sans le dire.</w:t>
      </w:r>
    </w:p>
    <w:p>
      <w:pPr>
        <w:pStyle w:val="Puce"/>
        <w:numPr>
          <w:ilvl w:val="0"/>
          <w:numId w:val="1"/>
        </w:numPr>
      </w:pPr>
      <w:r>
        <w:t xml:space="preserve">Souligner quelque chose qui ne se clique pas, ou laisser un lien sans réaction au survol.</w:t>
      </w:r>
    </w:p>
    <w:sectPr>
      <w:footerReference w:type="default" r:id="rIdPied"/>
      <w:pgSz w:w="11906" w:h="16838"/>
      <w:pgMar w:top="1134" w:right="1134" w:bottom="1134" w:left="1134" w:header="567" w:footer="567" w:gutter="0"/>
      <w:titlePg/>
    </w:sectPr>
  </w:body>
</w:document>
</file>

<file path=word/footer1.xml><?xml version="1.0" encoding="utf-8"?>
<w:ftr xmlns:w="http://schemas.openxmlformats.org/wordprocessingml/2006/main">
  <w:p>
    <w:pPr>
      <w:jc w:val="center"/>
    </w:pPr>
    <w:r>
      <w:rPr>
        <w:color w:val="5C5951"/>
        <w:sz w:val="16"/>
      </w:rPr>
      <w:t xml:space="preserve">Reskope · Direction artistique · </w:t>
    </w:r>
    <w:r>
      <w:rPr>
        <w:color w:val="5C5951"/>
        <w:sz w:val="16"/>
      </w:rPr>
      <w:fldChar w:fldCharType="begin"/>
    </w:r>
    <w:r>
      <w:rPr>
        <w:color w:val="5C5951"/>
        <w:sz w:val="16"/>
      </w:rPr>
      <w:instrText xml:space="preserve"> PAGE </w:instrText>
    </w:r>
    <w:r>
      <w:rPr>
        <w:color w:val="5C5951"/>
        <w:sz w:val="16"/>
      </w:rPr>
      <w:fldChar w:fldCharType="separate"/>
    </w:r>
    <w:r>
      <w:rPr>
        <w:color w:val="5C5951"/>
        <w:sz w:val="16"/>
      </w:rPr>
      <w:t>1</w:t>
    </w:r>
    <w:r>
      <w:rPr>
        <w:color w:val="5C5951"/>
        <w:sz w:val="16"/>
      </w:rP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97" w:hanging="283"/>
      </w:pPr>
      <w:rPr>
        <w:color w:val="1C0CB3"/>
        <w:sz w:val="14"/>
      </w:rPr>
    </w:lvl>
  </w:abstractNum>
  <w:num w:numId="1">
    <w:abstractNumId w:val="0"/>
  </w:num>
</w:numbering>
</file>

<file path=word/settings.xml><?xml version="1.0" encoding="utf-8"?>
<w:settings xmlns:w="http://schemas.openxmlformats.org/wordprocessingml/2006/main">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0E0B1F"/>
        <w:sz w:val="21"/>
        <w:szCs w:val="21"/>
        <w:lang w:val="fr-FR"/>
      </w:rPr>
    </w:rPrDefault>
    <w:pPrDefault>
      <w:pPr>
        <w:spacing w:after="140" w:line="300" w:lineRule="auto"/>
      </w:pPr>
    </w:pPrDefault>
  </w:docDefaults>
  <w:style w:type="paragraph" w:default="1" w:styleId="Normal">
    <w:name w:val="Normal"/>
    <w:qFormat/>
    <w:rPr>
      <w:rFonts w:ascii="Avenir Next" w:hAnsi="Avenir Next" w:cs="Avenir Next" w:eastAsia="Avenir Next"/>
    </w:rPr>
  </w:style>
  <w:style w:type="paragraph" w:styleId="Titre">
    <w:name w:val="Title"/>
    <w:basedOn w:val="Normal"/>
    <w:qFormat/>
    <w:pPr>
      <w:spacing w:before="240" w:after="80"/>
      <w:jc w:val="center"/>
    </w:pPr>
    <w:rPr>
      <w:rFonts w:ascii="Avenir Next" w:hAnsi="Avenir Next" w:cs="Avenir Next" w:eastAsia="Avenir Next"/>
      <w:b/>
      <w:color w:val="0E0B1F"/>
      <w:sz w:val="80"/>
      <w:szCs w:val="80"/>
    </w:rPr>
  </w:style>
  <w:style w:type="paragraph" w:styleId="SousTitre">
    <w:name w:val="Subtitle"/>
    <w:basedOn w:val="Normal"/>
    <w:qFormat/>
    <w:pPr>
      <w:spacing w:before="0" w:after="120"/>
      <w:jc w:val="center"/>
    </w:pPr>
    <w:rPr>
      <w:rFonts w:ascii="Avenir Next" w:hAnsi="Avenir Next" w:cs="Avenir Next" w:eastAsia="Avenir Next"/>
      <w:color w:val="5C5951"/>
      <w:sz w:val="26"/>
      <w:szCs w:val="26"/>
    </w:rPr>
  </w:style>
  <w:style w:type="paragraph" w:styleId="Chapeau">
    <w:name w:val="Chapeau"/>
    <w:basedOn w:val="Normal"/>
    <w:qFormat/>
    <w:pPr>
      <w:spacing w:before="0" w:after="160" w:line="320" w:lineRule="auto"/>
      <w:jc w:val="center"/>
    </w:pPr>
    <w:rPr>
      <w:rFonts w:ascii="Avenir Next" w:hAnsi="Avenir Next" w:cs="Avenir Next" w:eastAsia="Avenir Next"/>
      <w:color w:val="5C5951"/>
      <w:sz w:val="24"/>
      <w:szCs w:val="24"/>
    </w:rPr>
  </w:style>
  <w:style w:type="paragraph" w:styleId="Titre1">
    <w:name w:val="heading 1"/>
    <w:basedOn w:val="Normal"/>
    <w:qFormat/>
    <w:pPr>
      <w:keepNext/>
      <w:spacing w:before="240" w:after="200"/>
    </w:pPr>
    <w:rPr>
      <w:rFonts w:ascii="Avenir Next" w:hAnsi="Avenir Next" w:cs="Avenir Next" w:eastAsia="Avenir Next"/>
      <w:b/>
      <w:color w:val="1C0CB3"/>
      <w:sz w:val="44"/>
      <w:szCs w:val="44"/>
    </w:rPr>
  </w:style>
  <w:style w:type="paragraph" w:styleId="Titre2">
    <w:name w:val="heading 2"/>
    <w:basedOn w:val="Normal"/>
    <w:qFormat/>
    <w:pPr>
      <w:keepNext/>
      <w:spacing w:before="260" w:after="100"/>
    </w:pPr>
    <w:rPr>
      <w:rFonts w:ascii="Avenir Next" w:hAnsi="Avenir Next" w:cs="Avenir Next" w:eastAsia="Avenir Next"/>
      <w:b/>
      <w:color w:val="0E0B1F"/>
      <w:sz w:val="28"/>
      <w:szCs w:val="28"/>
    </w:rPr>
  </w:style>
  <w:style w:type="paragraph" w:styleId="Puce">
    <w:name w:val="List Bullet"/>
    <w:basedOn w:val="Normal"/>
    <w:qFormat/>
    <w:pPr>
      <w:spacing w:before="0" w:after="90" w:line="290" w:lineRule="auto"/>
    </w:pPr>
    <w:rPr>
      <w:rFonts w:ascii="Avenir Next" w:hAnsi="Avenir Next" w:cs="Avenir Next" w:eastAsia="Avenir Next"/>
      <w:color w:val="0E0B1F"/>
      <w:sz w:val="21.0"/>
      <w:szCs w:val="21.0"/>
    </w:rPr>
  </w:style>
  <w:style w:type="paragraph" w:styleId="Legende">
    <w:name w:val="caption"/>
    <w:basedOn w:val="Normal"/>
    <w:qFormat/>
    <w:pPr>
      <w:spacing w:before="0" w:after="260"/>
      <w:jc w:val="center"/>
    </w:pPr>
    <w:rPr>
      <w:rFonts w:ascii="Avenir Next" w:hAnsi="Avenir Next" w:cs="Avenir Next" w:eastAsia="Avenir Next"/>
      <w:i/>
      <w:color w:val="5C5951"/>
      <w:sz w:val="18"/>
      <w:szCs w:val="18"/>
    </w:rPr>
  </w:style>
  <w:style w:type="paragraph" w:styleId="Petit">
    <w:name w:val="Petit"/>
    <w:basedOn w:val="Normal"/>
    <w:qFormat/>
    <w:pPr>
      <w:spacing w:before="0" w:after="160"/>
    </w:pPr>
    <w:rPr>
      <w:rFonts w:ascii="Avenir Next" w:hAnsi="Avenir Next" w:cs="Avenir Next" w:eastAsia="Avenir Next"/>
      <w:color w:val="5C5951"/>
      <w:sz w:val="18"/>
      <w:szCs w:val="18"/>
    </w:rPr>
  </w:style>
  <w:style w:type="paragraph" w:styleId="Encadre">
    <w:name w:val="Encadré"/>
    <w:basedOn w:val="Normal"/>
    <w:qFormat/>
    <w:pPr>
      <w:spacing w:before="120" w:after="200" w:line="300" w:lineRule="auto"/>
    </w:pPr>
    <w:rPr>
      <w:rFonts w:ascii="Avenir Next" w:hAnsi="Avenir Next" w:cs="Avenir Next" w:eastAsia="Avenir Next"/>
      <w:color w:val="0E0B1F"/>
      <w:sz w:val="22"/>
      <w:szCs w:val="22"/>
    </w:rPr>
  </w:style>
  <w:style w:type="paragraph" w:styleId="Cellule">
    <w:name w:val="Cellule"/>
    <w:basedOn w:val="Normal"/>
    <w:qFormat/>
    <w:pPr>
      <w:spacing w:before="0" w:after="0"/>
    </w:pPr>
    <w:rPr>
      <w:rFonts w:ascii="Avenir Next" w:hAnsi="Avenir Next" w:cs="Avenir Next" w:eastAsia="Avenir Next"/>
      <w:color w:val="0E0B1F"/>
      <w:sz w:val="19.0"/>
      <w:szCs w:val="19.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 Type="http://schemas.openxmlformats.org/officeDocument/2006/relationships/numbering" Target="numbering.xml"/><Relationship Id="rIdPied"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s>
</file>

<file path=docProps/app.xml><?xml version="1.0" encoding="utf-8"?>
<Properties xmlns="http://schemas.openxmlformats.org/officeDocument/2006/extended-properties">
  <Application>Reskope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Reskope, direction artistique</dc:title>
  <dc:creator>Reskope</dc:creator>
  <dc:language>fr-FR</dc:language>
  <dcterms:created xsi:type="dcterms:W3CDTF">2026-09-26T19:00:29Z</dcterms:created>
  <dcterms:modified xsi:type="dcterms:W3CDTF">2026-09-26T19:00:29Z</dcterms:modified>
</cp:coreProperties>
</file>