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8FD" w:rsidRPr="00251CE7" w:rsidRDefault="00DB06DC" w:rsidP="00B54007">
      <w:pPr>
        <w:pStyle w:val="Subttulo"/>
        <w:jc w:val="center"/>
        <w:rPr>
          <w:b/>
          <w:sz w:val="28"/>
          <w:szCs w:val="28"/>
        </w:rPr>
      </w:pPr>
      <w:r>
        <w:rPr>
          <w:b/>
          <w:sz w:val="28"/>
          <w:szCs w:val="28"/>
        </w:rPr>
        <w:t>Posibles alternativas</w:t>
      </w:r>
      <w:r w:rsidR="00516C95" w:rsidRPr="00251CE7">
        <w:rPr>
          <w:b/>
          <w:sz w:val="28"/>
          <w:szCs w:val="28"/>
        </w:rPr>
        <w:t xml:space="preserve"> </w:t>
      </w:r>
      <w:r>
        <w:rPr>
          <w:b/>
          <w:sz w:val="28"/>
          <w:szCs w:val="28"/>
        </w:rPr>
        <w:t>al contenido de</w:t>
      </w:r>
      <w:r w:rsidR="00B54007" w:rsidRPr="00251CE7">
        <w:rPr>
          <w:b/>
          <w:sz w:val="28"/>
          <w:szCs w:val="28"/>
        </w:rPr>
        <w:t xml:space="preserve"> la demanda</w:t>
      </w:r>
    </w:p>
    <w:p w:rsidR="00B54007" w:rsidRDefault="00B54007" w:rsidP="00B54007">
      <w:pPr>
        <w:pStyle w:val="Prrafodelista"/>
        <w:numPr>
          <w:ilvl w:val="0"/>
          <w:numId w:val="1"/>
        </w:numPr>
        <w:spacing w:after="0"/>
        <w:ind w:left="357" w:hanging="357"/>
        <w:rPr>
          <w:sz w:val="24"/>
          <w:szCs w:val="24"/>
        </w:rPr>
      </w:pPr>
      <w:r w:rsidRPr="00B54007">
        <w:rPr>
          <w:sz w:val="24"/>
          <w:szCs w:val="24"/>
        </w:rPr>
        <w:t xml:space="preserve">En la </w:t>
      </w:r>
      <w:r w:rsidR="00DB06DC">
        <w:rPr>
          <w:sz w:val="24"/>
          <w:szCs w:val="24"/>
        </w:rPr>
        <w:t>versión inicial de la demanda</w:t>
      </w:r>
      <w:r w:rsidRPr="00B54007">
        <w:rPr>
          <w:sz w:val="24"/>
          <w:szCs w:val="24"/>
        </w:rPr>
        <w:t xml:space="preserve">, se solicita </w:t>
      </w:r>
      <w:r w:rsidR="001A2A25">
        <w:rPr>
          <w:sz w:val="24"/>
          <w:szCs w:val="24"/>
        </w:rPr>
        <w:t>“</w:t>
      </w:r>
      <w:r w:rsidRPr="00B54007">
        <w:rPr>
          <w:sz w:val="24"/>
          <w:szCs w:val="24"/>
        </w:rPr>
        <w:t xml:space="preserve">RESOLUCIÓN CONTRACTUAL Y RECLAMACIÓN DE </w:t>
      </w:r>
      <w:r w:rsidR="005D1F05" w:rsidRPr="00B54007">
        <w:rPr>
          <w:sz w:val="24"/>
          <w:szCs w:val="24"/>
        </w:rPr>
        <w:t>INDEMNIZACIÓN del</w:t>
      </w:r>
      <w:r w:rsidRPr="00B54007">
        <w:rPr>
          <w:sz w:val="24"/>
          <w:szCs w:val="24"/>
        </w:rPr>
        <w:t xml:space="preserve"> 1124 CC.</w:t>
      </w:r>
      <w:r w:rsidR="001A2A25">
        <w:rPr>
          <w:sz w:val="24"/>
          <w:szCs w:val="24"/>
        </w:rPr>
        <w:t>”</w:t>
      </w:r>
    </w:p>
    <w:p w:rsidR="0090081F" w:rsidRPr="00DB06DC" w:rsidRDefault="00DB06DC" w:rsidP="00DB06DC">
      <w:pPr>
        <w:pStyle w:val="Prrafodelista"/>
        <w:numPr>
          <w:ilvl w:val="0"/>
          <w:numId w:val="1"/>
        </w:numPr>
        <w:spacing w:after="0"/>
        <w:rPr>
          <w:sz w:val="24"/>
          <w:szCs w:val="24"/>
        </w:rPr>
      </w:pPr>
      <w:r>
        <w:rPr>
          <w:sz w:val="24"/>
          <w:szCs w:val="24"/>
        </w:rPr>
        <w:t>En demandas por la vía ordinaria, l</w:t>
      </w:r>
      <w:r w:rsidR="00251CE7" w:rsidRPr="00DB06DC">
        <w:rPr>
          <w:sz w:val="24"/>
          <w:szCs w:val="24"/>
        </w:rPr>
        <w:t>o que piden algun</w:t>
      </w:r>
      <w:r w:rsidR="0090081F" w:rsidRPr="00DB06DC">
        <w:rPr>
          <w:sz w:val="24"/>
          <w:szCs w:val="24"/>
        </w:rPr>
        <w:t>os es</w:t>
      </w:r>
      <w:r w:rsidR="00251CE7" w:rsidRPr="00DB06DC">
        <w:rPr>
          <w:sz w:val="24"/>
          <w:szCs w:val="24"/>
        </w:rPr>
        <w:t xml:space="preserve"> lo siguiente</w:t>
      </w:r>
      <w:r w:rsidR="00707688">
        <w:rPr>
          <w:rStyle w:val="Refdenotaalpie"/>
          <w:sz w:val="24"/>
          <w:szCs w:val="24"/>
        </w:rPr>
        <w:footnoteReference w:id="1"/>
      </w:r>
      <w:r w:rsidR="00846C40" w:rsidRPr="00DB06DC">
        <w:rPr>
          <w:sz w:val="24"/>
          <w:szCs w:val="24"/>
        </w:rPr>
        <w:t xml:space="preserve"> </w:t>
      </w:r>
      <w:r w:rsidR="00846C40" w:rsidRPr="00DB06DC">
        <w:rPr>
          <w:color w:val="0070C0"/>
          <w:sz w:val="24"/>
          <w:szCs w:val="24"/>
          <w:u w:val="single"/>
        </w:rPr>
        <w:t>(</w:t>
      </w:r>
      <w:r w:rsidR="00846C40" w:rsidRPr="00DB06DC">
        <w:rPr>
          <w:color w:val="0070C0"/>
          <w:sz w:val="24"/>
          <w:szCs w:val="24"/>
          <w:u w:val="single"/>
        </w:rPr>
        <w:fldChar w:fldCharType="begin"/>
      </w:r>
      <w:r w:rsidR="00846C40" w:rsidRPr="00DB06DC">
        <w:rPr>
          <w:color w:val="0070C0"/>
          <w:sz w:val="24"/>
          <w:szCs w:val="24"/>
          <w:u w:val="single"/>
        </w:rPr>
        <w:instrText xml:space="preserve"> REF _Ref496087393 \h </w:instrText>
      </w:r>
      <w:r w:rsidR="00846C40" w:rsidRPr="00ED6324">
        <w:rPr>
          <w:color w:val="0070C0"/>
          <w:u w:val="single"/>
        </w:rPr>
      </w:r>
      <w:r w:rsidR="00846C40" w:rsidRPr="00DB06DC">
        <w:rPr>
          <w:color w:val="0070C0"/>
          <w:sz w:val="24"/>
          <w:szCs w:val="24"/>
          <w:u w:val="single"/>
        </w:rPr>
        <w:fldChar w:fldCharType="separate"/>
      </w:r>
      <w:r w:rsidR="0093126F" w:rsidRPr="00846C40">
        <w:rPr>
          <w:sz w:val="24"/>
          <w:szCs w:val="24"/>
        </w:rPr>
        <w:t xml:space="preserve">Ilustración </w:t>
      </w:r>
      <w:r w:rsidR="0093126F">
        <w:rPr>
          <w:noProof/>
          <w:sz w:val="24"/>
          <w:szCs w:val="24"/>
        </w:rPr>
        <w:t>1</w:t>
      </w:r>
      <w:r w:rsidR="00846C40" w:rsidRPr="00DB06DC">
        <w:rPr>
          <w:color w:val="0070C0"/>
          <w:sz w:val="24"/>
          <w:szCs w:val="24"/>
          <w:u w:val="single"/>
        </w:rPr>
        <w:fldChar w:fldCharType="end"/>
      </w:r>
      <w:r w:rsidR="00846C40" w:rsidRPr="00DB06DC">
        <w:rPr>
          <w:sz w:val="24"/>
          <w:szCs w:val="24"/>
        </w:rPr>
        <w:t>)</w:t>
      </w:r>
      <w:r w:rsidR="0090081F" w:rsidRPr="00DB06DC">
        <w:rPr>
          <w:sz w:val="24"/>
          <w:szCs w:val="24"/>
        </w:rPr>
        <w:t>:</w:t>
      </w:r>
    </w:p>
    <w:p w:rsidR="0090081F" w:rsidRPr="00251CE7" w:rsidRDefault="0090081F" w:rsidP="0090081F">
      <w:pPr>
        <w:pStyle w:val="Prrafodelista"/>
        <w:numPr>
          <w:ilvl w:val="0"/>
          <w:numId w:val="2"/>
        </w:numPr>
        <w:spacing w:after="0"/>
        <w:rPr>
          <w:i/>
          <w:sz w:val="24"/>
          <w:szCs w:val="24"/>
        </w:rPr>
      </w:pPr>
      <w:r w:rsidRPr="00251CE7">
        <w:rPr>
          <w:i/>
          <w:sz w:val="24"/>
          <w:szCs w:val="24"/>
        </w:rPr>
        <w:t>Acción declarativa de vencimiento anticipado y de reclamación de todas las cantidades adeudadas</w:t>
      </w:r>
      <w:r w:rsidR="005D1331" w:rsidRPr="00251CE7">
        <w:rPr>
          <w:i/>
          <w:sz w:val="24"/>
          <w:szCs w:val="24"/>
        </w:rPr>
        <w:t>;</w:t>
      </w:r>
    </w:p>
    <w:p w:rsidR="0090081F" w:rsidRPr="00251CE7" w:rsidRDefault="0090081F" w:rsidP="0090081F">
      <w:pPr>
        <w:pStyle w:val="Prrafodelista"/>
        <w:numPr>
          <w:ilvl w:val="0"/>
          <w:numId w:val="2"/>
        </w:numPr>
        <w:spacing w:after="0"/>
        <w:rPr>
          <w:i/>
          <w:sz w:val="24"/>
          <w:szCs w:val="24"/>
        </w:rPr>
      </w:pPr>
      <w:r w:rsidRPr="00251CE7">
        <w:rPr>
          <w:i/>
          <w:sz w:val="24"/>
          <w:szCs w:val="24"/>
        </w:rPr>
        <w:t>Subsidiariamente, respecto de lo anterior, Acción de resolución contractual y de indemnización de daños</w:t>
      </w:r>
      <w:r w:rsidR="005D1331" w:rsidRPr="00251CE7">
        <w:rPr>
          <w:i/>
          <w:sz w:val="24"/>
          <w:szCs w:val="24"/>
        </w:rPr>
        <w:t>;</w:t>
      </w:r>
    </w:p>
    <w:p w:rsidR="0090081F" w:rsidRPr="00251CE7" w:rsidRDefault="0090081F" w:rsidP="0090081F">
      <w:pPr>
        <w:pStyle w:val="Prrafodelista"/>
        <w:numPr>
          <w:ilvl w:val="0"/>
          <w:numId w:val="2"/>
        </w:numPr>
        <w:spacing w:after="0"/>
        <w:rPr>
          <w:i/>
          <w:sz w:val="24"/>
          <w:szCs w:val="24"/>
        </w:rPr>
      </w:pPr>
      <w:r w:rsidRPr="00251CE7">
        <w:rPr>
          <w:i/>
          <w:sz w:val="24"/>
          <w:szCs w:val="24"/>
        </w:rPr>
        <w:t xml:space="preserve">Subsidiariamente respecto de las anteriores : Acción de reclamación de las cantidades vencidas y de las que venzan </w:t>
      </w:r>
      <w:r w:rsidR="005D1331" w:rsidRPr="00251CE7">
        <w:rPr>
          <w:i/>
          <w:sz w:val="24"/>
          <w:szCs w:val="24"/>
        </w:rPr>
        <w:t xml:space="preserve"> sucesivamente en cumplimiento del contrato más intereses;</w:t>
      </w:r>
    </w:p>
    <w:p w:rsidR="005D1331" w:rsidRDefault="005D1331" w:rsidP="0090081F">
      <w:pPr>
        <w:pStyle w:val="Prrafodelista"/>
        <w:numPr>
          <w:ilvl w:val="0"/>
          <w:numId w:val="2"/>
        </w:numPr>
        <w:spacing w:after="0"/>
        <w:rPr>
          <w:i/>
          <w:sz w:val="24"/>
          <w:szCs w:val="24"/>
        </w:rPr>
      </w:pPr>
      <w:r w:rsidRPr="00251CE7">
        <w:rPr>
          <w:i/>
          <w:sz w:val="24"/>
          <w:szCs w:val="24"/>
        </w:rPr>
        <w:t>Acción de ejecución del derecho de hipoteca constituido en garantía del contrato de préstamo;</w:t>
      </w:r>
    </w:p>
    <w:p w:rsidR="00DB06DC" w:rsidRPr="00DB06DC" w:rsidRDefault="00DB06DC" w:rsidP="00DB06DC">
      <w:pPr>
        <w:spacing w:after="0"/>
        <w:ind w:left="360"/>
        <w:rPr>
          <w:sz w:val="24"/>
          <w:szCs w:val="24"/>
        </w:rPr>
      </w:pPr>
      <w:r>
        <w:rPr>
          <w:sz w:val="24"/>
          <w:szCs w:val="24"/>
        </w:rPr>
        <w:t xml:space="preserve">Posibilidad que está contemplada en </w:t>
      </w:r>
      <w:r w:rsidR="005D1F05">
        <w:rPr>
          <w:sz w:val="24"/>
          <w:szCs w:val="24"/>
        </w:rPr>
        <w:t>el artículo</w:t>
      </w:r>
      <w:r w:rsidRPr="00DB06DC">
        <w:rPr>
          <w:sz w:val="24"/>
          <w:szCs w:val="24"/>
        </w:rPr>
        <w:t xml:space="preserve"> 399.5 LEC </w:t>
      </w:r>
      <w:r>
        <w:rPr>
          <w:sz w:val="24"/>
          <w:szCs w:val="24"/>
        </w:rPr>
        <w:t>que</w:t>
      </w:r>
      <w:r w:rsidRPr="00DB06DC">
        <w:rPr>
          <w:sz w:val="24"/>
          <w:szCs w:val="24"/>
        </w:rPr>
        <w:t xml:space="preserve"> establece lo siguiente: "</w:t>
      </w:r>
      <w:r w:rsidRPr="00DB06DC">
        <w:rPr>
          <w:i/>
          <w:sz w:val="24"/>
          <w:szCs w:val="24"/>
        </w:rPr>
        <w:t>En la petición, cuando sean varios los pronunciamientos judiciales que se pretendan, se expresarán con la debida separación. Las peticiones formuladas subsidiariamente, para el caso de que las principales fuesen desestimadas, se harán constar por su orden y separadamente</w:t>
      </w:r>
      <w:r w:rsidRPr="00DB06DC">
        <w:rPr>
          <w:sz w:val="24"/>
          <w:szCs w:val="24"/>
        </w:rPr>
        <w:t>."</w:t>
      </w:r>
    </w:p>
    <w:p w:rsidR="00DB06DC" w:rsidRDefault="00E126E5" w:rsidP="00E126E5">
      <w:pPr>
        <w:pStyle w:val="Prrafodelista"/>
        <w:numPr>
          <w:ilvl w:val="0"/>
          <w:numId w:val="1"/>
        </w:numPr>
        <w:spacing w:after="0"/>
        <w:rPr>
          <w:sz w:val="24"/>
          <w:szCs w:val="24"/>
        </w:rPr>
      </w:pPr>
      <w:r>
        <w:rPr>
          <w:sz w:val="24"/>
          <w:szCs w:val="24"/>
        </w:rPr>
        <w:t>Dado que para pedir el vencimiento adelantado de la obligación se requiere el cumplimiento de ciertas condiciones (</w:t>
      </w:r>
      <w:r w:rsidRPr="00E126E5">
        <w:rPr>
          <w:sz w:val="24"/>
          <w:szCs w:val="24"/>
        </w:rPr>
        <w:t>artículo 1129</w:t>
      </w:r>
      <w:r>
        <w:rPr>
          <w:sz w:val="24"/>
          <w:szCs w:val="24"/>
        </w:rPr>
        <w:t xml:space="preserve"> CC</w:t>
      </w:r>
      <w:r w:rsidR="00DB06DC">
        <w:rPr>
          <w:rStyle w:val="Refdenotaalpie"/>
          <w:sz w:val="24"/>
          <w:szCs w:val="24"/>
        </w:rPr>
        <w:footnoteReference w:id="2"/>
      </w:r>
      <w:r>
        <w:rPr>
          <w:sz w:val="24"/>
          <w:szCs w:val="24"/>
        </w:rPr>
        <w:t>)</w:t>
      </w:r>
      <w:r w:rsidR="00DB06DC">
        <w:rPr>
          <w:sz w:val="24"/>
          <w:szCs w:val="24"/>
        </w:rPr>
        <w:t xml:space="preserve"> algunas de las cuales, entiendo que se cumplen:</w:t>
      </w:r>
    </w:p>
    <w:p w:rsidR="00DB06DC" w:rsidRPr="00DB06DC" w:rsidRDefault="00DB06DC" w:rsidP="00DB06DC">
      <w:pPr>
        <w:spacing w:after="0"/>
        <w:ind w:left="567" w:right="340"/>
        <w:rPr>
          <w:sz w:val="24"/>
          <w:szCs w:val="24"/>
        </w:rPr>
      </w:pPr>
      <w:r w:rsidRPr="00DB06DC">
        <w:rPr>
          <w:sz w:val="24"/>
          <w:szCs w:val="24"/>
        </w:rPr>
        <w:t>En el presente caso, la mercantil está inactiva y en situación de posible cierre de hoja registral (Documento nº 1), siendo por tanto insolvente, y el tercer fiador – garante solidario del préstamo -, D. JULIÁN PEREIRA, viene haciendo caso omiso a los requerimientos de cumplimiento de sus obligaciones, todo ello durante un periodo de impago de más de ocho años, lo que no deja a los deudores más posibilidad de recuperar la deuda que la realización de la garantía hipotecaria.</w:t>
      </w:r>
    </w:p>
    <w:p w:rsidR="001A2A25" w:rsidRPr="00DB06DC" w:rsidRDefault="00DB06DC" w:rsidP="00DB06DC">
      <w:pPr>
        <w:spacing w:after="0"/>
        <w:ind w:left="360"/>
        <w:rPr>
          <w:sz w:val="24"/>
          <w:szCs w:val="24"/>
        </w:rPr>
      </w:pPr>
      <w:r>
        <w:rPr>
          <w:sz w:val="24"/>
          <w:szCs w:val="24"/>
        </w:rPr>
        <w:t xml:space="preserve">Por ello, </w:t>
      </w:r>
      <w:r w:rsidR="00E126E5" w:rsidRPr="00DB06DC">
        <w:rPr>
          <w:sz w:val="24"/>
          <w:szCs w:val="24"/>
        </w:rPr>
        <w:t xml:space="preserve">he añadido un </w:t>
      </w:r>
      <w:r w:rsidR="00E126E5" w:rsidRPr="00DB06DC">
        <w:rPr>
          <w:b/>
          <w:sz w:val="24"/>
          <w:szCs w:val="24"/>
        </w:rPr>
        <w:t>Documento nº 1.</w:t>
      </w:r>
      <w:r w:rsidR="00E126E5" w:rsidRPr="00DB06DC">
        <w:rPr>
          <w:sz w:val="24"/>
          <w:szCs w:val="24"/>
        </w:rPr>
        <w:t xml:space="preserve"> Informe de situación registral de ESTUDIO ARROYO, S.L que muestra la inactividad de esta empresa</w:t>
      </w:r>
      <w:r w:rsidR="00935DF7" w:rsidRPr="00DB06DC">
        <w:rPr>
          <w:sz w:val="24"/>
          <w:szCs w:val="24"/>
        </w:rPr>
        <w:t xml:space="preserve"> y te envío</w:t>
      </w:r>
      <w:r w:rsidR="00E126E5" w:rsidRPr="00DB06DC">
        <w:rPr>
          <w:sz w:val="24"/>
          <w:szCs w:val="24"/>
        </w:rPr>
        <w:t>.</w:t>
      </w:r>
    </w:p>
    <w:p w:rsidR="00C44FFE" w:rsidRDefault="00C44FFE" w:rsidP="00E126E5">
      <w:pPr>
        <w:pStyle w:val="Prrafodelista"/>
        <w:numPr>
          <w:ilvl w:val="0"/>
          <w:numId w:val="1"/>
        </w:numPr>
        <w:spacing w:after="0"/>
        <w:rPr>
          <w:sz w:val="24"/>
          <w:szCs w:val="24"/>
        </w:rPr>
      </w:pPr>
      <w:r>
        <w:rPr>
          <w:sz w:val="24"/>
          <w:szCs w:val="24"/>
        </w:rPr>
        <w:t xml:space="preserve">He incluido que mi hermano es, además, </w:t>
      </w:r>
      <w:r w:rsidRPr="00C44FFE">
        <w:rPr>
          <w:b/>
          <w:sz w:val="24"/>
          <w:szCs w:val="24"/>
        </w:rPr>
        <w:t>tercer fiador solidario</w:t>
      </w:r>
      <w:r>
        <w:rPr>
          <w:sz w:val="24"/>
          <w:szCs w:val="24"/>
        </w:rPr>
        <w:t xml:space="preserve"> del préstamo y que tampoco ha pagado un duro.</w:t>
      </w:r>
    </w:p>
    <w:p w:rsidR="00E126E5" w:rsidRDefault="00E126E5" w:rsidP="003D6E4F">
      <w:pPr>
        <w:pStyle w:val="Prrafodelista"/>
        <w:numPr>
          <w:ilvl w:val="0"/>
          <w:numId w:val="1"/>
        </w:numPr>
        <w:spacing w:after="0"/>
        <w:rPr>
          <w:sz w:val="24"/>
          <w:szCs w:val="24"/>
        </w:rPr>
      </w:pPr>
      <w:r>
        <w:rPr>
          <w:sz w:val="24"/>
          <w:szCs w:val="24"/>
        </w:rPr>
        <w:t xml:space="preserve">He añadido </w:t>
      </w:r>
      <w:r w:rsidR="008473E4">
        <w:rPr>
          <w:sz w:val="24"/>
          <w:szCs w:val="24"/>
        </w:rPr>
        <w:t>un</w:t>
      </w:r>
      <w:r>
        <w:rPr>
          <w:sz w:val="24"/>
          <w:szCs w:val="24"/>
        </w:rPr>
        <w:t xml:space="preserve"> </w:t>
      </w:r>
      <w:r w:rsidR="005D1F05" w:rsidRPr="00E126E5">
        <w:rPr>
          <w:b/>
          <w:sz w:val="24"/>
          <w:szCs w:val="24"/>
        </w:rPr>
        <w:t>OTROSÍ</w:t>
      </w:r>
      <w:r w:rsidR="005D1F05">
        <w:rPr>
          <w:sz w:val="24"/>
          <w:szCs w:val="24"/>
        </w:rPr>
        <w:t>,</w:t>
      </w:r>
      <w:r w:rsidR="00632D3E">
        <w:rPr>
          <w:sz w:val="24"/>
          <w:szCs w:val="24"/>
        </w:rPr>
        <w:t xml:space="preserve"> </w:t>
      </w:r>
      <w:r>
        <w:rPr>
          <w:sz w:val="24"/>
          <w:szCs w:val="24"/>
        </w:rPr>
        <w:t xml:space="preserve">solicitando la </w:t>
      </w:r>
      <w:r w:rsidRPr="00632D3E">
        <w:rPr>
          <w:b/>
          <w:sz w:val="24"/>
          <w:szCs w:val="24"/>
        </w:rPr>
        <w:t>inscripción registral de la demanda</w:t>
      </w:r>
      <w:r>
        <w:rPr>
          <w:sz w:val="24"/>
          <w:szCs w:val="24"/>
        </w:rPr>
        <w:t xml:space="preserve">, </w:t>
      </w:r>
      <w:r w:rsidR="00632D3E">
        <w:rPr>
          <w:sz w:val="24"/>
          <w:szCs w:val="24"/>
        </w:rPr>
        <w:t xml:space="preserve">y </w:t>
      </w:r>
      <w:r w:rsidR="008473E4">
        <w:rPr>
          <w:sz w:val="24"/>
          <w:szCs w:val="24"/>
        </w:rPr>
        <w:t xml:space="preserve">he añadido al </w:t>
      </w:r>
      <w:r w:rsidR="00632D3E">
        <w:rPr>
          <w:sz w:val="24"/>
          <w:szCs w:val="24"/>
        </w:rPr>
        <w:t xml:space="preserve">otro, la </w:t>
      </w:r>
      <w:r w:rsidR="008473E4">
        <w:rPr>
          <w:sz w:val="24"/>
          <w:szCs w:val="24"/>
        </w:rPr>
        <w:t xml:space="preserve">solicitud de </w:t>
      </w:r>
      <w:r w:rsidR="00632D3E" w:rsidRPr="00DB06DC">
        <w:rPr>
          <w:b/>
          <w:sz w:val="24"/>
          <w:szCs w:val="24"/>
        </w:rPr>
        <w:t>anotación preventiva</w:t>
      </w:r>
      <w:r w:rsidRPr="00DB06DC">
        <w:rPr>
          <w:b/>
          <w:sz w:val="24"/>
          <w:szCs w:val="24"/>
        </w:rPr>
        <w:t xml:space="preserve"> del embargo</w:t>
      </w:r>
      <w:r>
        <w:rPr>
          <w:sz w:val="24"/>
          <w:szCs w:val="24"/>
        </w:rPr>
        <w:t>, ya que</w:t>
      </w:r>
      <w:r w:rsidR="003D6E4F" w:rsidRPr="003D6E4F">
        <w:t xml:space="preserve"> </w:t>
      </w:r>
      <w:r w:rsidR="003D6E4F">
        <w:rPr>
          <w:sz w:val="24"/>
          <w:szCs w:val="24"/>
        </w:rPr>
        <w:t>e</w:t>
      </w:r>
      <w:r w:rsidR="003D6E4F" w:rsidRPr="003D6E4F">
        <w:rPr>
          <w:sz w:val="24"/>
          <w:szCs w:val="24"/>
        </w:rPr>
        <w:t xml:space="preserve">n la demanda, se solicita el </w:t>
      </w:r>
      <w:r w:rsidR="003D6E4F" w:rsidRPr="003D6E4F">
        <w:rPr>
          <w:i/>
          <w:sz w:val="24"/>
          <w:szCs w:val="24"/>
        </w:rPr>
        <w:t>embargo de bienes</w:t>
      </w:r>
      <w:r w:rsidR="003D6E4F">
        <w:rPr>
          <w:sz w:val="24"/>
          <w:szCs w:val="24"/>
        </w:rPr>
        <w:t>, pero no su inscripción registral que parece ser que se requiere</w:t>
      </w:r>
      <w:r w:rsidR="000338FB">
        <w:rPr>
          <w:rStyle w:val="Refdenotaalpie"/>
          <w:sz w:val="24"/>
          <w:szCs w:val="24"/>
        </w:rPr>
        <w:footnoteReference w:id="3"/>
      </w:r>
      <w:r w:rsidR="00DB06DC">
        <w:rPr>
          <w:sz w:val="24"/>
          <w:szCs w:val="24"/>
        </w:rPr>
        <w:t>.</w:t>
      </w:r>
    </w:p>
    <w:p w:rsidR="00C44FFE" w:rsidRDefault="007F79A5" w:rsidP="007F79A5">
      <w:pPr>
        <w:pStyle w:val="Prrafodelista"/>
        <w:numPr>
          <w:ilvl w:val="0"/>
          <w:numId w:val="1"/>
        </w:numPr>
        <w:spacing w:after="0"/>
        <w:rPr>
          <w:sz w:val="24"/>
          <w:szCs w:val="24"/>
        </w:rPr>
      </w:pPr>
      <w:r w:rsidRPr="007F79A5">
        <w:rPr>
          <w:sz w:val="24"/>
          <w:szCs w:val="24"/>
        </w:rPr>
        <w:t xml:space="preserve">Dado que el Artículo 574 LEC. Ejecución en casos de intereses variables requiere un documento donde se explique el cálculo, lo menciono como ANEXO IV del </w:t>
      </w:r>
      <w:r w:rsidRPr="007F79A5">
        <w:rPr>
          <w:b/>
          <w:sz w:val="24"/>
          <w:szCs w:val="24"/>
        </w:rPr>
        <w:t>Documento nº 10</w:t>
      </w:r>
      <w:r w:rsidRPr="007F79A5">
        <w:rPr>
          <w:sz w:val="24"/>
          <w:szCs w:val="24"/>
        </w:rPr>
        <w:t>.</w:t>
      </w:r>
    </w:p>
    <w:p w:rsidR="007F79A5" w:rsidRPr="001D6392" w:rsidRDefault="007F79A5" w:rsidP="001D6392">
      <w:pPr>
        <w:pStyle w:val="Prrafodelista"/>
        <w:numPr>
          <w:ilvl w:val="0"/>
          <w:numId w:val="1"/>
        </w:numPr>
        <w:rPr>
          <w:sz w:val="24"/>
          <w:szCs w:val="24"/>
        </w:rPr>
      </w:pPr>
      <w:r w:rsidRPr="001D6392">
        <w:rPr>
          <w:sz w:val="24"/>
          <w:szCs w:val="24"/>
        </w:rPr>
        <w:t xml:space="preserve">He añadido que en el segundo grupo de burofaxes, existe un </w:t>
      </w:r>
      <w:r w:rsidRPr="001D6392">
        <w:rPr>
          <w:b/>
          <w:sz w:val="24"/>
          <w:szCs w:val="24"/>
        </w:rPr>
        <w:t>acuse de recibo</w:t>
      </w:r>
      <w:r w:rsidRPr="001D6392">
        <w:rPr>
          <w:sz w:val="24"/>
          <w:szCs w:val="24"/>
        </w:rPr>
        <w:t xml:space="preserve"> por el Administrador y tercer fiador, de modo que tanto este como la mercantil conocen el cambio de acreedor y están requeridos de pago</w:t>
      </w:r>
      <w:r w:rsidR="001D6392" w:rsidRPr="001D6392">
        <w:rPr>
          <w:sz w:val="24"/>
          <w:szCs w:val="24"/>
        </w:rPr>
        <w:t xml:space="preserve"> (</w:t>
      </w:r>
      <w:r w:rsidR="001D6392" w:rsidRPr="001D6392">
        <w:rPr>
          <w:i/>
          <w:sz w:val="24"/>
          <w:szCs w:val="24"/>
        </w:rPr>
        <w:t>De la fuerza probatoria de los documentos aportados</w:t>
      </w:r>
      <w:r w:rsidR="001D6392" w:rsidRPr="001D6392">
        <w:rPr>
          <w:sz w:val="24"/>
          <w:szCs w:val="24"/>
        </w:rPr>
        <w:t>)</w:t>
      </w:r>
      <w:r w:rsidR="00806E13">
        <w:rPr>
          <w:sz w:val="24"/>
          <w:szCs w:val="24"/>
        </w:rPr>
        <w:t>, añadiendo un párrafo de una sentencia al repecto</w:t>
      </w:r>
      <w:r w:rsidRPr="001D6392">
        <w:rPr>
          <w:sz w:val="24"/>
          <w:szCs w:val="24"/>
        </w:rPr>
        <w:t>.</w:t>
      </w:r>
    </w:p>
    <w:p w:rsidR="00846C40" w:rsidRDefault="00B62F24">
      <w:pPr>
        <w:rPr>
          <w:sz w:val="24"/>
          <w:szCs w:val="24"/>
        </w:rPr>
      </w:pPr>
      <w:r>
        <w:rPr>
          <w:sz w:val="24"/>
          <w:szCs w:val="24"/>
        </w:rPr>
        <w:t>En conclusión, caben dos alternativas:</w:t>
      </w:r>
    </w:p>
    <w:p w:rsidR="00B62F24" w:rsidRDefault="00B62F24" w:rsidP="00B62F24">
      <w:pPr>
        <w:pStyle w:val="Prrafodelista"/>
        <w:numPr>
          <w:ilvl w:val="0"/>
          <w:numId w:val="3"/>
        </w:numPr>
        <w:rPr>
          <w:sz w:val="24"/>
          <w:szCs w:val="24"/>
        </w:rPr>
      </w:pPr>
      <w:r>
        <w:rPr>
          <w:sz w:val="24"/>
          <w:szCs w:val="24"/>
        </w:rPr>
        <w:t xml:space="preserve">Solicitar </w:t>
      </w:r>
      <w:r w:rsidRPr="00B62F24">
        <w:rPr>
          <w:sz w:val="24"/>
          <w:szCs w:val="24"/>
        </w:rPr>
        <w:t xml:space="preserve">ACCIÓN DE RESOLUCIÓN CONTRACTUAL E INDEMNIZACIÓN POR DAÑOS Y PERJUICIOS del artículo 1124 CC </w:t>
      </w:r>
      <w:r>
        <w:rPr>
          <w:sz w:val="24"/>
          <w:szCs w:val="24"/>
        </w:rPr>
        <w:t xml:space="preserve"> o </w:t>
      </w:r>
    </w:p>
    <w:p w:rsidR="00B62F24" w:rsidRDefault="00B62F24" w:rsidP="00B62F24">
      <w:pPr>
        <w:pStyle w:val="Prrafodelista"/>
        <w:numPr>
          <w:ilvl w:val="0"/>
          <w:numId w:val="3"/>
        </w:numPr>
        <w:rPr>
          <w:sz w:val="24"/>
          <w:szCs w:val="24"/>
        </w:rPr>
      </w:pPr>
      <w:r>
        <w:rPr>
          <w:sz w:val="24"/>
          <w:szCs w:val="24"/>
        </w:rPr>
        <w:t xml:space="preserve">Solicitar </w:t>
      </w:r>
      <w:r w:rsidRPr="00B62F24">
        <w:rPr>
          <w:b/>
          <w:sz w:val="24"/>
          <w:szCs w:val="24"/>
        </w:rPr>
        <w:t>dos pronunciamientos</w:t>
      </w:r>
      <w:r>
        <w:rPr>
          <w:sz w:val="24"/>
          <w:szCs w:val="24"/>
        </w:rPr>
        <w:t xml:space="preserve">, siendo el segundo subsidiario del primero </w:t>
      </w:r>
    </w:p>
    <w:p w:rsidR="00B62F24" w:rsidRPr="00B62F24" w:rsidRDefault="00B62F24" w:rsidP="00B62F24">
      <w:pPr>
        <w:ind w:left="360"/>
        <w:rPr>
          <w:sz w:val="24"/>
          <w:szCs w:val="24"/>
        </w:rPr>
      </w:pPr>
      <w:r w:rsidRPr="00B62F24">
        <w:rPr>
          <w:sz w:val="24"/>
          <w:szCs w:val="24"/>
        </w:rPr>
        <w:t>a)</w:t>
      </w:r>
      <w:r w:rsidRPr="00B62F24">
        <w:rPr>
          <w:sz w:val="24"/>
          <w:szCs w:val="24"/>
        </w:rPr>
        <w:tab/>
        <w:t>ACCIÓN DECLARATIVA DE RECLAMACIÓN  DEL CUMPLIMIENTO CONTRACTUAL CON PÉRDIDA POR EL DEUDOR DEL BENEFICIO DEL PLAZO Y RECLAMACIÓN DE INDEMNIZACIÓN  del 1124 CC y 1129 CC</w:t>
      </w:r>
      <w:r>
        <w:rPr>
          <w:sz w:val="24"/>
          <w:szCs w:val="24"/>
        </w:rPr>
        <w:t xml:space="preserve"> y</w:t>
      </w:r>
      <w:r w:rsidRPr="00B62F24">
        <w:rPr>
          <w:sz w:val="24"/>
          <w:szCs w:val="24"/>
        </w:rPr>
        <w:t xml:space="preserve"> </w:t>
      </w:r>
    </w:p>
    <w:p w:rsidR="0093126F" w:rsidRDefault="00B62F24" w:rsidP="00B62F24">
      <w:pPr>
        <w:ind w:left="360"/>
        <w:rPr>
          <w:sz w:val="24"/>
          <w:szCs w:val="24"/>
        </w:rPr>
      </w:pPr>
      <w:r w:rsidRPr="00B62F24">
        <w:rPr>
          <w:sz w:val="24"/>
          <w:szCs w:val="24"/>
        </w:rPr>
        <w:t>b)</w:t>
      </w:r>
      <w:r w:rsidRPr="00B62F24">
        <w:rPr>
          <w:sz w:val="24"/>
          <w:szCs w:val="24"/>
        </w:rPr>
        <w:tab/>
        <w:t xml:space="preserve">Subsidiariamente, respecto de lo anterior, ACCIÓN DE RESOLUCIÓN CONTRACTUAL E INDEMNIZACIÓN POR DAÑOS Y PERJUICIOS del artículo 1124 CC </w:t>
      </w:r>
    </w:p>
    <w:p w:rsidR="0093126F" w:rsidRDefault="0093126F" w:rsidP="0093126F">
      <w:pPr>
        <w:rPr>
          <w:sz w:val="24"/>
          <w:szCs w:val="24"/>
        </w:rPr>
      </w:pPr>
    </w:p>
    <w:p w:rsidR="00B62F24" w:rsidRDefault="0093126F" w:rsidP="0093126F">
      <w:pPr>
        <w:rPr>
          <w:sz w:val="24"/>
          <w:szCs w:val="24"/>
        </w:rPr>
      </w:pPr>
      <w:r>
        <w:rPr>
          <w:sz w:val="24"/>
          <w:szCs w:val="24"/>
        </w:rPr>
        <w:t xml:space="preserve">NOTA: Las versiones de la demanda están en </w:t>
      </w:r>
      <w:hyperlink r:id="rId8" w:history="1">
        <w:r w:rsidRPr="0093126F">
          <w:rPr>
            <w:rStyle w:val="Hipervnculo"/>
            <w:sz w:val="24"/>
            <w:szCs w:val="24"/>
          </w:rPr>
          <w:t>repositorio Cajasol</w:t>
        </w:r>
      </w:hyperlink>
      <w:r>
        <w:rPr>
          <w:sz w:val="24"/>
          <w:szCs w:val="24"/>
        </w:rPr>
        <w:t>, de donde pueden descargarse.</w:t>
      </w:r>
      <w:bookmarkStart w:id="0" w:name="_GoBack"/>
      <w:bookmarkEnd w:id="0"/>
      <w:r w:rsidR="00B62F24">
        <w:rPr>
          <w:sz w:val="24"/>
          <w:szCs w:val="24"/>
        </w:rPr>
        <w:br w:type="page"/>
      </w:r>
    </w:p>
    <w:p w:rsidR="00846C40" w:rsidRDefault="00846C40" w:rsidP="00846C40">
      <w:pPr>
        <w:spacing w:after="0"/>
        <w:jc w:val="center"/>
        <w:rPr>
          <w:noProof/>
          <w:sz w:val="24"/>
          <w:szCs w:val="24"/>
          <w:lang w:eastAsia="es-ES"/>
        </w:rPr>
      </w:pPr>
    </w:p>
    <w:p w:rsidR="00846C40" w:rsidRPr="00846C40" w:rsidRDefault="00846C40" w:rsidP="00846C40">
      <w:pPr>
        <w:pStyle w:val="Descripcin"/>
        <w:jc w:val="center"/>
        <w:rPr>
          <w:sz w:val="24"/>
          <w:szCs w:val="24"/>
        </w:rPr>
      </w:pPr>
      <w:bookmarkStart w:id="1" w:name="_Ref496087393"/>
      <w:r w:rsidRPr="00846C40">
        <w:rPr>
          <w:sz w:val="24"/>
          <w:szCs w:val="24"/>
        </w:rPr>
        <w:t xml:space="preserve">Ilustración </w:t>
      </w:r>
      <w:r w:rsidRPr="00846C40">
        <w:rPr>
          <w:sz w:val="24"/>
          <w:szCs w:val="24"/>
        </w:rPr>
        <w:fldChar w:fldCharType="begin"/>
      </w:r>
      <w:r w:rsidRPr="00846C40">
        <w:rPr>
          <w:sz w:val="24"/>
          <w:szCs w:val="24"/>
        </w:rPr>
        <w:instrText xml:space="preserve"> SEQ Ilustración \* ARABIC </w:instrText>
      </w:r>
      <w:r w:rsidRPr="00846C40">
        <w:rPr>
          <w:sz w:val="24"/>
          <w:szCs w:val="24"/>
        </w:rPr>
        <w:fldChar w:fldCharType="separate"/>
      </w:r>
      <w:r w:rsidR="0093126F">
        <w:rPr>
          <w:noProof/>
          <w:sz w:val="24"/>
          <w:szCs w:val="24"/>
        </w:rPr>
        <w:t>1</w:t>
      </w:r>
      <w:r w:rsidRPr="00846C40">
        <w:rPr>
          <w:sz w:val="24"/>
          <w:szCs w:val="24"/>
        </w:rPr>
        <w:fldChar w:fldCharType="end"/>
      </w:r>
      <w:bookmarkEnd w:id="1"/>
      <w:r w:rsidRPr="00846C40">
        <w:rPr>
          <w:sz w:val="24"/>
          <w:szCs w:val="24"/>
        </w:rPr>
        <w:t>: Demanda ordinaria del BBVA</w:t>
      </w:r>
    </w:p>
    <w:p w:rsidR="00846C40" w:rsidRPr="00846C40" w:rsidRDefault="00846C40" w:rsidP="00846C40">
      <w:r>
        <w:rPr>
          <w:noProof/>
          <w:sz w:val="24"/>
          <w:szCs w:val="24"/>
          <w:lang w:eastAsia="es-ES"/>
        </w:rPr>
        <w:object w:dxaOrig="8460" w:dyaOrig="6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27pt" o:ole="">
            <v:imagedata r:id="rId9" o:title=""/>
          </v:shape>
          <o:OLEObject Type="Embed" ProgID="PBrush" ShapeID="_x0000_i1025" DrawAspect="Content" ObjectID="_1569994504" r:id="rId10"/>
        </w:object>
      </w:r>
    </w:p>
    <w:p w:rsidR="00935DF7" w:rsidRDefault="00935DF7" w:rsidP="004D3702">
      <w:pPr>
        <w:pStyle w:val="Prrafodelista"/>
        <w:spacing w:after="0"/>
        <w:ind w:left="360"/>
        <w:rPr>
          <w:sz w:val="24"/>
          <w:szCs w:val="24"/>
        </w:rPr>
      </w:pPr>
    </w:p>
    <w:p w:rsidR="00935DF7" w:rsidRPr="007F79A5" w:rsidRDefault="00935DF7" w:rsidP="00935DF7">
      <w:pPr>
        <w:pStyle w:val="Prrafodelista"/>
        <w:spacing w:after="0"/>
        <w:ind w:left="360"/>
        <w:rPr>
          <w:sz w:val="24"/>
          <w:szCs w:val="24"/>
        </w:rPr>
      </w:pPr>
    </w:p>
    <w:p w:rsidR="007F79A5" w:rsidRPr="007F79A5" w:rsidRDefault="007F79A5" w:rsidP="007F79A5">
      <w:pPr>
        <w:pStyle w:val="Prrafodelista"/>
        <w:spacing w:after="0"/>
        <w:ind w:left="360"/>
        <w:rPr>
          <w:b/>
          <w:sz w:val="24"/>
          <w:szCs w:val="24"/>
        </w:rPr>
      </w:pPr>
    </w:p>
    <w:p w:rsidR="001A2A25" w:rsidRPr="00B54007" w:rsidRDefault="001A2A25" w:rsidP="00B54007">
      <w:pPr>
        <w:spacing w:after="0"/>
        <w:ind w:left="357"/>
        <w:rPr>
          <w:sz w:val="24"/>
          <w:szCs w:val="24"/>
        </w:rPr>
      </w:pPr>
    </w:p>
    <w:sectPr w:rsidR="001A2A25" w:rsidRPr="00B540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007" w:rsidRDefault="00B54007" w:rsidP="00B54007">
      <w:pPr>
        <w:spacing w:after="0" w:line="240" w:lineRule="auto"/>
      </w:pPr>
      <w:r>
        <w:separator/>
      </w:r>
    </w:p>
  </w:endnote>
  <w:endnote w:type="continuationSeparator" w:id="0">
    <w:p w:rsidR="00B54007" w:rsidRDefault="00B54007" w:rsidP="00B54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007" w:rsidRDefault="00B54007" w:rsidP="00B54007">
      <w:pPr>
        <w:spacing w:after="0" w:line="240" w:lineRule="auto"/>
      </w:pPr>
      <w:r>
        <w:separator/>
      </w:r>
    </w:p>
  </w:footnote>
  <w:footnote w:type="continuationSeparator" w:id="0">
    <w:p w:rsidR="00B54007" w:rsidRDefault="00B54007" w:rsidP="00B54007">
      <w:pPr>
        <w:spacing w:after="0" w:line="240" w:lineRule="auto"/>
      </w:pPr>
      <w:r>
        <w:continuationSeparator/>
      </w:r>
    </w:p>
  </w:footnote>
  <w:footnote w:id="1">
    <w:p w:rsidR="00707688" w:rsidRDefault="00707688">
      <w:pPr>
        <w:pStyle w:val="Textonotapie"/>
      </w:pPr>
      <w:r>
        <w:rPr>
          <w:rStyle w:val="Refdenotaalpie"/>
        </w:rPr>
        <w:footnoteRef/>
      </w:r>
      <w:r>
        <w:t xml:space="preserve"> Ver: </w:t>
      </w:r>
      <w:hyperlink r:id="rId1" w:history="1">
        <w:r w:rsidRPr="00707688">
          <w:rPr>
            <w:rStyle w:val="Hipervnculo"/>
          </w:rPr>
          <w:t>Fuente</w:t>
        </w:r>
      </w:hyperlink>
      <w:r w:rsidR="00846C40">
        <w:t xml:space="preserve"> y </w:t>
      </w:r>
    </w:p>
  </w:footnote>
  <w:footnote w:id="2">
    <w:p w:rsidR="00DB06DC" w:rsidRDefault="00DB06DC" w:rsidP="00DB06DC">
      <w:pPr>
        <w:pStyle w:val="Textonotapie"/>
      </w:pPr>
      <w:r>
        <w:rPr>
          <w:rStyle w:val="Refdenotaalpie"/>
        </w:rPr>
        <w:footnoteRef/>
      </w:r>
      <w:r>
        <w:t xml:space="preserve"> “Perderá el deudor todo derecho a utilizar el plazo:</w:t>
      </w:r>
    </w:p>
    <w:p w:rsidR="00DB06DC" w:rsidRDefault="00DB06DC" w:rsidP="00DB06DC">
      <w:pPr>
        <w:pStyle w:val="Textonotapie"/>
        <w:ind w:left="227"/>
      </w:pPr>
      <w:r>
        <w:t>1.º Cuando, después de contraída la obligación, resulte insolvente, salvo que garantice la deuda.</w:t>
      </w:r>
    </w:p>
    <w:p w:rsidR="00DB06DC" w:rsidRDefault="00DB06DC" w:rsidP="00DB06DC">
      <w:pPr>
        <w:pStyle w:val="Textonotapie"/>
        <w:ind w:left="227"/>
      </w:pPr>
      <w:r>
        <w:t>2.º Cuando no otorgue al acreedor las garantías a que estuviese comprometido.</w:t>
      </w:r>
    </w:p>
    <w:p w:rsidR="00DB06DC" w:rsidRDefault="00DB06DC" w:rsidP="00DB06DC">
      <w:pPr>
        <w:pStyle w:val="Textonotapie"/>
        <w:ind w:left="227"/>
      </w:pPr>
      <w:r>
        <w:t>3.º Cuando por actos propios hubiese disminuido aquellas garantías después de establecidas, y cuando por caso fortuito desaparecieran, a menos que sean inmediatamente sustituidas por otras nuevas e igualmente seguras.”</w:t>
      </w:r>
    </w:p>
    <w:p w:rsidR="00DB06DC" w:rsidRDefault="00DB06DC" w:rsidP="00DB06DC">
      <w:pPr>
        <w:pStyle w:val="Textonotapie"/>
      </w:pPr>
    </w:p>
    <w:p w:rsidR="00DB06DC" w:rsidRDefault="00DB06DC" w:rsidP="00DB06DC">
      <w:pPr>
        <w:pStyle w:val="Textonotapie"/>
      </w:pPr>
      <w:r>
        <w:t>En el presente caso, la mercantil está inactiva y en situación de posible cierre de hoja registral (Documento nº 1), siendo por tanto insolvente, y el tercer fiador – garante solidario del préstamo -, D. JULIÁN PEREIRA, viene haciendo caso omiso a los requerimientos de cumplimiento de sus obligaciones, todo ello durante un periodo de impago de más de ocho años, lo que no deja a los deudores más posibilidad de recuperar la deuda que la realización de la garantía hipotecaria.</w:t>
      </w:r>
    </w:p>
  </w:footnote>
  <w:footnote w:id="3">
    <w:p w:rsidR="000338FB" w:rsidRDefault="000338FB" w:rsidP="000338FB">
      <w:pPr>
        <w:pStyle w:val="Textonotapie"/>
      </w:pPr>
      <w:r>
        <w:rPr>
          <w:rStyle w:val="Refdenotaalpie"/>
        </w:rPr>
        <w:footnoteRef/>
      </w:r>
      <w:r>
        <w:t xml:space="preserve"> </w:t>
      </w:r>
      <w:r>
        <w:t>Resolución de 1 de febrero de 2017, de la Dirección General</w:t>
      </w:r>
      <w:r>
        <w:t xml:space="preserve"> </w:t>
      </w:r>
      <w:r>
        <w:t>de los Registros y del Notariado</w:t>
      </w:r>
      <w:r>
        <w:t>:</w:t>
      </w:r>
    </w:p>
    <w:p w:rsidR="000338FB" w:rsidRDefault="000338FB" w:rsidP="000338FB">
      <w:pPr>
        <w:pStyle w:val="Textonotapie"/>
      </w:pPr>
      <w:r>
        <w:t xml:space="preserve">“(…) </w:t>
      </w:r>
      <w:r>
        <w:t>la</w:t>
      </w:r>
      <w:r>
        <w:t xml:space="preserve"> </w:t>
      </w:r>
      <w:r>
        <w:t>Resolución de 23 de julio de 1999 que afirmó la necesidad de</w:t>
      </w:r>
      <w:r>
        <w:t xml:space="preserve"> </w:t>
      </w:r>
      <w:r>
        <w:t>hacer constar por nota al margen de la hipoteca ejecutada su</w:t>
      </w:r>
      <w:r>
        <w:t xml:space="preserve"> </w:t>
      </w:r>
      <w:r>
        <w:t xml:space="preserve">relación con la posterior </w:t>
      </w:r>
      <w:r w:rsidRPr="000338FB">
        <w:rPr>
          <w:b/>
        </w:rPr>
        <w:t>anotación de embargo</w:t>
      </w:r>
      <w:r>
        <w:t xml:space="preserve"> por la que</w:t>
      </w:r>
      <w:r>
        <w:t xml:space="preserve"> </w:t>
      </w:r>
      <w:r>
        <w:t>publicaba la ejecución por los trámites del procedimiento</w:t>
      </w:r>
      <w:r>
        <w:t xml:space="preserve"> </w:t>
      </w:r>
      <w:r>
        <w:t>ejecutivo ordinario.</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65B21"/>
    <w:multiLevelType w:val="hybridMultilevel"/>
    <w:tmpl w:val="99468A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B2026C3"/>
    <w:multiLevelType w:val="hybridMultilevel"/>
    <w:tmpl w:val="CC187354"/>
    <w:lvl w:ilvl="0" w:tplc="75720396">
      <w:start w:val="1"/>
      <w:numFmt w:val="upperRoman"/>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8D73101"/>
    <w:multiLevelType w:val="hybridMultilevel"/>
    <w:tmpl w:val="51AE0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07"/>
    <w:rsid w:val="000338FB"/>
    <w:rsid w:val="001A2A25"/>
    <w:rsid w:val="001D6392"/>
    <w:rsid w:val="00251CE7"/>
    <w:rsid w:val="003D6E4F"/>
    <w:rsid w:val="004A6BD3"/>
    <w:rsid w:val="004D3702"/>
    <w:rsid w:val="004E5CB3"/>
    <w:rsid w:val="00516C95"/>
    <w:rsid w:val="0054307E"/>
    <w:rsid w:val="005D1331"/>
    <w:rsid w:val="005D1F05"/>
    <w:rsid w:val="005F48FD"/>
    <w:rsid w:val="00632D3E"/>
    <w:rsid w:val="00707688"/>
    <w:rsid w:val="007F79A5"/>
    <w:rsid w:val="00806E13"/>
    <w:rsid w:val="00846C40"/>
    <w:rsid w:val="008473E4"/>
    <w:rsid w:val="00861DBF"/>
    <w:rsid w:val="0090081F"/>
    <w:rsid w:val="0093126F"/>
    <w:rsid w:val="00935DF7"/>
    <w:rsid w:val="00B51E2D"/>
    <w:rsid w:val="00B54007"/>
    <w:rsid w:val="00B62F24"/>
    <w:rsid w:val="00C44FFE"/>
    <w:rsid w:val="00CC7197"/>
    <w:rsid w:val="00DB06DC"/>
    <w:rsid w:val="00E126E5"/>
    <w:rsid w:val="00ED63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6C45FEC-9B38-4751-981D-DA02CBAA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007"/>
    <w:pPr>
      <w:ind w:left="720"/>
      <w:contextualSpacing/>
    </w:pPr>
  </w:style>
  <w:style w:type="paragraph" w:styleId="Textonotapie">
    <w:name w:val="footnote text"/>
    <w:basedOn w:val="Normal"/>
    <w:link w:val="TextonotapieCar"/>
    <w:uiPriority w:val="99"/>
    <w:semiHidden/>
    <w:unhideWhenUsed/>
    <w:rsid w:val="00B540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54007"/>
    <w:rPr>
      <w:sz w:val="20"/>
      <w:szCs w:val="20"/>
    </w:rPr>
  </w:style>
  <w:style w:type="character" w:styleId="Refdenotaalpie">
    <w:name w:val="footnote reference"/>
    <w:basedOn w:val="Fuentedeprrafopredeter"/>
    <w:uiPriority w:val="99"/>
    <w:semiHidden/>
    <w:unhideWhenUsed/>
    <w:rsid w:val="00B54007"/>
    <w:rPr>
      <w:vertAlign w:val="superscript"/>
    </w:rPr>
  </w:style>
  <w:style w:type="paragraph" w:customStyle="1" w:styleId="a">
    <w:name w:val="a"/>
    <w:basedOn w:val="Normal"/>
    <w:rsid w:val="00B5400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54007"/>
    <w:rPr>
      <w:i/>
      <w:iCs/>
    </w:rPr>
  </w:style>
  <w:style w:type="paragraph" w:styleId="NormalWeb">
    <w:name w:val="Normal (Web)"/>
    <w:basedOn w:val="Normal"/>
    <w:uiPriority w:val="99"/>
    <w:semiHidden/>
    <w:unhideWhenUsed/>
    <w:rsid w:val="00B540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B540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54007"/>
    <w:rPr>
      <w:rFonts w:eastAsiaTheme="minorEastAsia"/>
      <w:color w:val="5A5A5A" w:themeColor="text1" w:themeTint="A5"/>
      <w:spacing w:val="15"/>
    </w:rPr>
  </w:style>
  <w:style w:type="character" w:styleId="Hipervnculo">
    <w:name w:val="Hyperlink"/>
    <w:basedOn w:val="Fuentedeprrafopredeter"/>
    <w:uiPriority w:val="99"/>
    <w:unhideWhenUsed/>
    <w:rsid w:val="00707688"/>
    <w:rPr>
      <w:color w:val="0563C1" w:themeColor="hyperlink"/>
      <w:u w:val="single"/>
    </w:rPr>
  </w:style>
  <w:style w:type="paragraph" w:styleId="Descripcin">
    <w:name w:val="caption"/>
    <w:basedOn w:val="Normal"/>
    <w:next w:val="Normal"/>
    <w:uiPriority w:val="35"/>
    <w:unhideWhenUsed/>
    <w:qFormat/>
    <w:rsid w:val="00846C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9312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12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7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fuspereira/cajaso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prouespeculacio.org/2017/07/05/la-banca-inventa-ejecucion-hipotecaria-no-demanda-de-juicio-ordin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5568-A026-45A5-8907-60FDA4EB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549</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ine</cp:lastModifiedBy>
  <cp:revision>17</cp:revision>
  <cp:lastPrinted>2017-10-20T06:40:00Z</cp:lastPrinted>
  <dcterms:created xsi:type="dcterms:W3CDTF">2017-10-16T15:06:00Z</dcterms:created>
  <dcterms:modified xsi:type="dcterms:W3CDTF">2017-10-20T06:49:00Z</dcterms:modified>
</cp:coreProperties>
</file>