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jQuery中的.height()、.innerHeight()和.outerHeight()和W3C的盒模型相关的几个获取元素尺寸的方法。对应的宽度获取方法分别为.width()、.innerWidth()和.outerWidth()，在此不详述。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shd w:val="clear" w:fill="FCF1F5"/>
        </w:rPr>
        <w:t>1. .height()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获取匹配元素集合中的第一个元素的当前计算高度值 或 设置每一个匹配元素的高度值（带一个参数）。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begin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instrText xml:space="preserve">INCLUDEPICTURE \d "http://www.kuqin.com/upimg/allimg/140113/215G21H4-0.png" \* MERGEFORMATINET </w:instrTex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separate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drawing>
          <wp:inline distT="0" distB="0" distL="114300" distR="114300">
            <wp:extent cx="3362325" cy="13239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注意：1）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.css('height')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和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.height()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之间的区别是后者返回一个没有单位的数值（例如，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400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），前者是返回带有完整单位的字符串（例如，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400px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2）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.height()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总是返回内容宽度,不管CSS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box-sizing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属性值。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.height('value')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设置的容器宽度是根据CSS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box-sizing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属性来定的, 将这个属性值改成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border-box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，将造成这个函数改变这个容器的outerHeight，而不是原来的内容高度。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shd w:val="clear" w:fill="FCF1F5"/>
        </w:rPr>
        <w:t>2. .innerHeight()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为匹配的元素集合中获取第一个元素的当前计算高度值,包括padding，但是不包括border。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begin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instrText xml:space="preserve">INCLUDEPICTURE \d "http://www.kuqin.com/upimg/allimg/140113/215G26158-1.png" \* MERGEFORMATINET </w:instrTex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separate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drawing>
          <wp:inline distT="0" distB="0" distL="114300" distR="114300">
            <wp:extent cx="3362325" cy="13239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shd w:val="clear" w:fill="FCF1F5"/>
        </w:rPr>
        <w:t>3. .outerHeight()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获取元素集合中第一个元素的当前计算高度值,包括padding，border和选择性的margin。返回一个整数（不包含“px”）表示的值 ，或如果在一个空集合上调用该方法，则会返回 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begin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instrText xml:space="preserve">INCLUDEPICTURE \d "http://www.kuqin.com/upimg/allimg/140113/215G243O-2.png" \* MERGEFORMATINET </w:instrTex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separate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drawing>
          <wp:inline distT="0" distB="0" distL="114300" distR="114300">
            <wp:extent cx="3362325" cy="13239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1F5"/>
        <w:spacing w:before="225" w:beforeAutospacing="0" w:after="225" w:afterAutospacing="0"/>
        <w:ind w:left="0" w:right="0" w:firstLine="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在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.outerHeight()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计算中总是包含padding-top ,padding-bottom 和 border-top，border-bottom ；如果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includeMargin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参数是</w:t>
      </w:r>
      <w:r>
        <w:rPr>
          <w:rStyle w:val="7"/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21"/>
          <w:szCs w:val="21"/>
          <w:shd w:val="clear" w:fill="FCF1F5"/>
        </w:rPr>
        <w:t>，那么margin (top 和 bottom)也会被包含。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链式编程：</w:t>
      </w:r>
    </w:p>
    <w:p>
      <w:p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就好比一个人不断进入不同的环境进行磨炼</w:t>
      </w:r>
      <w:r>
        <w:rPr>
          <w:rFonts w:hint="eastAsia" w:ascii="Consolas" w:hAnsi="Consolas" w:cs="Consolas"/>
          <w:b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，</w:t>
      </w: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进入一个环境磨炼自己，然后离开，然后再进入下一个环境继续镀金，最后返回自己，但此时的【自己】已经通过不同的【环境】得以锻炼，变成不一样的自己</w:t>
      </w:r>
      <w:r>
        <w:rPr>
          <w:rFonts w:hint="eastAsia" w:ascii="Consolas" w:hAnsi="Consolas" w:cs="Consolas"/>
          <w:b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1A1669D"/>
    <w:rsid w:val="24520979"/>
    <w:rsid w:val="2B07098D"/>
    <w:rsid w:val="32D065DA"/>
    <w:rsid w:val="3EFE3348"/>
    <w:rsid w:val="4D7244A1"/>
    <w:rsid w:val="4DB77AFD"/>
    <w:rsid w:val="50671A2A"/>
    <w:rsid w:val="5481229F"/>
    <w:rsid w:val="591833B7"/>
    <w:rsid w:val="598B1440"/>
    <w:rsid w:val="5FBD3EC9"/>
    <w:rsid w:val="6F4139D1"/>
    <w:rsid w:val="70321D54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0">
    <w:name w:val="样式2"/>
    <w:basedOn w:val="9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1">
    <w:name w:val="样式3"/>
    <w:basedOn w:val="9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2">
    <w:name w:val="样式4"/>
    <w:basedOn w:val="9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3">
    <w:name w:val="样式6"/>
    <w:basedOn w:val="9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2019-05-14T13:53:12Z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