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40"/>
              <w:left w:type="dxa" w:w="0"/>
              <w:bottom w:type="dxa" w:w="40"/>
              <w:right w:type="dxa" w:w="0"/>
            </w:tcMar>
          </w:tcPr>
          <w:p>
            <w:pPr>
              <w:spacing w:after="0"/>
            </w:pPr>
            <w:r>
              <w:rPr>
                <w:color w:val="1B3A5C"/>
                <w:sz w:val="8"/>
                <w:szCs w:val="8"/>
              </w:rPr>
              <w:t xml:space="preserve"> </w:t>
            </w:r>
          </w:p>
        </w:tc>
      </w:tr>
    </w:tbl>
    <w:p>
      <w:pPr>
        <w:spacing w:before="2000" w:after="0"/>
      </w:pPr>
    </w:p>
    <w:p>
      <w:pPr>
        <w:spacing w:after="60"/>
        <w:jc w:val="left"/>
      </w:pPr>
      <w:r>
        <w:rPr>
          <w:rFonts w:ascii="Calibri" w:cs="Calibri" w:eastAsia="Calibri" w:hAnsi="Calibri"/>
          <w:b/>
          <w:bCs/>
          <w:color w:val="1B3A5C"/>
          <w:sz w:val="56"/>
          <w:szCs w:val="56"/>
        </w:rPr>
        <w:t xml:space="preserve">Piattaforma Agentica</w:t>
      </w:r>
    </w:p>
    <w:p>
      <w:pPr>
        <w:spacing w:after="40"/>
        <w:jc w:val="left"/>
      </w:pPr>
      <w:r>
        <w:rPr>
          <w:rFonts w:ascii="Calibri" w:cs="Calibri" w:eastAsia="Calibri" w:hAnsi="Calibri"/>
          <w:b/>
          <w:bCs/>
          <w:color w:val="1B3A5C"/>
          <w:sz w:val="56"/>
          <w:szCs w:val="56"/>
        </w:rPr>
        <w:t xml:space="preserve">di Fact-Checking e Risk Intelligence</w:t>
      </w:r>
    </w:p>
    <w:p>
      <w:pPr>
        <w:spacing w:before="100" w:after="40"/>
      </w:pPr>
      <w:r>
        <w:rPr>
          <w:rFonts w:ascii="Calibri" w:cs="Calibri" w:eastAsia="Calibri" w:hAnsi="Calibri"/>
          <w:color w:val="2E75B6"/>
          <w:sz w:val="26"/>
          <w:szCs w:val="26"/>
        </w:rPr>
        <w:t xml:space="preserve">Verifica basata su evidenze • Metriche di affidabilità • Report audit-ready</w:t>
      </w:r>
    </w:p>
    <w:p>
      <w:pPr>
        <w:pBdr>
          <w:bottom w:val="single" w:color="2E75B6" w:sz="8" w:space="1"/>
        </w:pBdr>
        <w:spacing w:before="60" w:after="200"/>
      </w:pPr>
    </w:p>
    <w:p>
      <w:pPr>
        <w:spacing w:before="200" w:after="60"/>
      </w:pPr>
      <w:r>
        <w:rPr>
          <w:rFonts w:ascii="Calibri" w:cs="Calibri" w:eastAsia="Calibri" w:hAnsi="Calibri"/>
          <w:color w:val="666666"/>
          <w:sz w:val="28"/>
          <w:szCs w:val="28"/>
        </w:rPr>
        <w:t xml:space="preserve">Report di Prodotto</w:t>
      </w:r>
    </w:p>
    <w:p>
      <w:pPr>
        <w:spacing w:after="60"/>
      </w:pPr>
      <w:r>
        <w:rPr>
          <w:rFonts w:ascii="Calibri" w:cs="Calibri" w:eastAsia="Calibri" w:hAnsi="Calibri"/>
          <w:i/>
          <w:iCs/>
          <w:color w:val="666666"/>
          <w:sz w:val="20"/>
          <w:szCs w:val="20"/>
        </w:rPr>
        <w:t xml:space="preserve">Riservato — Solo per destinatari autorizzati</w:t>
      </w:r>
    </w:p>
    <w:p>
      <w:pPr>
        <w:spacing w:before="800" w:after="0"/>
      </w:pPr>
    </w:p>
    <w:p>
      <w:pPr>
        <w:spacing w:after="60"/>
      </w:pPr>
      <w:r>
        <w:rPr>
          <w:rFonts w:ascii="Calibri" w:cs="Calibri" w:eastAsia="Calibri" w:hAnsi="Calibri"/>
          <w:b/>
          <w:bCs/>
          <w:color w:val="666666"/>
          <w:sz w:val="20"/>
          <w:szCs w:val="20"/>
        </w:rPr>
        <w:t xml:space="preserve">Data: </w:t>
      </w:r>
      <w:r>
        <w:rPr>
          <w:rFonts w:ascii="Calibri" w:cs="Calibri" w:eastAsia="Calibri" w:hAnsi="Calibri"/>
          <w:color w:val="666666"/>
          <w:sz w:val="20"/>
          <w:szCs w:val="20"/>
        </w:rPr>
        <w:t xml:space="preserve">Febbraio 2026</w:t>
      </w:r>
    </w:p>
    <w:p>
      <w:pPr>
        <w:spacing w:after="60"/>
      </w:pPr>
      <w:r>
        <w:rPr>
          <w:rFonts w:ascii="Calibri" w:cs="Calibri" w:eastAsia="Calibri" w:hAnsi="Calibri"/>
          <w:b/>
          <w:bCs/>
          <w:color w:val="666666"/>
          <w:sz w:val="20"/>
          <w:szCs w:val="20"/>
        </w:rPr>
        <w:t xml:space="preserve">Versione: </w:t>
      </w:r>
      <w:r>
        <w:rPr>
          <w:rFonts w:ascii="Calibri" w:cs="Calibri" w:eastAsia="Calibri" w:hAnsi="Calibri"/>
          <w:color w:val="666666"/>
          <w:sz w:val="20"/>
          <w:szCs w:val="20"/>
        </w:rPr>
        <w:t xml:space="preserve">1.0</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5B6" w:val="clear"/>
            <w:tcMar>
              <w:top w:type="dxa" w:w="20"/>
              <w:left w:type="dxa" w:w="0"/>
              <w:bottom w:type="dxa" w:w="20"/>
              <w:right w:type="dxa" w:w="0"/>
            </w:tcMar>
          </w:tcPr>
          <w:p>
            <w:pPr>
              <w:spacing w:after="0"/>
            </w:pPr>
            <w:r>
              <w:rPr>
                <w:color w:val="2E75B6"/>
                <w:sz w:val="4"/>
                <w:szCs w:val="4"/>
              </w:rPr>
              <w:t xml:space="preserve"> </w:t>
            </w:r>
          </w:p>
        </w:tc>
      </w:tr>
    </w:tbl>
    <w:p>
      <w:pPr>
        <w:sectPr>
          <w:pgSz w:w="12240" w:h="15840" w:orient="portrait"/>
          <w:pgMar w:top="720" w:right="1440" w:bottom="720" w:left="1440" w:header="708" w:footer="708" w:gutter="0"/>
          <w:pgNumType/>
          <w:docGrid w:linePitch="360"/>
        </w:sectPr>
      </w:pPr>
    </w:p>
    <w:p>
      <w:pPr>
        <w:spacing w:before="360" w:after="60"/>
      </w:pPr>
      <w:r>
        <w:rPr>
          <w:rFonts w:ascii="Calibri" w:cs="Calibri" w:eastAsia="Calibri" w:hAnsi="Calibri"/>
          <w:b/>
          <w:bCs/>
          <w:color w:val="1B3A5C"/>
          <w:sz w:val="26"/>
          <w:szCs w:val="26"/>
        </w:rPr>
        <w:t xml:space="preserve">1. SINTESI ESECUTIVA</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La piattaforma è una soluzione end-to-end di tipo agentico progettata per trasformare materiali documentali non strutturati — inclusi documenti, questionari strutturati e trascrizioni audio opzionali — in risultati di fact-checking verificabili, corredati da segnali di affidabilità misurabili e pronti per l’audit.</w:t>
      </w:r>
    </w:p>
    <w:p>
      <w:pPr>
        <w:spacing w:after="140" w:line="300"/>
        <w:jc w:val="both"/>
      </w:pPr>
      <w:r>
        <w:rPr>
          <w:rFonts w:ascii="Calibri" w:cs="Calibri" w:eastAsia="Calibri" w:hAnsi="Calibri"/>
          <w:color w:val="2D2D2D"/>
          <w:sz w:val="22"/>
          <w:szCs w:val="22"/>
        </w:rPr>
        <w:t xml:space="preserve">Il sistema è concepito per team operativi che necessitano di output superiori alle semplici risposte conversazionali: richiedono evidenze verificabili, controlli di coerenza interna, segnalazioni di rischio, flussi di lavoro ripetibili e reportistica conforme ai requisiti di governance. Combinando orchestrazione agentica, Retrieval-Augmented Generation (RAG), metriche quantitative di qualità e persistenza conforme alle normative, la piattaforma colma il divario tra le capacità dell’IA e l’accountability operativa nel mondo reale.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D6E4F0" w:val="clear"/>
            <w:tcMar>
              <w:top w:type="dxa" w:w="160"/>
              <w:left w:type="dxa" w:w="240"/>
              <w:bottom w:type="dxa" w:w="160"/>
              <w:right w:type="dxa" w:w="240"/>
            </w:tcMar>
          </w:tcPr>
          <w:p>
            <w:pPr>
              <w:spacing w:after="0" w:line="300"/>
            </w:pPr>
            <w:r>
              <w:rPr>
                <w:rFonts w:ascii="Calibri" w:cs="Calibri" w:eastAsia="Calibri" w:hAnsi="Calibri"/>
                <w:i/>
                <w:iCs/>
                <w:color w:val="1B3A5C"/>
                <w:sz w:val="22"/>
                <w:szCs w:val="22"/>
              </w:rPr>
              <w:t xml:space="preserve">Proposta di valore chiave: una piattaforma di verifica agentica che recupera evidenze, genera output strutturati di fact-checking, quantifica l’affidabilità e gestisce l’incertezza — producendo report audit-ready adatti ad ambienti operativi reali.</w:t>
            </w:r>
          </w:p>
        </w:tc>
      </w:tr>
    </w:tbl>
    <w:p>
      <w:pPr>
        <w:spacing w:after="100"/>
      </w:pPr>
    </w:p>
    <w:p>
      <w:pPr>
        <w:spacing w:before="360" w:after="60"/>
      </w:pPr>
      <w:r>
        <w:rPr>
          <w:rFonts w:ascii="Calibri" w:cs="Calibri" w:eastAsia="Calibri" w:hAnsi="Calibri"/>
          <w:b/>
          <w:bCs/>
          <w:color w:val="1B3A5C"/>
          <w:sz w:val="26"/>
          <w:szCs w:val="26"/>
        </w:rPr>
        <w:t xml:space="preserve">2. IL PROBLEMA CHE LA PIATTAFORMA RISOLVE</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La maggior parte delle soluzioni di analisi assistita dall’IA si rivela inadeguata quando viene impiegata in contesti operativi reali. Nonostante i significativi progressi nei modelli linguistici di grandi dimensioni, tre criticità fondamentali persistono nelle implementazioni aziendali e istituzionali:</w:t>
      </w:r>
    </w:p>
    <w:p>
      <w:pPr>
        <w:pStyle w:val="ListParagraph"/>
        <w:numPr>
          <w:ilvl w:val="0"/>
          <w:numId w:val="2"/>
        </w:numPr>
        <w:spacing w:after="100" w:line="300"/>
        <w:jc w:val="both"/>
      </w:pPr>
      <w:r>
        <w:rPr>
          <w:rFonts w:ascii="Calibri" w:cs="Calibri" w:eastAsia="Calibri" w:hAnsi="Calibri"/>
          <w:b/>
          <w:bCs/>
          <w:color w:val="2D2D2D"/>
          <w:sz w:val="22"/>
          <w:szCs w:val="22"/>
        </w:rPr>
        <w:t xml:space="preserve">Assenza di grounding verificabile. </w:t>
      </w:r>
      <w:r>
        <w:rPr>
          <w:rFonts w:ascii="Calibri" w:cs="Calibri" w:eastAsia="Calibri" w:hAnsi="Calibri"/>
          <w:color w:val="2D2D2D"/>
          <w:sz w:val="22"/>
          <w:szCs w:val="22"/>
        </w:rPr>
        <w:t xml:space="preserve">Le risposte generate dall’IA appaiono spesso autorevoli ma non sono sistematicamente collegate a evidenze tracciabili. In domini ad alto rischio come la verifica di conformità, l’analisi giuridica e la valutazione del rischio, questa opacità è inaccettabile.</w:t>
      </w:r>
    </w:p>
    <w:p>
      <w:pPr>
        <w:pStyle w:val="ListParagraph"/>
        <w:numPr>
          <w:ilvl w:val="0"/>
          <w:numId w:val="2"/>
        </w:numPr>
        <w:spacing w:after="100" w:line="300"/>
        <w:jc w:val="both"/>
      </w:pPr>
      <w:r>
        <w:rPr>
          <w:rFonts w:ascii="Calibri" w:cs="Calibri" w:eastAsia="Calibri" w:hAnsi="Calibri"/>
          <w:b/>
          <w:bCs/>
          <w:color w:val="2D2D2D"/>
          <w:sz w:val="22"/>
          <w:szCs w:val="22"/>
        </w:rPr>
        <w:t xml:space="preserve">Incertezza nascosta. </w:t>
      </w:r>
      <w:r>
        <w:rPr>
          <w:rFonts w:ascii="Calibri" w:cs="Calibri" w:eastAsia="Calibri" w:hAnsi="Calibri"/>
          <w:color w:val="2D2D2D"/>
          <w:sz w:val="22"/>
          <w:szCs w:val="22"/>
        </w:rPr>
        <w:t xml:space="preserve">I sistemi IA convenzionali non forniscono alcun segnale che indichi se un output si basa su evidenze solide, deboli o inesistenti. L’utente è costretto a stimare autonomamente l’affidabilità della risposta.</w:t>
      </w:r>
    </w:p>
    <w:p>
      <w:pPr>
        <w:pStyle w:val="ListParagraph"/>
        <w:numPr>
          <w:ilvl w:val="0"/>
          <w:numId w:val="2"/>
        </w:numPr>
        <w:spacing w:after="200" w:line="300"/>
        <w:jc w:val="both"/>
      </w:pPr>
      <w:r>
        <w:rPr>
          <w:rFonts w:ascii="Calibri" w:cs="Calibri" w:eastAsia="Calibri" w:hAnsi="Calibri"/>
          <w:b/>
          <w:bCs/>
          <w:color w:val="2D2D2D"/>
          <w:sz w:val="22"/>
          <w:szCs w:val="22"/>
        </w:rPr>
        <w:t xml:space="preserve">Assenza di tracciabilità. </w:t>
      </w:r>
      <w:r>
        <w:rPr>
          <w:rFonts w:ascii="Calibri" w:cs="Calibri" w:eastAsia="Calibri" w:hAnsi="Calibri"/>
          <w:color w:val="2D2D2D"/>
          <w:sz w:val="22"/>
          <w:szCs w:val="22"/>
        </w:rPr>
        <w:t xml:space="preserve">Senza registrazioni persistenti di input, ragionamento intermedio e output, è impossibile riprodurre i risultati, condurre revisioni a posteriori o soddisfare i requisiti di governance.</w:t>
      </w:r>
    </w:p>
    <w:p>
      <w:pPr>
        <w:spacing w:after="140" w:line="300"/>
        <w:jc w:val="both"/>
      </w:pPr>
      <w:r>
        <w:rPr>
          <w:rFonts w:ascii="Calibri" w:cs="Calibri" w:eastAsia="Calibri" w:hAnsi="Calibri"/>
          <w:color w:val="2D2D2D"/>
          <w:sz w:val="22"/>
          <w:szCs w:val="22"/>
        </w:rPr>
        <w:t xml:space="preserve">La piattaforma affronta queste debolezze sistemiche attraverso un’architettura appositamente progettata che tratta il grounding sulle evidenze, la quantificazione dell’incertezza e la tracciabilità come requisiti progettuali di primo livello.</w:t>
      </w:r>
    </w:p>
    <w:p>
      <w:pPr>
        <w:spacing w:before="360" w:after="60"/>
      </w:pPr>
      <w:r>
        <w:rPr>
          <w:rFonts w:ascii="Calibri" w:cs="Calibri" w:eastAsia="Calibri" w:hAnsi="Calibri"/>
          <w:b/>
          <w:bCs/>
          <w:color w:val="1B3A5C"/>
          <w:sz w:val="26"/>
          <w:szCs w:val="26"/>
        </w:rPr>
        <w:t xml:space="preserve">3. PANORAMICA DELLA PIATTAFORMA E RISULTATI OPERATIVI</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La piattaforma offre un insieme completo di funzionalità organizzate attorno al principio che la verifica assistita dall’IA deve produrre output strutturati, supportati da evidenze e misurabili in termini di affidabilità. Gli operatori ottengono:</w:t>
      </w:r>
    </w:p>
    <w:p>
      <w:pPr>
        <w:pStyle w:val="ListParagraph"/>
        <w:numPr>
          <w:ilvl w:val="0"/>
          <w:numId w:val="2"/>
        </w:numPr>
        <w:spacing w:after="100" w:line="300"/>
        <w:jc w:val="both"/>
      </w:pPr>
      <w:r>
        <w:rPr>
          <w:rFonts w:ascii="Calibri" w:cs="Calibri" w:eastAsia="Calibri" w:hAnsi="Calibri"/>
          <w:b/>
          <w:bCs/>
          <w:color w:val="2D2D2D"/>
          <w:sz w:val="22"/>
          <w:szCs w:val="22"/>
        </w:rPr>
        <w:t xml:space="preserve">Risposte strutturate per domanda e categoria, </w:t>
      </w:r>
      <w:r>
        <w:rPr>
          <w:rFonts w:ascii="Calibri" w:cs="Calibri" w:eastAsia="Calibri" w:hAnsi="Calibri"/>
          <w:color w:val="2D2D2D"/>
          <w:sz w:val="22"/>
          <w:szCs w:val="22"/>
        </w:rPr>
        <w:t xml:space="preserve">fornite in formati JSON-friendly che si integrano facilmente con sistemi downstream e pipeline di reportistica.</w:t>
      </w:r>
    </w:p>
    <w:p>
      <w:pPr>
        <w:pStyle w:val="ListParagraph"/>
        <w:numPr>
          <w:ilvl w:val="0"/>
          <w:numId w:val="2"/>
        </w:numPr>
        <w:spacing w:after="100" w:line="300"/>
        <w:jc w:val="both"/>
      </w:pPr>
      <w:r>
        <w:rPr>
          <w:rFonts w:ascii="Calibri" w:cs="Calibri" w:eastAsia="Calibri" w:hAnsi="Calibri"/>
          <w:b/>
          <w:bCs/>
          <w:color w:val="2D2D2D"/>
          <w:sz w:val="22"/>
          <w:szCs w:val="22"/>
        </w:rPr>
        <w:t xml:space="preserve">Ragionamento basato su evidenze, </w:t>
      </w:r>
      <w:r>
        <w:rPr>
          <w:rFonts w:ascii="Calibri" w:cs="Calibri" w:eastAsia="Calibri" w:hAnsi="Calibri"/>
          <w:color w:val="2D2D2D"/>
          <w:sz w:val="22"/>
          <w:szCs w:val="22"/>
        </w:rPr>
        <w:t xml:space="preserve">in cui ogni affermazione è ancorata a specifici frammenti recuperati dalla base di conoscenza, consentendo la verifica trasparente della base analitica.</w:t>
      </w:r>
    </w:p>
    <w:p>
      <w:pPr>
        <w:pStyle w:val="ListParagraph"/>
        <w:numPr>
          <w:ilvl w:val="0"/>
          <w:numId w:val="2"/>
        </w:numPr>
        <w:spacing w:after="100" w:line="300"/>
        <w:jc w:val="both"/>
      </w:pPr>
      <w:r>
        <w:rPr>
          <w:rFonts w:ascii="Calibri" w:cs="Calibri" w:eastAsia="Calibri" w:hAnsi="Calibri"/>
          <w:b/>
          <w:bCs/>
          <w:color w:val="2D2D2D"/>
          <w:sz w:val="22"/>
          <w:szCs w:val="22"/>
        </w:rPr>
        <w:t xml:space="preserve">Segnalazioni di rischio e incoerenze </w:t>
      </w:r>
      <w:r>
        <w:rPr>
          <w:rFonts w:ascii="Calibri" w:cs="Calibri" w:eastAsia="Calibri" w:hAnsi="Calibri"/>
          <w:color w:val="2D2D2D"/>
          <w:sz w:val="22"/>
          <w:szCs w:val="22"/>
        </w:rPr>
        <w:t xml:space="preserve">evidenziate automaticamente per la revisione umana, riducendo il carico cognitivo sugli operatori e migliorando il rilevamento di anomalie.</w:t>
      </w:r>
    </w:p>
    <w:p>
      <w:pPr>
        <w:pStyle w:val="ListParagraph"/>
        <w:numPr>
          <w:ilvl w:val="0"/>
          <w:numId w:val="2"/>
        </w:numPr>
        <w:spacing w:after="100" w:line="300"/>
        <w:jc w:val="both"/>
      </w:pPr>
      <w:r>
        <w:rPr>
          <w:rFonts w:ascii="Calibri" w:cs="Calibri" w:eastAsia="Calibri" w:hAnsi="Calibri"/>
          <w:b/>
          <w:bCs/>
          <w:color w:val="2D2D2D"/>
          <w:sz w:val="22"/>
          <w:szCs w:val="22"/>
        </w:rPr>
        <w:t xml:space="preserve">Metriche di affidabilità </w:t>
      </w:r>
      <w:r>
        <w:rPr>
          <w:rFonts w:ascii="Calibri" w:cs="Calibri" w:eastAsia="Calibri" w:hAnsi="Calibri"/>
          <w:color w:val="2D2D2D"/>
          <w:sz w:val="22"/>
          <w:szCs w:val="22"/>
        </w:rPr>
        <w:t xml:space="preserve">che quantificano la solidità delle evidenze e il grado di grounding delle risposte, fornendo segnali di confidenza operativi per i decisori.</w:t>
      </w:r>
    </w:p>
    <w:p>
      <w:pPr>
        <w:pStyle w:val="ListParagraph"/>
        <w:numPr>
          <w:ilvl w:val="0"/>
          <w:numId w:val="2"/>
        </w:numPr>
        <w:spacing w:after="200" w:line="300"/>
        <w:jc w:val="both"/>
      </w:pPr>
      <w:r>
        <w:rPr>
          <w:rFonts w:ascii="Calibri" w:cs="Calibri" w:eastAsia="Calibri" w:hAnsi="Calibri"/>
          <w:b/>
          <w:bCs/>
          <w:color w:val="2D2D2D"/>
          <w:sz w:val="22"/>
          <w:szCs w:val="22"/>
        </w:rPr>
        <w:t xml:space="preserve">Export audit-ready, </w:t>
      </w:r>
      <w:r>
        <w:rPr>
          <w:rFonts w:ascii="Calibri" w:cs="Calibri" w:eastAsia="Calibri" w:hAnsi="Calibri"/>
          <w:color w:val="2D2D2D"/>
          <w:sz w:val="22"/>
          <w:szCs w:val="22"/>
        </w:rPr>
        <w:t xml:space="preserve">inclusi report PDF e formati office opzionali, con persistenza completa delle metriche di esecuzione per flussi di lavoro di governance e conformità.</w:t>
      </w:r>
    </w:p>
    <w:p>
      <w:r>
        <w:br w:type="page"/>
      </w:r>
    </w:p>
    <w:p>
      <w:pPr>
        <w:spacing w:before="360" w:after="60"/>
      </w:pPr>
      <w:r>
        <w:rPr>
          <w:rFonts w:ascii="Calibri" w:cs="Calibri" w:eastAsia="Calibri" w:hAnsi="Calibri"/>
          <w:b/>
          <w:bCs/>
          <w:color w:val="1B3A5C"/>
          <w:sz w:val="26"/>
          <w:szCs w:val="26"/>
        </w:rPr>
        <w:t xml:space="preserve">4. INNOVAZIONE E ELEMENTI DIFFERENZIANTI</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La piattaforma si distingue dagli strumenti convenzionali di analisi IA attraverso quattro innovazioni chiave che rappresentano un cambio di paradigma dall’IA conversazionale all’infrastruttura di intelligence verificabile.</w:t>
      </w:r>
    </w:p>
    <w:p>
      <w:pPr>
        <w:spacing w:before="240" w:after="100"/>
      </w:pPr>
      <w:r>
        <w:rPr>
          <w:rFonts w:ascii="Calibri" w:cs="Calibri" w:eastAsia="Calibri" w:hAnsi="Calibri"/>
          <w:b/>
          <w:bCs/>
          <w:color w:val="2E75B6"/>
          <w:sz w:val="24"/>
          <w:szCs w:val="24"/>
        </w:rPr>
        <w:t xml:space="preserve">4.1 Orchestrazione Agentica vs. Prompting a Singolo Passaggio</w:t>
      </w:r>
    </w:p>
    <w:p>
      <w:pPr>
        <w:spacing w:after="140" w:line="300"/>
        <w:jc w:val="both"/>
      </w:pPr>
      <w:r>
        <w:rPr>
          <w:rFonts w:ascii="Calibri" w:cs="Calibri" w:eastAsia="Calibri" w:hAnsi="Calibri"/>
          <w:color w:val="2D2D2D"/>
          <w:sz w:val="22"/>
          <w:szCs w:val="22"/>
        </w:rPr>
        <w:t xml:space="preserve">Anziché basarsi su cicli monolitici prompt-risposta, la piattaforma impiega una pipeline di agenti specializzati, ciascuno con una responsabilità precisa e ben definita. Questo approccio modulare rispecchia il flusso di lavoro degli analisti esperti: un componente struttura il compito, un altro recupera le evidenze, un terzo produce risposte fondate, un quarto valuta l’affidabilità, e un ultimo agente genera il report finale. Il risultato è un sistema più prevedibile, testabile e verificabile rispetto alle invocazioni LLM a singolo passaggio.</w:t>
      </w:r>
    </w:p>
    <w:p>
      <w:pPr>
        <w:spacing w:before="240" w:after="100"/>
      </w:pPr>
      <w:r>
        <w:rPr>
          <w:rFonts w:ascii="Calibri" w:cs="Calibri" w:eastAsia="Calibri" w:hAnsi="Calibri"/>
          <w:b/>
          <w:bCs/>
          <w:color w:val="2E75B6"/>
          <w:sz w:val="24"/>
          <w:szCs w:val="24"/>
        </w:rPr>
        <w:t xml:space="preserve">4.2 Segnali di Ricerca della Verità come Elementi di Primo Livello</w:t>
      </w:r>
    </w:p>
    <w:p>
      <w:pPr>
        <w:spacing w:after="140" w:line="300"/>
        <w:jc w:val="both"/>
      </w:pPr>
      <w:r>
        <w:rPr>
          <w:rFonts w:ascii="Calibri" w:cs="Calibri" w:eastAsia="Calibri" w:hAnsi="Calibri"/>
          <w:color w:val="2D2D2D"/>
          <w:sz w:val="22"/>
          <w:szCs w:val="22"/>
        </w:rPr>
        <w:t xml:space="preserve">La piattaforma non pretende di garantire la verità. Fornisce invece segnali misurabili e quantitativi che permettono agli operatori umani di formulare giudizi informati. Questi segnali rispondono a domande operative critiche: le evidenze sono sufficientemente solide? La risposta generata è adeguatamente radicata nel contesto recuperato? È necessario richiedere informazioni supplementari? Questa filosofia progettuale posiziona la piattaforma come strumento di supporto decisionale piuttosto che come oracolo opaco.</w:t>
      </w:r>
    </w:p>
    <w:p>
      <w:pPr>
        <w:spacing w:before="240" w:after="100"/>
      </w:pPr>
      <w:r>
        <w:rPr>
          <w:rFonts w:ascii="Calibri" w:cs="Calibri" w:eastAsia="Calibri" w:hAnsi="Calibri"/>
          <w:b/>
          <w:bCs/>
          <w:color w:val="2E75B6"/>
          <w:sz w:val="24"/>
          <w:szCs w:val="24"/>
        </w:rPr>
        <w:t xml:space="preserve">4.3 Tracciabilità by Design</w:t>
      </w:r>
    </w:p>
    <w:p>
      <w:pPr>
        <w:spacing w:after="140" w:line="300"/>
        <w:jc w:val="both"/>
      </w:pPr>
      <w:r>
        <w:rPr>
          <w:rFonts w:ascii="Calibri" w:cs="Calibri" w:eastAsia="Calibri" w:hAnsi="Calibri"/>
          <w:color w:val="2D2D2D"/>
          <w:sz w:val="22"/>
          <w:szCs w:val="22"/>
        </w:rPr>
        <w:t xml:space="preserve">Ogni input, output, passaggio intermedio di ragionamento e metrica di qualità viene persistito nel sistema. Questa traccia di audit completa garantisce che qualsiasi risultato possa essere riesaminato a posteriori, riprodotto per la validazione e presentato in formati conformi alla governance. Per i settori regolamentati e le istituzioni pubbliche, questa caratteristica non è una funzionalità aggiuntiva — è un requisito.</w:t>
      </w:r>
    </w:p>
    <w:p>
      <w:pPr>
        <w:spacing w:before="240" w:after="100"/>
      </w:pPr>
      <w:r>
        <w:rPr>
          <w:rFonts w:ascii="Calibri" w:cs="Calibri" w:eastAsia="Calibri" w:hAnsi="Calibri"/>
          <w:b/>
          <w:bCs/>
          <w:color w:val="2E75B6"/>
          <w:sz w:val="24"/>
          <w:szCs w:val="24"/>
        </w:rPr>
        <w:t xml:space="preserve">4.4 Flessibilità di Deployment con Supporto LLM Local-First</w:t>
      </w:r>
    </w:p>
    <w:p>
      <w:pPr>
        <w:spacing w:after="140" w:line="300"/>
        <w:jc w:val="both"/>
      </w:pPr>
      <w:r>
        <w:rPr>
          <w:rFonts w:ascii="Calibri" w:cs="Calibri" w:eastAsia="Calibri" w:hAnsi="Calibri"/>
          <w:color w:val="2D2D2D"/>
          <w:sz w:val="22"/>
          <w:szCs w:val="22"/>
        </w:rPr>
        <w:t xml:space="preserve">La piattaforma supporta l’inferenza locale tramite strumenti come Ollama, consentendo alle organizzazioni di mantenere il pieno controllo sulla privacy dei dati e sui costi operativi. Il livello LLM è progettato come componente pluggable, compatibile con qualsiasi backend OpenAI-compatible, permettendo configurazioni di deployment che spaziano dall’on-premise completo ad architetture cloud-ibride in base ai requisiti istituzionali.</w:t>
      </w:r>
    </w:p>
    <w:p>
      <w:pPr>
        <w:spacing w:before="360" w:after="60"/>
      </w:pPr>
      <w:r>
        <w:rPr>
          <w:rFonts w:ascii="Calibri" w:cs="Calibri" w:eastAsia="Calibri" w:hAnsi="Calibri"/>
          <w:b/>
          <w:bCs/>
          <w:color w:val="1B3A5C"/>
          <w:sz w:val="26"/>
          <w:szCs w:val="26"/>
        </w:rPr>
        <w:t xml:space="preserve">5. ARCHITETTURA AGENTICA</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Il nucleo operativo della piattaforma è costituito da una pipeline coordinata di agenti specializzati. Ogni agente funziona come un modulo con responsabilità chiaramente delimitate, consentendo test, validazione e miglioramento indipendenti. La tabella seguente sintetizza i ruoli degli agenti e le rispettive funzioni.</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Agente</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Scopo e Responsabilità</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Calibri" w:cs="Calibri" w:eastAsia="Calibri" w:hAnsi="Calibri"/>
                <w:b/>
                <w:bCs/>
                <w:color w:val="1B3A5C"/>
                <w:sz w:val="20"/>
                <w:szCs w:val="20"/>
              </w:rPr>
              <w:t xml:space="preserve">Intake / Strutturazione</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Normalizza gli input (documenti, questionari, metadati) in un pacchetto-caso pulito e coerente, pronto per l’elaborazione a valle.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bCs/>
                <w:color w:val="1B3A5C"/>
                <w:sz w:val="20"/>
                <w:szCs w:val="20"/>
              </w:rPr>
              <w:t xml:space="preserve">Categoria / Policy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Converte domande generiche in task di verifica specifici per categoria, applicando logiche di compliance, criteri di evidenza attesi e requisiti di output strutturato.</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Calibri" w:cs="Calibri" w:eastAsia="Calibri" w:hAnsi="Calibri"/>
                <w:b/>
                <w:bCs/>
                <w:color w:val="1B3A5C"/>
                <w:sz w:val="20"/>
                <w:szCs w:val="20"/>
              </w:rPr>
              <w:t xml:space="preserve">Recupero Evidenze (RAG)</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Interroga l’indice vettoriale semantico per recuperare i frammenti più rilevanti con metadati, focalizzando il ragionamento su ciò che può essere empiricamente supportato.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bCs/>
                <w:color w:val="1B3A5C"/>
                <w:sz w:val="20"/>
                <w:szCs w:val="20"/>
              </w:rPr>
              <w:t xml:space="preserve">Ragionamento / Fact-Checking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Produce valutazioni strutturate ed evidence-grounded in formato JSON-friendly, evitando allucinazioni quando le evidenze sono insufficienti.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Calibri" w:cs="Calibri" w:eastAsia="Calibri" w:hAnsi="Calibri"/>
                <w:b/>
                <w:bCs/>
                <w:color w:val="1B3A5C"/>
                <w:sz w:val="20"/>
                <w:szCs w:val="20"/>
              </w:rPr>
              <w:t xml:space="preserve">Qualità e Coerenza</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Calcola indicatori di solidità del retrieval, stima i punteggi di groundedness, rileva segnali di drift e incoerenza, e produce cue di confidenza con trigger di escalation.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bCs/>
                <w:color w:val="1B3A5C"/>
                <w:sz w:val="20"/>
                <w:szCs w:val="20"/>
              </w:rPr>
              <w:t xml:space="preserve">Follow-up / Escalation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Genera domande di follow-up mirate quando le evidenze sono deboli o contraddittorie, riducendo la falsa certezza e migliorando l’efficienza del workflow.</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Calibri" w:cs="Calibri" w:eastAsia="Calibri" w:hAnsi="Calibri"/>
                <w:b/>
                <w:bCs/>
                <w:color w:val="1B3A5C"/>
                <w:sz w:val="20"/>
                <w:szCs w:val="20"/>
              </w:rPr>
              <w:t xml:space="preserve">Reporting / Audit</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Produce sintesi per categoria, narrative report-ready con metriche, export PDF e tracce di audit persistenti per la conformità alla governance.</w:t>
            </w:r>
          </w:p>
        </w:tc>
      </w:tr>
    </w:tbl>
    <w:p>
      <w:pPr>
        <w:spacing w:after="160"/>
      </w:pPr>
    </w:p>
    <w:p>
      <w:pPr>
        <w:spacing w:after="140" w:line="300"/>
        <w:jc w:val="both"/>
      </w:pPr>
      <w:r>
        <w:rPr>
          <w:rFonts w:ascii="Calibri" w:cs="Calibri" w:eastAsia="Calibri" w:hAnsi="Calibri"/>
          <w:color w:val="2D2D2D"/>
          <w:sz w:val="22"/>
          <w:szCs w:val="22"/>
        </w:rPr>
        <w:t xml:space="preserve">L’innovazione critica non risiede nel singolo agente, ma nell’orchestrazione della pipeline nel suo complesso. Il sistema si comporta come un workflow di verifica strutturato piuttosto che come un chatbot conversazionale, garantendo che ogni fase aggiunga valore misurabile all’output finale.</w:t>
      </w:r>
    </w:p>
    <w:p>
      <w:r>
        <w:br w:type="page"/>
      </w:r>
    </w:p>
    <w:p>
      <w:pPr>
        <w:spacing w:before="360" w:after="60"/>
      </w:pPr>
      <w:r>
        <w:rPr>
          <w:rFonts w:ascii="Calibri" w:cs="Calibri" w:eastAsia="Calibri" w:hAnsi="Calibri"/>
          <w:b/>
          <w:bCs/>
          <w:color w:val="1B3A5C"/>
          <w:sz w:val="26"/>
          <w:szCs w:val="26"/>
        </w:rPr>
        <w:t xml:space="preserve">6. PROCESSO DI FACT-CHECKING</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La pipeline di verifica segue un processo strutturato in sette fasi, progettato per massimizzare l’utilizzo delle evidenze, minimizzare le allucinazioni e produrre output azionabili.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2E75B6" w:val="clear"/>
            <w:tcMar>
              <w:top w:type="dxa" w:w="100"/>
              <w:left w:type="dxa" w:w="80"/>
              <w:bottom w:type="dxa" w:w="100"/>
              <w:right w:type="dxa" w:w="80"/>
            </w:tcMar>
            <w:vAlign w:val="center"/>
          </w:tcPr>
          <w:p>
            <w:pPr>
              <w:spacing w:after="0"/>
              <w:jc w:val="center"/>
            </w:pPr>
            <w:r>
              <w:rPr>
                <w:rFonts w:ascii="Calibri" w:cs="Calibri" w:eastAsia="Calibri" w:hAnsi="Calibri"/>
                <w:b/>
                <w:bCs/>
                <w:color w:val="FFFFFF"/>
                <w:sz w:val="24"/>
                <w:szCs w:val="24"/>
              </w:rPr>
              <w:t xml:space="preserve">1</w:t>
            </w:r>
          </w:p>
        </w:tc>
        <w:tc>
          <w:tcPr>
            <w:tcW w:type="dxa" w:w="8760"/>
            <w:tcBorders>
              <w:top w:val="none" w:sz="0"/>
              <w:left w:val="none" w:sz="0"/>
              <w:bottom w:val="none" w:sz="0"/>
              <w:right w:val="none" w:sz="0"/>
            </w:tcBorders>
            <w:shd w:fill="F2F2F2" w:val="clear"/>
            <w:tcMar>
              <w:top w:type="dxa" w:w="100"/>
              <w:left w:type="dxa" w:w="200"/>
              <w:bottom w:type="dxa" w:w="100"/>
              <w:right w:type="dxa" w:w="140"/>
            </w:tcMar>
          </w:tcPr>
          <w:p>
            <w:pPr>
              <w:spacing w:after="40"/>
            </w:pPr>
            <w:r>
              <w:rPr>
                <w:rFonts w:ascii="Calibri" w:cs="Calibri" w:eastAsia="Calibri" w:hAnsi="Calibri"/>
                <w:b/>
                <w:bCs/>
                <w:color w:val="1B3A5C"/>
                <w:sz w:val="21"/>
                <w:szCs w:val="21"/>
              </w:rPr>
              <w:t xml:space="preserve">Fase 1 — Ingestione e Indicizzazione</w:t>
            </w:r>
          </w:p>
          <w:p>
            <w:pPr>
              <w:spacing w:after="0" w:line="280"/>
            </w:pPr>
            <w:r>
              <w:rPr>
                <w:rFonts w:ascii="Calibri" w:cs="Calibri" w:eastAsia="Calibri" w:hAnsi="Calibri"/>
                <w:color w:val="2D2D2D"/>
                <w:sz w:val="20"/>
                <w:szCs w:val="20"/>
              </w:rPr>
              <w:t xml:space="preserve">I materiali del caso (documenti, questionari, trascrizioni) vengono ingeriti e indicizzati in uno store semantico ottimizzato per il recupero ad alta precisione.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2E75B6" w:val="clear"/>
            <w:tcMar>
              <w:top w:type="dxa" w:w="100"/>
              <w:left w:type="dxa" w:w="80"/>
              <w:bottom w:type="dxa" w:w="100"/>
              <w:right w:type="dxa" w:w="80"/>
            </w:tcMar>
            <w:vAlign w:val="center"/>
          </w:tcPr>
          <w:p>
            <w:pPr>
              <w:spacing w:after="0"/>
              <w:jc w:val="center"/>
            </w:pPr>
            <w:r>
              <w:rPr>
                <w:rFonts w:ascii="Calibri" w:cs="Calibri" w:eastAsia="Calibri" w:hAnsi="Calibri"/>
                <w:b/>
                <w:bCs/>
                <w:color w:val="FFFFFF"/>
                <w:sz w:val="24"/>
                <w:szCs w:val="24"/>
              </w:rPr>
              <w:t xml:space="preserve">2</w:t>
            </w:r>
          </w:p>
        </w:tc>
        <w:tc>
          <w:tcPr>
            <w:tcW w:type="dxa" w:w="8760"/>
            <w:tcBorders>
              <w:top w:val="none" w:sz="0"/>
              <w:left w:val="none" w:sz="0"/>
              <w:bottom w:val="none" w:sz="0"/>
              <w:right w:val="none" w:sz="0"/>
            </w:tcBorders>
            <w:shd w:fill="FFFFFF" w:val="clear"/>
            <w:tcMar>
              <w:top w:type="dxa" w:w="100"/>
              <w:left w:type="dxa" w:w="200"/>
              <w:bottom w:type="dxa" w:w="100"/>
              <w:right w:type="dxa" w:w="140"/>
            </w:tcMar>
          </w:tcPr>
          <w:p>
            <w:pPr>
              <w:spacing w:after="40"/>
            </w:pPr>
            <w:r>
              <w:rPr>
                <w:rFonts w:ascii="Calibri" w:cs="Calibri" w:eastAsia="Calibri" w:hAnsi="Calibri"/>
                <w:b/>
                <w:bCs/>
                <w:color w:val="1B3A5C"/>
                <w:sz w:val="21"/>
                <w:szCs w:val="21"/>
              </w:rPr>
              <w:t xml:space="preserve">Fase 2 — Modellazione del Task</w:t>
            </w:r>
          </w:p>
          <w:p>
            <w:pPr>
              <w:spacing w:after="0" w:line="280"/>
            </w:pPr>
            <w:r>
              <w:rPr>
                <w:rFonts w:ascii="Calibri" w:cs="Calibri" w:eastAsia="Calibri" w:hAnsi="Calibri"/>
                <w:color w:val="2D2D2D"/>
                <w:sz w:val="20"/>
                <w:szCs w:val="20"/>
              </w:rPr>
              <w:t xml:space="preserve">Le domande vengono trasformate in task di verifica specifici per categoria, definendo cosa costituisce una buona evidenza, cosa deve essere verificato e quale struttura di output è attesa.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2E75B6" w:val="clear"/>
            <w:tcMar>
              <w:top w:type="dxa" w:w="100"/>
              <w:left w:type="dxa" w:w="80"/>
              <w:bottom w:type="dxa" w:w="100"/>
              <w:right w:type="dxa" w:w="80"/>
            </w:tcMar>
            <w:vAlign w:val="center"/>
          </w:tcPr>
          <w:p>
            <w:pPr>
              <w:spacing w:after="0"/>
              <w:jc w:val="center"/>
            </w:pPr>
            <w:r>
              <w:rPr>
                <w:rFonts w:ascii="Calibri" w:cs="Calibri" w:eastAsia="Calibri" w:hAnsi="Calibri"/>
                <w:b/>
                <w:bCs/>
                <w:color w:val="FFFFFF"/>
                <w:sz w:val="24"/>
                <w:szCs w:val="24"/>
              </w:rPr>
              <w:t xml:space="preserve">3</w:t>
            </w:r>
          </w:p>
        </w:tc>
        <w:tc>
          <w:tcPr>
            <w:tcW w:type="dxa" w:w="8760"/>
            <w:tcBorders>
              <w:top w:val="none" w:sz="0"/>
              <w:left w:val="none" w:sz="0"/>
              <w:bottom w:val="none" w:sz="0"/>
              <w:right w:val="none" w:sz="0"/>
            </w:tcBorders>
            <w:shd w:fill="F2F2F2" w:val="clear"/>
            <w:tcMar>
              <w:top w:type="dxa" w:w="100"/>
              <w:left w:type="dxa" w:w="200"/>
              <w:bottom w:type="dxa" w:w="100"/>
              <w:right w:type="dxa" w:w="140"/>
            </w:tcMar>
          </w:tcPr>
          <w:p>
            <w:pPr>
              <w:spacing w:after="40"/>
            </w:pPr>
            <w:r>
              <w:rPr>
                <w:rFonts w:ascii="Calibri" w:cs="Calibri" w:eastAsia="Calibri" w:hAnsi="Calibri"/>
                <w:b/>
                <w:bCs/>
                <w:color w:val="1B3A5C"/>
                <w:sz w:val="21"/>
                <w:szCs w:val="21"/>
              </w:rPr>
              <w:t xml:space="preserve">Fase 3 — Recupero Evidence-First</w:t>
            </w:r>
          </w:p>
          <w:p>
            <w:pPr>
              <w:spacing w:after="0" w:line="280"/>
            </w:pPr>
            <w:r>
              <w:rPr>
                <w:rFonts w:ascii="Calibri" w:cs="Calibri" w:eastAsia="Calibri" w:hAnsi="Calibri"/>
                <w:color w:val="2D2D2D"/>
                <w:sz w:val="20"/>
                <w:szCs w:val="20"/>
              </w:rPr>
              <w:t xml:space="preserve">L’agente RAG recupera contesti rilevanti prima della generazione di qualsiasi risposta, assicurando che il ragionamento parta dalle evidenze empiriche e non dalla memoria parametrica.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2E75B6" w:val="clear"/>
            <w:tcMar>
              <w:top w:type="dxa" w:w="100"/>
              <w:left w:type="dxa" w:w="80"/>
              <w:bottom w:type="dxa" w:w="100"/>
              <w:right w:type="dxa" w:w="80"/>
            </w:tcMar>
            <w:vAlign w:val="center"/>
          </w:tcPr>
          <w:p>
            <w:pPr>
              <w:spacing w:after="0"/>
              <w:jc w:val="center"/>
            </w:pPr>
            <w:r>
              <w:rPr>
                <w:rFonts w:ascii="Calibri" w:cs="Calibri" w:eastAsia="Calibri" w:hAnsi="Calibri"/>
                <w:b/>
                <w:bCs/>
                <w:color w:val="FFFFFF"/>
                <w:sz w:val="24"/>
                <w:szCs w:val="24"/>
              </w:rPr>
              <w:t xml:space="preserve">4</w:t>
            </w:r>
          </w:p>
        </w:tc>
        <w:tc>
          <w:tcPr>
            <w:tcW w:type="dxa" w:w="8760"/>
            <w:tcBorders>
              <w:top w:val="none" w:sz="0"/>
              <w:left w:val="none" w:sz="0"/>
              <w:bottom w:val="none" w:sz="0"/>
              <w:right w:val="none" w:sz="0"/>
            </w:tcBorders>
            <w:shd w:fill="FFFFFF" w:val="clear"/>
            <w:tcMar>
              <w:top w:type="dxa" w:w="100"/>
              <w:left w:type="dxa" w:w="200"/>
              <w:bottom w:type="dxa" w:w="100"/>
              <w:right w:type="dxa" w:w="140"/>
            </w:tcMar>
          </w:tcPr>
          <w:p>
            <w:pPr>
              <w:spacing w:after="40"/>
            </w:pPr>
            <w:r>
              <w:rPr>
                <w:rFonts w:ascii="Calibri" w:cs="Calibri" w:eastAsia="Calibri" w:hAnsi="Calibri"/>
                <w:b/>
                <w:bCs/>
                <w:color w:val="1B3A5C"/>
                <w:sz w:val="21"/>
                <w:szCs w:val="21"/>
              </w:rPr>
              <w:t xml:space="preserve">Fase 4 — Generazione Risposte Fondate</w:t>
            </w:r>
          </w:p>
          <w:p>
            <w:pPr>
              <w:spacing w:after="0" w:line="280"/>
            </w:pPr>
            <w:r>
              <w:rPr>
                <w:rFonts w:ascii="Calibri" w:cs="Calibri" w:eastAsia="Calibri" w:hAnsi="Calibri"/>
                <w:color w:val="2D2D2D"/>
                <w:sz w:val="20"/>
                <w:szCs w:val="20"/>
              </w:rPr>
              <w:t xml:space="preserve">Le risposte vengono prodotte in forma strutturata, allineate ai requisiti di categoria ed esplicitamente ancorate al contesto evidenziale recuperato.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2E75B6" w:val="clear"/>
            <w:tcMar>
              <w:top w:type="dxa" w:w="100"/>
              <w:left w:type="dxa" w:w="80"/>
              <w:bottom w:type="dxa" w:w="100"/>
              <w:right w:type="dxa" w:w="80"/>
            </w:tcMar>
            <w:vAlign w:val="center"/>
          </w:tcPr>
          <w:p>
            <w:pPr>
              <w:spacing w:after="0"/>
              <w:jc w:val="center"/>
            </w:pPr>
            <w:r>
              <w:rPr>
                <w:rFonts w:ascii="Calibri" w:cs="Calibri" w:eastAsia="Calibri" w:hAnsi="Calibri"/>
                <w:b/>
                <w:bCs/>
                <w:color w:val="FFFFFF"/>
                <w:sz w:val="24"/>
                <w:szCs w:val="24"/>
              </w:rPr>
              <w:t xml:space="preserve">5</w:t>
            </w:r>
          </w:p>
        </w:tc>
        <w:tc>
          <w:tcPr>
            <w:tcW w:type="dxa" w:w="8760"/>
            <w:tcBorders>
              <w:top w:val="none" w:sz="0"/>
              <w:left w:val="none" w:sz="0"/>
              <w:bottom w:val="none" w:sz="0"/>
              <w:right w:val="none" w:sz="0"/>
            </w:tcBorders>
            <w:shd w:fill="F2F2F2" w:val="clear"/>
            <w:tcMar>
              <w:top w:type="dxa" w:w="100"/>
              <w:left w:type="dxa" w:w="200"/>
              <w:bottom w:type="dxa" w:w="100"/>
              <w:right w:type="dxa" w:w="140"/>
            </w:tcMar>
          </w:tcPr>
          <w:p>
            <w:pPr>
              <w:spacing w:after="40"/>
            </w:pPr>
            <w:r>
              <w:rPr>
                <w:rFonts w:ascii="Calibri" w:cs="Calibri" w:eastAsia="Calibri" w:hAnsi="Calibri"/>
                <w:b/>
                <w:bCs/>
                <w:color w:val="1B3A5C"/>
                <w:sz w:val="21"/>
                <w:szCs w:val="21"/>
              </w:rPr>
              <w:t xml:space="preserve">Fase 5 — Scoring di Affidabilità</w:t>
            </w:r>
          </w:p>
          <w:p>
            <w:pPr>
              <w:spacing w:after="0" w:line="280"/>
            </w:pPr>
            <w:r>
              <w:rPr>
                <w:rFonts w:ascii="Calibri" w:cs="Calibri" w:eastAsia="Calibri" w:hAnsi="Calibri"/>
                <w:color w:val="2D2D2D"/>
                <w:sz w:val="20"/>
                <w:szCs w:val="20"/>
              </w:rPr>
              <w:t xml:space="preserve">Il sistema calcola e allega segnali quantitativi: solidità delle evidenze (qualità del retrieval), groundedness (ancoraggio della risposta) e cue di coerenza (rilevamento divergenze narrative).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2E75B6" w:val="clear"/>
            <w:tcMar>
              <w:top w:type="dxa" w:w="100"/>
              <w:left w:type="dxa" w:w="80"/>
              <w:bottom w:type="dxa" w:w="100"/>
              <w:right w:type="dxa" w:w="80"/>
            </w:tcMar>
            <w:vAlign w:val="center"/>
          </w:tcPr>
          <w:p>
            <w:pPr>
              <w:spacing w:after="0"/>
              <w:jc w:val="center"/>
            </w:pPr>
            <w:r>
              <w:rPr>
                <w:rFonts w:ascii="Calibri" w:cs="Calibri" w:eastAsia="Calibri" w:hAnsi="Calibri"/>
                <w:b/>
                <w:bCs/>
                <w:color w:val="FFFFFF"/>
                <w:sz w:val="24"/>
                <w:szCs w:val="24"/>
              </w:rPr>
              <w:t xml:space="preserve">6</w:t>
            </w:r>
          </w:p>
        </w:tc>
        <w:tc>
          <w:tcPr>
            <w:tcW w:type="dxa" w:w="8760"/>
            <w:tcBorders>
              <w:top w:val="none" w:sz="0"/>
              <w:left w:val="none" w:sz="0"/>
              <w:bottom w:val="none" w:sz="0"/>
              <w:right w:val="none" w:sz="0"/>
            </w:tcBorders>
            <w:shd w:fill="FFFFFF" w:val="clear"/>
            <w:tcMar>
              <w:top w:type="dxa" w:w="100"/>
              <w:left w:type="dxa" w:w="200"/>
              <w:bottom w:type="dxa" w:w="100"/>
              <w:right w:type="dxa" w:w="140"/>
            </w:tcMar>
          </w:tcPr>
          <w:p>
            <w:pPr>
              <w:spacing w:after="40"/>
            </w:pPr>
            <w:r>
              <w:rPr>
                <w:rFonts w:ascii="Calibri" w:cs="Calibri" w:eastAsia="Calibri" w:hAnsi="Calibri"/>
                <w:b/>
                <w:bCs/>
                <w:color w:val="1B3A5C"/>
                <w:sz w:val="21"/>
                <w:szCs w:val="21"/>
              </w:rPr>
              <w:t xml:space="preserve">Fase 6 — Escalation e Follow-up</w:t>
            </w:r>
          </w:p>
          <w:p>
            <w:pPr>
              <w:spacing w:after="0" w:line="280"/>
            </w:pPr>
            <w:r>
              <w:rPr>
                <w:rFonts w:ascii="Calibri" w:cs="Calibri" w:eastAsia="Calibri" w:hAnsi="Calibri"/>
                <w:color w:val="2D2D2D"/>
                <w:sz w:val="20"/>
                <w:szCs w:val="20"/>
              </w:rPr>
              <w:t xml:space="preserve">Quando le evidenze sono deboli o contraddittorie, il sistema genera domande di follow-up mirate anziché produrre output con falsa certezza.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2E75B6" w:val="clear"/>
            <w:tcMar>
              <w:top w:type="dxa" w:w="100"/>
              <w:left w:type="dxa" w:w="80"/>
              <w:bottom w:type="dxa" w:w="100"/>
              <w:right w:type="dxa" w:w="80"/>
            </w:tcMar>
            <w:vAlign w:val="center"/>
          </w:tcPr>
          <w:p>
            <w:pPr>
              <w:spacing w:after="0"/>
              <w:jc w:val="center"/>
            </w:pPr>
            <w:r>
              <w:rPr>
                <w:rFonts w:ascii="Calibri" w:cs="Calibri" w:eastAsia="Calibri" w:hAnsi="Calibri"/>
                <w:b/>
                <w:bCs/>
                <w:color w:val="FFFFFF"/>
                <w:sz w:val="24"/>
                <w:szCs w:val="24"/>
              </w:rPr>
              <w:t xml:space="preserve">7</w:t>
            </w:r>
          </w:p>
        </w:tc>
        <w:tc>
          <w:tcPr>
            <w:tcW w:type="dxa" w:w="8760"/>
            <w:tcBorders>
              <w:top w:val="none" w:sz="0"/>
              <w:left w:val="none" w:sz="0"/>
              <w:bottom w:val="none" w:sz="0"/>
              <w:right w:val="none" w:sz="0"/>
            </w:tcBorders>
            <w:shd w:fill="F2F2F2" w:val="clear"/>
            <w:tcMar>
              <w:top w:type="dxa" w:w="100"/>
              <w:left w:type="dxa" w:w="200"/>
              <w:bottom w:type="dxa" w:w="100"/>
              <w:right w:type="dxa" w:w="140"/>
            </w:tcMar>
          </w:tcPr>
          <w:p>
            <w:pPr>
              <w:spacing w:after="40"/>
            </w:pPr>
            <w:r>
              <w:rPr>
                <w:rFonts w:ascii="Calibri" w:cs="Calibri" w:eastAsia="Calibri" w:hAnsi="Calibri"/>
                <w:b/>
                <w:bCs/>
                <w:color w:val="1B3A5C"/>
                <w:sz w:val="21"/>
                <w:szCs w:val="21"/>
              </w:rPr>
              <w:t xml:space="preserve">Fase 7 — Audit ed Export</w:t>
            </w:r>
          </w:p>
          <w:p>
            <w:pPr>
              <w:spacing w:after="0" w:line="280"/>
            </w:pPr>
            <w:r>
              <w:rPr>
                <w:rFonts w:ascii="Calibri" w:cs="Calibri" w:eastAsia="Calibri" w:hAnsi="Calibri"/>
                <w:color w:val="2D2D2D"/>
                <w:sz w:val="20"/>
                <w:szCs w:val="20"/>
              </w:rPr>
              <w:t xml:space="preserve">Tutti gli output, le metriche e le tracce di elaborazione vengono persistiti. Viene generato un report PDF completo per la condivisione, la revisione e i flussi di conformità.</w:t>
            </w:r>
          </w:p>
        </w:tc>
      </w:tr>
    </w:tbl>
    <w:p>
      <w:pPr>
        <w:spacing w:after="200"/>
      </w:pPr>
    </w:p>
    <w:p>
      <w:pPr>
        <w:spacing w:before="360" w:after="60"/>
      </w:pPr>
      <w:r>
        <w:rPr>
          <w:rFonts w:ascii="Calibri" w:cs="Calibri" w:eastAsia="Calibri" w:hAnsi="Calibri"/>
          <w:b/>
          <w:bCs/>
          <w:color w:val="1B3A5C"/>
          <w:sz w:val="26"/>
          <w:szCs w:val="26"/>
        </w:rPr>
        <w:t xml:space="preserve">7. POSIZIONAMENTO COMPETITIVO</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La piattaforma occupa una posizione distinta nel panorama della verifica basata sull’IA, colmando i gap operativi lasciati irrisolti dalle soluzioni esistenti.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19"/>
                <w:szCs w:val="19"/>
              </w:rPr>
              <w:t xml:space="preserve">Capacità</w:t>
            </w:r>
          </w:p>
        </w:tc>
        <w:tc>
          <w:tcPr>
            <w:tcW w:type="dxa" w:w="33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19"/>
                <w:szCs w:val="19"/>
              </w:rPr>
              <w:t xml:space="preserve">Strumenti IA Tradizionali</w:t>
            </w:r>
          </w:p>
        </w:tc>
        <w:tc>
          <w:tcPr>
            <w:tcW w:type="dxa" w:w="33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19"/>
                <w:szCs w:val="19"/>
              </w:rPr>
              <w:t xml:space="preserve">La Nostra Piattaforma</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alibri" w:cs="Calibri" w:eastAsia="Calibri" w:hAnsi="Calibri"/>
                <w:b/>
                <w:bCs/>
                <w:color w:val="2D2D2D"/>
                <w:sz w:val="19"/>
                <w:szCs w:val="19"/>
              </w:rPr>
              <w:t xml:space="preserve">Grounding Evidenziale</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alibri" w:cs="Calibri" w:eastAsia="Calibri" w:hAnsi="Calibri"/>
                <w:color w:val="666666"/>
                <w:sz w:val="19"/>
                <w:szCs w:val="19"/>
              </w:rPr>
              <w:t xml:space="preserve">Implicito / opaco</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alibri" w:cs="Calibri" w:eastAsia="Calibri" w:hAnsi="Calibri"/>
                <w:b/>
                <w:bCs/>
                <w:color w:val="2E75B6"/>
                <w:sz w:val="19"/>
                <w:szCs w:val="19"/>
              </w:rPr>
              <w:t xml:space="preserve">Esplicito con snippet recuperati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2D2D2D"/>
                <w:sz w:val="19"/>
                <w:szCs w:val="19"/>
              </w:rPr>
              <w:t xml:space="preserve">Segnali di Incertezza</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color w:val="666666"/>
                <w:sz w:val="19"/>
                <w:szCs w:val="19"/>
              </w:rPr>
              <w:t xml:space="preserve">Non forniti</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2E75B6"/>
                <w:sz w:val="19"/>
                <w:szCs w:val="19"/>
              </w:rPr>
              <w:t xml:space="preserve">Metriche di affidabilità quantitative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alibri" w:cs="Calibri" w:eastAsia="Calibri" w:hAnsi="Calibri"/>
                <w:b/>
                <w:bCs/>
                <w:color w:val="2D2D2D"/>
                <w:sz w:val="19"/>
                <w:szCs w:val="19"/>
              </w:rPr>
              <w:t xml:space="preserve">Traccia di Audit</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alibri" w:cs="Calibri" w:eastAsia="Calibri" w:hAnsi="Calibri"/>
                <w:color w:val="666666"/>
                <w:sz w:val="19"/>
                <w:szCs w:val="19"/>
              </w:rPr>
              <w:t xml:space="preserve">Minima o assente</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alibri" w:cs="Calibri" w:eastAsia="Calibri" w:hAnsi="Calibri"/>
                <w:b/>
                <w:bCs/>
                <w:color w:val="2E75B6"/>
                <w:sz w:val="19"/>
                <w:szCs w:val="19"/>
              </w:rPr>
              <w:t xml:space="preserve">Persistenza completa by design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2D2D2D"/>
                <w:sz w:val="19"/>
                <w:szCs w:val="19"/>
              </w:rPr>
              <w:t xml:space="preserve">Architettura</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color w:val="666666"/>
                <w:sz w:val="19"/>
                <w:szCs w:val="19"/>
              </w:rPr>
              <w:t xml:space="preserve">Prompting a singolo passaggio</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2E75B6"/>
                <w:sz w:val="19"/>
                <w:szCs w:val="19"/>
              </w:rPr>
              <w:t xml:space="preserve">Orchestrazione multi-agente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alibri" w:cs="Calibri" w:eastAsia="Calibri" w:hAnsi="Calibri"/>
                <w:b/>
                <w:bCs/>
                <w:color w:val="2D2D2D"/>
                <w:sz w:val="19"/>
                <w:szCs w:val="19"/>
              </w:rPr>
              <w:t xml:space="preserve">Logica di Escalation</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alibri" w:cs="Calibri" w:eastAsia="Calibri" w:hAnsi="Calibri"/>
                <w:color w:val="666666"/>
                <w:sz w:val="19"/>
                <w:szCs w:val="19"/>
              </w:rPr>
              <w:t xml:space="preserve">Nessuna</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pPr>
            <w:r>
              <w:rPr>
                <w:rFonts w:ascii="Calibri" w:cs="Calibri" w:eastAsia="Calibri" w:hAnsi="Calibri"/>
                <w:b/>
                <w:bCs/>
                <w:color w:val="2E75B6"/>
                <w:sz w:val="19"/>
                <w:szCs w:val="19"/>
              </w:rPr>
              <w:t xml:space="preserve">Generazione automatica di follow-up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2D2D2D"/>
                <w:sz w:val="19"/>
                <w:szCs w:val="19"/>
              </w:rPr>
              <w:t xml:space="preserve">Opzioni di Deployment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color w:val="666666"/>
                <w:sz w:val="19"/>
                <w:szCs w:val="19"/>
              </w:rPr>
              <w:t xml:space="preserve">Solo cloud (tipico)</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2E75B6"/>
                <w:sz w:val="19"/>
                <w:szCs w:val="19"/>
              </w:rPr>
              <w:t xml:space="preserve">Local-first + backend pluggabili</w:t>
            </w:r>
          </w:p>
        </w:tc>
      </w:tr>
    </w:tbl>
    <w:p>
      <w:pPr>
        <w:spacing w:after="200"/>
      </w:pPr>
    </w:p>
    <w:p>
      <w:pPr>
        <w:spacing w:before="360" w:after="60"/>
      </w:pPr>
      <w:r>
        <w:rPr>
          <w:rFonts w:ascii="Calibri" w:cs="Calibri" w:eastAsia="Calibri" w:hAnsi="Calibri"/>
          <w:b/>
          <w:bCs/>
          <w:color w:val="1B3A5C"/>
          <w:sz w:val="26"/>
          <w:szCs w:val="26"/>
        </w:rPr>
        <w:t xml:space="preserve">8. AMBITI APPLICATIVI</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La piattaforma è progettata per il deployment in settori dove la verifica assistita dall’IA deve soddisfare standard rigorosi di affidabilità e accountability. I principali domini target includono:</w:t>
      </w:r>
    </w:p>
    <w:p>
      <w:pPr>
        <w:pStyle w:val="ListParagraph"/>
        <w:numPr>
          <w:ilvl w:val="0"/>
          <w:numId w:val="2"/>
        </w:numPr>
        <w:spacing w:after="100" w:line="300"/>
        <w:jc w:val="both"/>
      </w:pPr>
      <w:r>
        <w:rPr>
          <w:rFonts w:ascii="Calibri" w:cs="Calibri" w:eastAsia="Calibri" w:hAnsi="Calibri"/>
          <w:b/>
          <w:bCs/>
          <w:color w:val="2D2D2D"/>
          <w:sz w:val="22"/>
          <w:szCs w:val="22"/>
        </w:rPr>
        <w:t xml:space="preserve">Verifica di conformità e regolamentare: </w:t>
      </w:r>
      <w:r>
        <w:rPr>
          <w:rFonts w:ascii="Calibri" w:cs="Calibri" w:eastAsia="Calibri" w:hAnsi="Calibri"/>
          <w:color w:val="2D2D2D"/>
          <w:sz w:val="22"/>
          <w:szCs w:val="22"/>
        </w:rPr>
        <w:t xml:space="preserve">valutazione automatizzata dell’aderenza normativa con documentazione audit-ready.</w:t>
      </w:r>
    </w:p>
    <w:p>
      <w:pPr>
        <w:pStyle w:val="ListParagraph"/>
        <w:numPr>
          <w:ilvl w:val="0"/>
          <w:numId w:val="2"/>
        </w:numPr>
        <w:spacing w:after="100" w:line="300"/>
        <w:jc w:val="both"/>
      </w:pPr>
      <w:r>
        <w:rPr>
          <w:rFonts w:ascii="Calibri" w:cs="Calibri" w:eastAsia="Calibri" w:hAnsi="Calibri"/>
          <w:b/>
          <w:bCs/>
          <w:color w:val="2D2D2D"/>
          <w:sz w:val="22"/>
          <w:szCs w:val="22"/>
        </w:rPr>
        <w:t xml:space="preserve">Analisi giuridica e istituzionale: </w:t>
      </w:r>
      <w:r>
        <w:rPr>
          <w:rFonts w:ascii="Calibri" w:cs="Calibri" w:eastAsia="Calibri" w:hAnsi="Calibri"/>
          <w:color w:val="2D2D2D"/>
          <w:sz w:val="22"/>
          <w:szCs w:val="22"/>
        </w:rPr>
        <w:t xml:space="preserve">revisione di casi basata su evidenze per team legali, pubblica amministrazione e risoluzione delle controversie.</w:t>
      </w:r>
    </w:p>
    <w:p>
      <w:pPr>
        <w:pStyle w:val="ListParagraph"/>
        <w:numPr>
          <w:ilvl w:val="0"/>
          <w:numId w:val="2"/>
        </w:numPr>
        <w:spacing w:after="100" w:line="300"/>
        <w:jc w:val="both"/>
      </w:pPr>
      <w:r>
        <w:rPr>
          <w:rFonts w:ascii="Calibri" w:cs="Calibri" w:eastAsia="Calibri" w:hAnsi="Calibri"/>
          <w:b/>
          <w:bCs/>
          <w:color w:val="2D2D2D"/>
          <w:sz w:val="22"/>
          <w:szCs w:val="22"/>
        </w:rPr>
        <w:t xml:space="preserve">Valutazione del rischio finanziario: </w:t>
      </w:r>
      <w:r>
        <w:rPr>
          <w:rFonts w:ascii="Calibri" w:cs="Calibri" w:eastAsia="Calibri" w:hAnsi="Calibri"/>
          <w:color w:val="2D2D2D"/>
          <w:sz w:val="22"/>
          <w:szCs w:val="22"/>
        </w:rPr>
        <w:t xml:space="preserve">due diligence, verifica dei sinistri e rilevamento frodi con catene di ragionamento tracciabili.</w:t>
      </w:r>
    </w:p>
    <w:p>
      <w:pPr>
        <w:pStyle w:val="ListParagraph"/>
        <w:numPr>
          <w:ilvl w:val="0"/>
          <w:numId w:val="2"/>
        </w:numPr>
        <w:spacing w:after="100" w:line="300"/>
        <w:jc w:val="both"/>
      </w:pPr>
      <w:r>
        <w:rPr>
          <w:rFonts w:ascii="Calibri" w:cs="Calibri" w:eastAsia="Calibri" w:hAnsi="Calibri"/>
          <w:b/>
          <w:bCs/>
          <w:color w:val="2D2D2D"/>
          <w:sz w:val="22"/>
          <w:szCs w:val="22"/>
        </w:rPr>
        <w:t xml:space="preserve">Workflow investigativi e di intelligence: </w:t>
      </w:r>
      <w:r>
        <w:rPr>
          <w:rFonts w:ascii="Calibri" w:cs="Calibri" w:eastAsia="Calibri" w:hAnsi="Calibri"/>
          <w:color w:val="2D2D2D"/>
          <w:sz w:val="22"/>
          <w:szCs w:val="22"/>
        </w:rPr>
        <w:t xml:space="preserve">analisi strutturata di fascicoli complessi con rilevamento automatico di incoerenze.</w:t>
      </w:r>
    </w:p>
    <w:p>
      <w:pPr>
        <w:pStyle w:val="ListParagraph"/>
        <w:numPr>
          <w:ilvl w:val="0"/>
          <w:numId w:val="2"/>
        </w:numPr>
        <w:spacing w:after="200" w:line="300"/>
        <w:jc w:val="both"/>
      </w:pPr>
      <w:r>
        <w:rPr>
          <w:rFonts w:ascii="Calibri" w:cs="Calibri" w:eastAsia="Calibri" w:hAnsi="Calibri"/>
          <w:b/>
          <w:bCs/>
          <w:color w:val="2D2D2D"/>
          <w:sz w:val="22"/>
          <w:szCs w:val="22"/>
        </w:rPr>
        <w:t xml:space="preserve">Pubblica amministrazione ed e-government: </w:t>
      </w:r>
      <w:r>
        <w:rPr>
          <w:rFonts w:ascii="Calibri" w:cs="Calibri" w:eastAsia="Calibri" w:hAnsi="Calibri"/>
          <w:color w:val="2D2D2D"/>
          <w:sz w:val="22"/>
          <w:szCs w:val="22"/>
        </w:rPr>
        <w:t xml:space="preserve">verifica di procedure amministrative e conformità alle policy nei framework di governance digitale.</w:t>
      </w:r>
    </w:p>
    <w:p>
      <w:pPr>
        <w:spacing w:before="360" w:after="60"/>
      </w:pPr>
      <w:r>
        <w:rPr>
          <w:rFonts w:ascii="Calibri" w:cs="Calibri" w:eastAsia="Calibri" w:hAnsi="Calibri"/>
          <w:b/>
          <w:bCs/>
          <w:color w:val="1B3A5C"/>
          <w:sz w:val="26"/>
          <w:szCs w:val="26"/>
        </w:rPr>
        <w:t xml:space="preserve">9. CONCLUSIONI</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La piattaforma rappresenta un cambiamento fondamentale nel modo in cui l’IA può essere impiegata per il fact-checking e la risk intelligence. Integrando recupero di evidenze, ragionamento strutturato, metriche quantitative di affidabilità e tracciabilità completa in un’architettura agentica modulare, il sistema trasforma l’IA da strumento conversazionale a infrastruttura operativa verificabile.</w:t>
      </w:r>
    </w:p>
    <w:p>
      <w:pPr>
        <w:spacing w:after="140" w:line="300"/>
        <w:jc w:val="both"/>
      </w:pPr>
      <w:r>
        <w:rPr>
          <w:rFonts w:ascii="Calibri" w:cs="Calibri" w:eastAsia="Calibri" w:hAnsi="Calibri"/>
          <w:color w:val="2D2D2D"/>
          <w:sz w:val="22"/>
          <w:szCs w:val="22"/>
        </w:rPr>
        <w:t xml:space="preserve">La combinazione di orchestrazione agentica, segnali di ricerca della verità, audit by design e flessibilità di deployment posiziona la piattaforma come soluzione d’eccellenza per qualsiasi organizzazione in cui il costo di output IA non verificati è troppo elevato per essere accettato. Il sistema non promette certezza artificiale — fornisce i segnali misurabili che consentono agli esperti umani di prendere decisioni migliori, più rapide e più responsabili.</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0" w:line="320"/>
              <w:jc w:val="center"/>
            </w:pPr>
            <w:r>
              <w:rPr>
                <w:rFonts w:ascii="Calibri" w:cs="Calibri" w:eastAsia="Calibri" w:hAnsi="Calibri"/>
                <w:b/>
                <w:bCs/>
                <w:color w:val="FFFFFF"/>
                <w:sz w:val="26"/>
                <w:szCs w:val="26"/>
              </w:rPr>
              <w:t xml:space="preserve">Dalle Risposte IA all’Intelligence Verificabile</w:t>
            </w:r>
          </w:p>
        </w:tc>
      </w:tr>
    </w:tbl>
    <w:p>
      <w:r>
        <w:br w:type="page"/>
      </w:r>
    </w:p>
    <w:p>
      <w:pPr>
        <w:spacing w:before="360" w:after="60"/>
      </w:pPr>
      <w:r>
        <w:rPr>
          <w:rFonts w:ascii="Calibri" w:cs="Calibri" w:eastAsia="Calibri" w:hAnsi="Calibri"/>
          <w:b/>
          <w:bCs/>
          <w:color w:val="1B3A5C"/>
          <w:sz w:val="26"/>
          <w:szCs w:val="26"/>
        </w:rPr>
        <w:t xml:space="preserve">APPENDICE A — STACK TECNOLOGICO</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La presente appendice descrive le principali tecnologie utilizzate nella piattaforma, suddivise per livello architetturale. Lo stack è stato selezionato per garantire modularità, performance, interoperabilità e conformità ai requisiti di privacy e sicurezza.</w:t>
      </w:r>
    </w:p>
    <w:p>
      <w:pPr>
        <w:spacing w:before="240" w:after="100"/>
      </w:pPr>
      <w:r>
        <w:rPr>
          <w:rFonts w:ascii="Calibri" w:cs="Calibri" w:eastAsia="Calibri" w:hAnsi="Calibri"/>
          <w:b/>
          <w:bCs/>
          <w:color w:val="2E75B6"/>
          <w:sz w:val="24"/>
          <w:szCs w:val="24"/>
        </w:rPr>
        <w:t xml:space="preserve">A.1 Modelli Linguistici (LLM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Tecnologia</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Descrizione e Ruolo</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Ollama</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Runtime di inferenza locale per LLM open-source (LLaMA, Mistral, Phi, ecc.). Consente il deployment on-premise a costo zero, con pieno controllo sulla privacy dei dati.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OpenAI-Compatible API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Interfaccia standard per backend LLM pluggabili (OpenAI, Azure OpenAI, Anthropic, Groq, Together AI). Permette di variare il provider senza modifiche al codice.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Prompt Engineering</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Template di prompt strutturati e category-aware per ogni agente della pipeline, ottimizzati per output JSON-friendly e ragionamento evidence-grounded.</w:t>
            </w:r>
          </w:p>
        </w:tc>
      </w:tr>
    </w:tbl>
    <w:p>
      <w:pPr>
        <w:spacing w:after="160"/>
      </w:pPr>
    </w:p>
    <w:p>
      <w:pPr>
        <w:spacing w:before="240" w:after="100"/>
      </w:pPr>
      <w:r>
        <w:rPr>
          <w:rFonts w:ascii="Calibri" w:cs="Calibri" w:eastAsia="Calibri" w:hAnsi="Calibri"/>
          <w:b/>
          <w:bCs/>
          <w:color w:val="2E75B6"/>
          <w:sz w:val="24"/>
          <w:szCs w:val="24"/>
        </w:rPr>
        <w:t xml:space="preserve">A.2 Retrieval-Augmented Generation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Tecnologia</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Descrizione e Ruolo</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Vector Database</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Store vettoriale per embedding semantici (es. ChromaDB, FAISS, Qdrant, Weaviate). Supporta ricerca per similarità coseno ad alta velocità sui documenti indicizzati.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Embedding Models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Modelli di embedding (es. sentence-transformers, OpenAI text-embedding, BGE) per la conversione di testi in rappresentazioni vettoriali dense ad alta dimensionalità.</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Document Parsers</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Pipeline di ingestione multi-formato: PDF, DOCX, testo strutturato, CSV, trascrizioni audio. Chunking intelligente con overlap per preservare il contesto semantico.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Semantic Search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Retrieval ibrido (denso + sparso) con re-ranking opzionale per massimizzare la precisione dei frammenti recuperati e la rilevanza contestuale.</w:t>
            </w:r>
          </w:p>
        </w:tc>
      </w:tr>
    </w:tbl>
    <w:p>
      <w:pPr>
        <w:spacing w:after="160"/>
      </w:pPr>
    </w:p>
    <w:p>
      <w:pPr>
        <w:spacing w:before="240" w:after="100"/>
      </w:pPr>
      <w:r>
        <w:rPr>
          <w:rFonts w:ascii="Calibri" w:cs="Calibri" w:eastAsia="Calibri" w:hAnsi="Calibri"/>
          <w:b/>
          <w:bCs/>
          <w:color w:val="2E75B6"/>
          <w:sz w:val="24"/>
          <w:szCs w:val="24"/>
        </w:rPr>
        <w:t xml:space="preserve">A.3 Orchestrazione Agentica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Tecnologia</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Descrizione e Ruolo</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Pipeline Orchestrator</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Motore di orchestrazione che coordina l’esecuzione sequenziale e condizionale degli agenti, gestendo il passaggio di contesto, le dipendenze e le regole di escalation.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Agent Framework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Framework agentico (es. LangChain, LangGraph, CrewAI, o custom) per la definizione dichiarativa di ruoli, tool, memory e output schema per ogni agente.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JSON Schema Validation</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Validazione strutturale degli output di ogni agente tramite schema JSON, garantendo coerenza e integrabilità con sistemi downstream.</w:t>
            </w:r>
          </w:p>
        </w:tc>
      </w:tr>
    </w:tbl>
    <w:p>
      <w:pPr>
        <w:spacing w:after="160"/>
      </w:pPr>
    </w:p>
    <w:p>
      <w:pPr>
        <w:spacing w:before="240" w:after="100"/>
      </w:pPr>
      <w:r>
        <w:rPr>
          <w:rFonts w:ascii="Calibri" w:cs="Calibri" w:eastAsia="Calibri" w:hAnsi="Calibri"/>
          <w:b/>
          <w:bCs/>
          <w:color w:val="2E75B6"/>
          <w:sz w:val="24"/>
          <w:szCs w:val="24"/>
        </w:rPr>
        <w:t xml:space="preserve">A.4 Metriche di Qualità e Affidabilità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Metrica / Componente</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Descrizione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Retrieval Strength</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Indicatore della qualità e pertinenza dei frammenti recuperati rispetto alla query, basato su similarity score e copertura tematica.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Groundedness Score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Misura del grado in cui la risposta generata è ancorata alle evidenze recuperate, rilevando claim non supportati o estrapolazioni.</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Consistency Detection</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Analisi di drift e divergenza tra sezioni narrative, identificando contraddizioni interne e incoerenze logiche nel materiale del caso.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Confidence Cues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Segnali aggregati di confidenza che determinano se l’output è pronto per la consegna o richiede escalation e intervento umano.</w:t>
            </w:r>
          </w:p>
        </w:tc>
      </w:tr>
    </w:tbl>
    <w:p>
      <w:pPr>
        <w:spacing w:after="160"/>
      </w:pPr>
    </w:p>
    <w:p>
      <w:pPr>
        <w:spacing w:before="240" w:after="100"/>
      </w:pPr>
      <w:r>
        <w:rPr>
          <w:rFonts w:ascii="Calibri" w:cs="Calibri" w:eastAsia="Calibri" w:hAnsi="Calibri"/>
          <w:b/>
          <w:bCs/>
          <w:color w:val="2E75B6"/>
          <w:sz w:val="24"/>
          <w:szCs w:val="24"/>
        </w:rPr>
        <w:t xml:space="preserve">A.5 Reporting e Persistenza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Tecnologia</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Descrizione e Ruolo</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PDF Generation</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Engine di generazione PDF per report strutturati con narrative, tabelle, metriche e visualizzazioni. Compatibile con workflow di firma digitale e protocollazione.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Audit Persistence Layer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Database relazionale o documentale per la persistenza completa di input, output, metriche di run e tracce di elaborazione, con versioning e query storica.</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API REST / GraphQL</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Interfacce programmatiche per l’integrazione con sistemi esterni (ERP, CRM, piattaforme di compliance), esportazione dati e automazione dei flussi.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Formati di Export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Supporto multi-formato: PDF, JSON, CSV, e formati office opzionali (DOCX, XLSX) per massima compatibilità con i workflow istituzionali esistenti.</w:t>
            </w:r>
          </w:p>
        </w:tc>
      </w:tr>
    </w:tbl>
    <w:p>
      <w:pPr>
        <w:spacing w:after="160"/>
      </w:pPr>
    </w:p>
    <w:p>
      <w:pPr>
        <w:spacing w:before="240" w:after="100"/>
      </w:pPr>
      <w:r>
        <w:rPr>
          <w:rFonts w:ascii="Calibri" w:cs="Calibri" w:eastAsia="Calibri" w:hAnsi="Calibri"/>
          <w:b/>
          <w:bCs/>
          <w:color w:val="2E75B6"/>
          <w:sz w:val="24"/>
          <w:szCs w:val="24"/>
        </w:rPr>
        <w:t xml:space="preserve">A.6 Sicurezza 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Tecnologia</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Descrizione e Ruolo</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Containerizzazione</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Deployment tramite Docker / Kubernetes per isolamento, scalabilità orizzontale e portabilità tra ambienti on-premise e cloud.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Crittografia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Cifratura dei dati at-rest e in-transit (TLS 1.3, AES-256). Gestione sicura delle chiavi API e dei token di autenticazione.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RBAC / Autenticazione</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Controllo accessi basato su ruoli con autenticazione multi-fattore, integrazione LDAP/SAML/OIDC per ambienti enterprise.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GDPR Compliance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Architettura data-minimization conforme al GDPR e al Regolamento IA (AI Act), con supporto per data retention policy configurabili e diritto all’oblio.</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0"/>
            </w:pPr>
            <w:r>
              <w:rPr>
                <w:rFonts w:ascii="Calibri" w:cs="Calibri" w:eastAsia="Calibri" w:hAnsi="Calibri"/>
                <w:b/>
                <w:bCs/>
                <w:color w:val="1B3A5C"/>
                <w:sz w:val="20"/>
                <w:szCs w:val="20"/>
              </w:rPr>
              <w:t xml:space="preserve">Local-First Design</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Possibilità di esecuzione completamente on-premise senza dipendenze da servizi cloud esterni, ideale per PA e settori con vincoli di sovranità dei dati.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D6E4F0" w:val="clear"/>
            <w:tcMar>
              <w:top w:type="dxa" w:w="160"/>
              <w:left w:type="dxa" w:w="240"/>
              <w:bottom w:type="dxa" w:w="160"/>
              <w:right w:type="dxa" w:w="240"/>
            </w:tcMar>
          </w:tcPr>
          <w:p>
            <w:pPr>
              <w:spacing w:after="60"/>
            </w:pPr>
            <w:r>
              <w:rPr>
                <w:rFonts w:ascii="Calibri" w:cs="Calibri" w:eastAsia="Calibri" w:hAnsi="Calibri"/>
                <w:b/>
                <w:bCs/>
                <w:color w:val="1B3A5C"/>
                <w:sz w:val="22"/>
                <w:szCs w:val="22"/>
              </w:rPr>
              <w:t xml:space="preserve">Nota sullo Stack Tecnologico</w:t>
            </w:r>
          </w:p>
          <w:p>
            <w:pPr>
              <w:spacing w:after="0" w:line="300"/>
            </w:pPr>
            <w:r>
              <w:rPr>
                <w:rFonts w:ascii="Calibri" w:cs="Calibri" w:eastAsia="Calibri" w:hAnsi="Calibri"/>
                <w:color w:val="2D2D2D"/>
                <w:sz w:val="20"/>
                <w:szCs w:val="20"/>
              </w:rPr>
              <w:t xml:space="preserve">Lo stack è progettato con un’architettura a livelli disaccoppiati (layered &amp; decoupled). Ogni componente è sostituibile indipendentemente: il modello LLM, il vector store, il framework agentico e il layer di persistenza possono essere aggiornati o sostituiti senza impatto sugli altri livelli. Questa modularità garantisce longevità tecnologica e adattabilità ai rapidi cambiamenti dell’ecosistema IA.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0" w:after="0"/>
      <w:jc w:val="center"/>
    </w:pPr>
    <w:r>
      <w:rPr>
        <w:rFonts w:ascii="Calibri" w:cs="Calibri" w:eastAsia="Calibri" w:hAnsi="Calibri"/>
        <w:color w:val="666666"/>
        <w:sz w:val="16"/>
        <w:szCs w:val="16"/>
      </w:rPr>
      <w:t xml:space="preserve">Riservato  —  Pagina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pPr>
    <w:r>
      <w:rPr>
        <w:rFonts w:ascii="Calibri" w:cs="Calibri" w:eastAsia="Calibri" w:hAnsi="Calibri"/>
        <w:b/>
        <w:bCs/>
        <w:color w:val="1B3A5C"/>
        <w:sz w:val="18"/>
        <w:szCs w:val="18"/>
      </w:rPr>
      <w:t xml:space="preserve">Piattaforma Agentica di Fact-Checking</w:t>
    </w:r>
    <w:r>
      <w:rPr>
        <w:rFonts w:ascii="Calibri" w:cs="Calibri" w:eastAsia="Calibri" w:hAnsi="Calibri"/>
        <w:color w:val="666666"/>
        <w:sz w:val="18"/>
        <w:szCs w:val="18"/>
      </w:rPr>
      <w:t xml:space="preserve">  |  Report di Prodotto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00" w:after="16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2026-02-17T19:22:36.898Z</dcterms:created>
  <dcterms:modified xsi:type="dcterms:W3CDTF">2026-02-17T19:22:36.899Z</dcterms:modified>
</cp:coreProperties>
</file>

<file path=docProps/custom.xml><?xml version="1.0" encoding="utf-8"?>
<Properties xmlns="http://schemas.openxmlformats.org/officeDocument/2006/custom-properties" xmlns:vt="http://schemas.openxmlformats.org/officeDocument/2006/docPropsVTypes"/>
</file>