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26"/>
      </w:pPr>
      <w:r>
        <w:rPr>
          <w:rFonts w:ascii="Arial" w:hAnsi="Arial" w:cs="Arial"/>
          <w:sz w:val="64"/>
          <w:sz-cs w:val="64"/>
          <w:b/>
          <w:spacing w:val="0"/>
          <w:color w:val="13284B"/>
        </w:rPr>
        <w:t xml:space="preserve">ClinicalTrials.gov Nexus / Permissible Time-Period Analysis</w:t>
      </w:r>
    </w:p>
    <w:p>
      <w:pPr>
        <w:jc w:val="center"/>
        <w:spacing w:after="133"/>
      </w:pPr>
      <w:r>
        <w:rPr>
          <w:rFonts w:ascii="Arial" w:hAnsi="Arial" w:cs="Arial"/>
          <w:sz w:val="29"/>
          <w:sz-cs w:val="29"/>
          <w:b/>
          <w:spacing w:val="0"/>
          <w:color w:val="48525D"/>
        </w:rPr>
        <w:t xml:space="preserve">Final Full-Snapshot Report</w:t>
      </w:r>
      <w:r>
        <w:rPr>
          <w:rFonts w:ascii="Arial" w:hAnsi="Arial" w:cs="Arial"/>
          <w:sz w:val="29"/>
          <w:sz-cs w:val="29"/>
          <w:spacing w:val="0"/>
          <w:color w:val="48525D"/>
        </w:rPr>
        <w:t xml:space="preserve"/>
      </w:r>
    </w:p>
    <w:p>
      <w:pPr>
        <w:jc w:val="center"/>
        <w:spacing w:after="133"/>
      </w:pPr>
      <w:r>
        <w:rPr>
          <w:rFonts w:ascii="Arial" w:hAnsi="Arial" w:cs="Arial"/>
          <w:sz w:val="29"/>
          <w:sz-cs w:val="29"/>
          <w:b/>
          <w:spacing w:val="0"/>
          <w:color w:val="48525D"/>
        </w:rPr>
        <w:t xml:space="preserve">Snapshot date:</w:t>
      </w:r>
      <w:r>
        <w:rPr>
          <w:rFonts w:ascii="Arial" w:hAnsi="Arial" w:cs="Arial"/>
          <w:sz w:val="29"/>
          <w:sz-cs w:val="29"/>
          <w:spacing w:val="0"/>
          <w:color w:val="48525D"/>
        </w:rPr>
        <w:t xml:space="preserve"> 20 July 2026 (UTC)</w:t>
      </w:r>
    </w:p>
    <w:p>
      <w:pPr>
        <w:jc w:val="center"/>
        <w:spacing w:after="133"/>
      </w:pPr>
      <w:r>
        <w:rPr>
          <w:rFonts w:ascii="Arial" w:hAnsi="Arial" w:cs="Arial"/>
          <w:sz w:val="29"/>
          <w:sz-cs w:val="29"/>
          <w:b/>
          <w:spacing w:val="0"/>
          <w:color w:val="48525D"/>
        </w:rPr>
        <w:t xml:space="preserve">Report date:</w:t>
      </w:r>
      <w:r>
        <w:rPr>
          <w:rFonts w:ascii="Arial" w:hAnsi="Arial" w:cs="Arial"/>
          <w:sz w:val="29"/>
          <w:sz-cs w:val="29"/>
          <w:spacing w:val="0"/>
          <w:color w:val="48525D"/>
        </w:rPr>
        <w:t xml:space="preserve"> 21 July 2026</w:t>
      </w:r>
    </w:p>
    <w:p>
      <w:pPr>
        <w:jc w:val="center"/>
        <w:spacing w:after="133"/>
      </w:pPr>
      <w:r>
        <w:rPr>
          <w:rFonts w:ascii="Arial" w:hAnsi="Arial" w:cs="Arial"/>
          <w:sz w:val="29"/>
          <w:sz-cs w:val="29"/>
          <w:b/>
          <w:spacing w:val="0"/>
          <w:color w:val="48525D"/>
        </w:rPr>
        <w:t xml:space="preserve">Unit of analysis:</w:t>
      </w:r>
      <w:r>
        <w:rPr>
          <w:rFonts w:ascii="Arial" w:hAnsi="Arial" w:cs="Arial"/>
          <w:sz w:val="29"/>
          <w:sz-cs w:val="29"/>
          <w:spacing w:val="0"/>
          <w:color w:val="48525D"/>
        </w:rPr>
        <w:t xml:space="preserve"> One unique ClinicalTrials.gov NCT ID</w:t>
      </w:r>
    </w:p>
    <w:p>
      <w:pPr>
        <w:spacing w:after="213"/>
      </w:pPr>
      <w:r>
        <w:rPr>
          <w:rFonts w:ascii="Arial" w:hAnsi="Arial" w:cs="Arial"/>
          <w:sz w:val="42"/>
          <w:sz-cs w:val="42"/>
          <w:b/>
          <w:spacing w:val="0"/>
          <w:color w:val="255FA6"/>
        </w:rPr>
        <w:t xml:space="preserve">中文摘要</w:t>
      </w:r>
    </w:p>
    <w:p>
      <w:pPr>
        <w:spacing w:after="160"/>
      </w:pPr>
      <w:r>
        <w:rPr>
          <w:rFonts w:ascii="Arial" w:hAnsi="Arial" w:cs="Arial"/>
          <w:sz w:val="29"/>
          <w:sz-cs w:val="29"/>
          <w:spacing w:val="0"/>
          <w:color w:val="181C20"/>
        </w:rPr>
        <w:t xml:space="preserve">本报告比较了 ClinicalTrials.gov 中注册 Start Date 位于最近三年（RECENT_3Y）与此前四至六年（YEARS_4_TO_6_AGO）的研究，其注册或计划 facility-location country 组合如何变化。</w:t>
      </w:r>
    </w:p>
    <w:p>
      <w:pPr>
        <w:spacing w:after="160"/>
      </w:pPr>
      <w:r>
        <w:rPr>
          <w:rFonts w:ascii="Arial" w:hAnsi="Arial" w:cs="Arial"/>
          <w:sz w:val="29"/>
          <w:sz-cs w:val="29"/>
          <w:spacing w:val="0"/>
          <w:color w:val="181C20"/>
        </w:rPr>
        <w:t xml:space="preserve">在 594,543 项唯一研究的完整快照中，589,195 项（99.10%）具有可解析 Start Date。Recent 3Y 的 NEXUS 比例为 0.6705%，高于 4–6 Years Ago 的 0.5811%，增加 0.0894 个百分点；使用 known-location denominator 后，差异为 0.1452 个百分点，方向不变。US_ONLY 与 US_NON_CHINA_MULTI 占比下降，而 Recent 3Y 的 UNKNOWN-location 比例由 5.93% 上升到 12.12%。因此，NEXUS 上升方向相对稳健，但 PERMISSIBLE 的方向取决于是否排除 UNKNOWN：以全部 cohort 为分母时下降 2.36 个百分点，以 known-location 为分母时上升 2.33 个百分点。</w:t>
      </w:r>
    </w:p>
    <w:p>
      <w:pPr>
        <w:spacing w:after="160"/>
      </w:pPr>
      <w:r>
        <w:rPr>
          <w:rFonts w:ascii="Arial" w:hAnsi="Arial" w:cs="Arial"/>
          <w:sz w:val="29"/>
          <w:sz-cs w:val="29"/>
          <w:spacing w:val="0"/>
          <w:color w:val="181C20"/>
        </w:rPr>
        <w:t xml:space="preserve">这些结果属于描述性注册数据分析。Location 表示注册或计划的研究设施，不代表参与者国籍或实际国家级 enrollment；Start Date 也不等于各国家站点的实际启动日期。结果不能解释为因果变化，也不能直接代表全球全部临床试验。</w:t>
      </w:r>
    </w:p>
    <w:p>
      <w:pPr>
        <w:spacing w:after="213"/>
      </w:pPr>
      <w:r>
        <w:rPr>
          <w:rFonts w:ascii="Arial" w:hAnsi="Arial" w:cs="Arial"/>
          <w:sz w:val="42"/>
          <w:sz-cs w:val="42"/>
          <w:b/>
          <w:spacing w:val="0"/>
          <w:color w:val="255FA6"/>
        </w:rPr>
        <w:t xml:space="preserve">Executive Summary</w:t>
      </w:r>
    </w:p>
    <w:p>
      <w:pPr>
        <w:spacing w:after="160"/>
      </w:pPr>
      <w:r>
        <w:rPr>
          <w:rFonts w:ascii="Arial" w:hAnsi="Arial" w:cs="Arial"/>
          <w:sz w:val="29"/>
          <w:sz-cs w:val="29"/>
          <w:spacing w:val="0"/>
          <w:color w:val="181C20"/>
        </w:rPr>
        <w:t xml:space="preserve">This analysis evaluates whether the geographic distribution of registered ClinicalTrials.gov study locations differs between studies with registered Start Dates in two non-overlapping three-year periods:</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Recent 3Y:</w:t>
      </w:r>
      <w:r>
        <w:rPr>
          <w:rFonts w:ascii="Arial" w:hAnsi="Arial" w:cs="Arial"/>
          <w:sz w:val="29"/>
          <w:sz-cs w:val="29"/>
          <w:spacing w:val="0"/>
          <w:color w:val="181C20"/>
        </w:rPr>
        <w:t xml:space="preserve"> 20 July 2023 &lt; Start Date ≤ 20 July 2026.</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4–6 Years Ago:</w:t>
      </w:r>
      <w:r>
        <w:rPr>
          <w:rFonts w:ascii="Arial" w:hAnsi="Arial" w:cs="Arial"/>
          <w:sz w:val="29"/>
          <w:sz-cs w:val="29"/>
          <w:spacing w:val="0"/>
          <w:color w:val="181C20"/>
        </w:rPr>
        <w:t xml:space="preserve"> 20 July 2020 &lt; Start Date ≤ 20 July 2023.</w:t>
      </w:r>
    </w:p>
    <w:p>
      <w:pPr>
        <w:spacing w:after="160"/>
      </w:pPr>
      <w:r>
        <w:rPr>
          <w:rFonts w:ascii="Arial" w:hAnsi="Arial" w:cs="Arial"/>
          <w:sz w:val="29"/>
          <w:sz-cs w:val="29"/>
          <w:spacing w:val="0"/>
          <w:color w:val="181C20"/>
        </w:rPr>
        <w:t xml:space="preserve">The completed API v2 snapshot contains </w:t>
      </w:r>
      <w:r>
        <w:rPr>
          <w:rFonts w:ascii="Arial" w:hAnsi="Arial" w:cs="Arial"/>
          <w:sz w:val="29"/>
          <w:sz-cs w:val="29"/>
          <w:b/>
          <w:spacing w:val="0"/>
          <w:color w:val="181C20"/>
        </w:rPr>
        <w:t xml:space="preserve">594,543 unique NCT IDs</w:t>
      </w:r>
      <w:r>
        <w:rPr>
          <w:rFonts w:ascii="Arial" w:hAnsi="Arial" w:cs="Arial"/>
          <w:sz w:val="29"/>
          <w:sz-cs w:val="29"/>
          <w:spacing w:val="0"/>
          <w:color w:val="181C20"/>
        </w:rPr>
        <w:t xml:space="preserve">. Start Date was usable for </w:t>
      </w:r>
      <w:r>
        <w:rPr>
          <w:rFonts w:ascii="Arial" w:hAnsi="Arial" w:cs="Arial"/>
          <w:sz w:val="29"/>
          <w:sz-cs w:val="29"/>
          <w:b/>
          <w:spacing w:val="0"/>
          <w:color w:val="181C20"/>
        </w:rPr>
        <w:t xml:space="preserve">589,195 studies (99.10%)</w:t>
      </w:r>
      <w:r>
        <w:rPr>
          <w:rFonts w:ascii="Arial" w:hAnsi="Arial" w:cs="Arial"/>
          <w:sz w:val="29"/>
          <w:sz-cs w:val="29"/>
          <w:spacing w:val="0"/>
          <w:color w:val="181C20"/>
        </w:rPr>
        <w:t xml:space="preserve">. All raw pages were present, all SHA-256 hashes passed, and all geographic and time-cohort reconciliation differences were zero.</w:t>
      </w:r>
    </w:p>
    <w:p>
      <w:pPr>
        <w:spacing w:after="160"/>
      </w:pPr>
      <w:r>
        <w:rPr>
          <w:rFonts w:ascii="Arial" w:hAnsi="Arial" w:cs="Arial"/>
          <w:sz w:val="29"/>
          <w:sz-cs w:val="29"/>
          <w:spacing w:val="0"/>
          <w:color w:val="181C20"/>
        </w:rPr>
        <w:t xml:space="preserve">The principal result is a modest increase in the NEXUS share: </w:t>
      </w:r>
      <w:r>
        <w:rPr>
          <w:rFonts w:ascii="Arial" w:hAnsi="Arial" w:cs="Arial"/>
          <w:sz w:val="29"/>
          <w:sz-cs w:val="29"/>
          <w:b/>
          <w:spacing w:val="0"/>
          <w:color w:val="181C20"/>
        </w:rPr>
        <w:t xml:space="preserve">0.5811% to 0.6705% of the full cohort</w:t>
      </w:r>
      <w:r>
        <w:rPr>
          <w:rFonts w:ascii="Arial" w:hAnsi="Arial" w:cs="Arial"/>
          <w:sz w:val="29"/>
          <w:sz-cs w:val="29"/>
          <w:spacing w:val="0"/>
          <w:color w:val="181C20"/>
        </w:rPr>
        <w:t xml:space="preserve">, a change of </w:t>
      </w:r>
      <w:r>
        <w:rPr>
          <w:rFonts w:ascii="Arial" w:hAnsi="Arial" w:cs="Arial"/>
          <w:sz w:val="29"/>
          <w:sz-cs w:val="29"/>
          <w:b/>
          <w:spacing w:val="0"/>
          <w:color w:val="181C20"/>
        </w:rPr>
        <w:t xml:space="preserve">+0.0894 percentage points</w:t>
      </w:r>
      <w:r>
        <w:rPr>
          <w:rFonts w:ascii="Arial" w:hAnsi="Arial" w:cs="Arial"/>
          <w:sz w:val="29"/>
          <w:sz-cs w:val="29"/>
          <w:spacing w:val="0"/>
          <w:color w:val="181C20"/>
        </w:rPr>
        <w:t xml:space="preserve">. Restricting the denominator to studies with known location data produced the same direction: </w:t>
      </w:r>
      <w:r>
        <w:rPr>
          <w:rFonts w:ascii="Arial" w:hAnsi="Arial" w:cs="Arial"/>
          <w:sz w:val="29"/>
          <w:sz-cs w:val="29"/>
          <w:b/>
          <w:spacing w:val="0"/>
          <w:color w:val="181C20"/>
        </w:rPr>
        <w:t xml:space="preserve">0.6177% to 0.7630%</w:t>
      </w:r>
      <w:r>
        <w:rPr>
          <w:rFonts w:ascii="Arial" w:hAnsi="Arial" w:cs="Arial"/>
          <w:sz w:val="29"/>
          <w:sz-cs w:val="29"/>
          <w:spacing w:val="0"/>
          <w:color w:val="181C20"/>
        </w:rPr>
        <w:t xml:space="preserve">, or </w:t>
      </w:r>
      <w:r>
        <w:rPr>
          <w:rFonts w:ascii="Arial" w:hAnsi="Arial" w:cs="Arial"/>
          <w:sz w:val="29"/>
          <w:sz-cs w:val="29"/>
          <w:b/>
          <w:spacing w:val="0"/>
          <w:color w:val="181C20"/>
        </w:rPr>
        <w:t xml:space="preserve">+0.1452 percentage points</w:t>
      </w:r>
      <w:r>
        <w:rPr>
          <w:rFonts w:ascii="Arial" w:hAnsi="Arial" w:cs="Arial"/>
          <w:sz w:val="29"/>
          <w:sz-cs w:val="29"/>
          <w:spacing w:val="0"/>
          <w:color w:val="181C20"/>
        </w:rPr>
        <w:t xml:space="preserve">.</w:t>
      </w:r>
    </w:p>
    <w:p>
      <w:pPr>
        <w:spacing w:after="160"/>
      </w:pPr>
      <w:r>
        <w:rPr>
          <w:rFonts w:ascii="Arial" w:hAnsi="Arial" w:cs="Arial"/>
          <w:sz w:val="29"/>
          <w:sz-cs w:val="29"/>
          <w:spacing w:val="0"/>
          <w:color w:val="181C20"/>
        </w:rPr>
        <w:t xml:space="preserve">Interpretation of PERMISSIBLE is less stable. Its share decreased using the full cohort denominator but increased among known-location studies. This difference is explained by the materially higher UNKNOWN-location share in Recent 3Y (</w:t>
      </w:r>
      <w:r>
        <w:rPr>
          <w:rFonts w:ascii="Arial" w:hAnsi="Arial" w:cs="Arial"/>
          <w:sz w:val="29"/>
          <w:sz-cs w:val="29"/>
          <w:b/>
          <w:spacing w:val="0"/>
          <w:color w:val="181C20"/>
        </w:rPr>
        <w:t xml:space="preserve">12.12% versus 5.93%</w:t>
      </w:r>
      <w:r>
        <w:rPr>
          <w:rFonts w:ascii="Arial" w:hAnsi="Arial" w:cs="Arial"/>
          <w:sz w:val="29"/>
          <w:sz-cs w:val="29"/>
          <w:spacing w:val="0"/>
          <w:color w:val="181C20"/>
        </w:rPr>
        <w:t xml:space="preserve">). The denominator and missing-location pattern must therefore be reported alongside any time comparison.</w:t>
      </w:r>
    </w:p>
    <w:p>
      <w:pPr/>
      <w:r>
        <w:rPr>
          <w:rFonts w:ascii="Arial" w:hAnsi="Arial" w:cs="Arial"/>
          <w:sz w:val="29"/>
          <w:sz-cs w:val="29"/>
          <w:b/>
          <w:spacing w:val="0"/>
          <w:color w:val="13284B"/>
        </w:rPr>
        <w:t xml:space="preserve">Bottom line:</w:t>
      </w:r>
      <w:r>
        <w:rPr>
          <w:rFonts w:ascii="Arial" w:hAnsi="Arial" w:cs="Arial"/>
          <w:sz w:val="29"/>
          <w:sz-cs w:val="29"/>
          <w:b/>
          <w:spacing w:val="0"/>
          <w:color w:val="13284B"/>
        </w:rPr>
        <w:t xml:space="preserve"> The observed direction of the NEXUS difference is robust to the two planned denominators, but the absolute change is small. The PERMISSIBLE comparison is sensitive to missing location metadata. Results are descriptive and should not be interpreted causally.</w:t>
      </w:r>
    </w:p>
    <w:p>
      <w:pPr>
        <w:spacing w:after="213"/>
      </w:pPr>
      <w:r>
        <w:rPr>
          <w:rFonts w:ascii="Arial" w:hAnsi="Arial" w:cs="Arial"/>
          <w:sz w:val="42"/>
          <w:sz-cs w:val="42"/>
          <w:b/>
          <w:spacing w:val="0"/>
          <w:color w:val="255FA6"/>
        </w:rPr>
        <w:t xml:space="preserve">1. Objective and Scope</w:t>
      </w:r>
    </w:p>
    <w:p>
      <w:pPr>
        <w:spacing w:after="160"/>
      </w:pPr>
      <w:r>
        <w:rPr>
          <w:rFonts w:ascii="Arial" w:hAnsi="Arial" w:cs="Arial"/>
          <w:sz w:val="29"/>
          <w:sz-cs w:val="29"/>
          <w:spacing w:val="0"/>
          <w:color w:val="181C20"/>
        </w:rPr>
        <w:t xml:space="preserve">The analysis addresses the following question:</w:t>
      </w:r>
    </w:p>
    <w:p>
      <w:pPr/>
      <w:r>
        <w:rPr>
          <w:rFonts w:ascii="Arial" w:hAnsi="Arial" w:cs="Arial"/>
          <w:sz w:val="29"/>
          <w:sz-cs w:val="29"/>
          <w:b/>
          <w:spacing w:val="0"/>
          <w:color w:val="13284B"/>
        </w:rPr>
        <w:t xml:space="preserve">Among studies whose registered ClinicalTrials.gov Start Date falls in different periods, how has the distribution of registered or planned study-facility locations changed?</w:t>
      </w:r>
    </w:p>
    <w:p>
      <w:pPr>
        <w:spacing w:after="160"/>
      </w:pPr>
      <w:r>
        <w:rPr>
          <w:rFonts w:ascii="Arial" w:hAnsi="Arial" w:cs="Arial"/>
          <w:sz w:val="29"/>
          <w:sz-cs w:val="29"/>
          <w:spacing w:val="0"/>
          <w:color w:val="181C20"/>
        </w:rPr>
        <w:t xml:space="preserve">The five mutually exclusive geographic categories are:</w:t>
      </w:r>
    </w:p>
    <w:p>
      <w:pPr>
        <w:jc w:val="center"/>
      </w:pPr>
      <w:r>
        <w:rPr>
          <w:rFonts w:ascii="Arial" w:hAnsi="Arial" w:cs="Arial"/>
          <w:sz w:val="25"/>
          <w:sz-cs w:val="25"/>
          <w:b/>
          <w:spacing w:val="0"/>
          <w:color w:val="13284B"/>
        </w:rPr>
        <w:t xml:space="preserve">Category</w:t>
      </w:r>
    </w:p>
    <w:p>
      <w:pPr>
        <w:jc w:val="center"/>
      </w:pPr>
      <w:r>
        <w:rPr>
          <w:rFonts w:ascii="Arial" w:hAnsi="Arial" w:cs="Arial"/>
          <w:sz w:val="25"/>
          <w:sz-cs w:val="25"/>
          <w:b/>
          <w:spacing w:val="0"/>
          <w:color w:val="13284B"/>
        </w:rPr>
        <w:t xml:space="preserve">Definition</w:t>
      </w:r>
    </w:p>
    <w:p>
      <w:pPr/>
      <w:r>
        <w:rPr>
          <w:rFonts w:ascii="Arial" w:hAnsi="Arial" w:cs="Arial"/>
          <w:sz w:val="25"/>
          <w:sz-cs w:val="25"/>
          <w:spacing w:val="0"/>
          <w:color w:val="181C20"/>
        </w:rPr>
        <w:t xml:space="preserve">UNKNOWN</w:t>
      </w:r>
    </w:p>
    <w:p>
      <w:pPr/>
      <w:r>
        <w:rPr>
          <w:rFonts w:ascii="Arial" w:hAnsi="Arial" w:cs="Arial"/>
          <w:sz w:val="25"/>
          <w:sz-cs w:val="25"/>
          <w:spacing w:val="0"/>
          <w:color w:val="181C20"/>
        </w:rPr>
        <w:t xml:space="preserve">No usable registered location-country value.</w:t>
      </w:r>
    </w:p>
    <w:p>
      <w:pPr/>
      <w:r>
        <w:rPr>
          <w:rFonts w:ascii="Arial" w:hAnsi="Arial" w:cs="Arial"/>
          <w:sz w:val="25"/>
          <w:sz-cs w:val="25"/>
          <w:spacing w:val="0"/>
          <w:color w:val="181C20"/>
        </w:rPr>
        <w:t xml:space="preserve">PERMISSIBLE</w:t>
      </w:r>
    </w:p>
    <w:p>
      <w:pPr/>
      <w:r>
        <w:rPr>
          <w:rFonts w:ascii="Arial" w:hAnsi="Arial" w:cs="Arial"/>
          <w:sz w:val="25"/>
          <w:sz-cs w:val="25"/>
          <w:spacing w:val="0"/>
          <w:color w:val="181C20"/>
        </w:rPr>
        <w:t xml:space="preserve">At least one usable country and no exact “United States” location.</w:t>
      </w:r>
    </w:p>
    <w:p>
      <w:pPr/>
      <w:r>
        <w:rPr>
          <w:rFonts w:ascii="Arial" w:hAnsi="Arial" w:cs="Arial"/>
          <w:sz w:val="25"/>
          <w:sz-cs w:val="25"/>
          <w:spacing w:val="0"/>
          <w:color w:val="181C20"/>
        </w:rPr>
        <w:t xml:space="preserve">US_ONLY</w:t>
      </w:r>
    </w:p>
    <w:p>
      <w:pPr/>
      <w:r>
        <w:rPr>
          <w:rFonts w:ascii="Arial" w:hAnsi="Arial" w:cs="Arial"/>
          <w:sz w:val="25"/>
          <w:sz-cs w:val="25"/>
          <w:spacing w:val="0"/>
          <w:color w:val="181C20"/>
        </w:rPr>
        <w:t xml:space="preserve">The complete unique country set is exactly {United States}.</w:t>
      </w:r>
    </w:p>
    <w:p>
      <w:pPr/>
      <w:r>
        <w:rPr>
          <w:rFonts w:ascii="Arial" w:hAnsi="Arial" w:cs="Arial"/>
          <w:sz w:val="25"/>
          <w:sz-cs w:val="25"/>
          <w:spacing w:val="0"/>
          <w:color w:val="181C20"/>
        </w:rPr>
        <w:t xml:space="preserve">US_NON_CHINA_MULTI</w:t>
      </w:r>
    </w:p>
    <w:p>
      <w:pPr/>
      <w:r>
        <w:rPr>
          <w:rFonts w:ascii="Arial" w:hAnsi="Arial" w:cs="Arial"/>
          <w:sz w:val="25"/>
          <w:sz-cs w:val="25"/>
          <w:spacing w:val="0"/>
          <w:color w:val="181C20"/>
        </w:rPr>
        <w:t xml:space="preserve">Contains exact United States, does not contain exact China, and contains at least one additional non-US country.</w:t>
      </w:r>
    </w:p>
    <w:p>
      <w:pPr/>
      <w:r>
        <w:rPr>
          <w:rFonts w:ascii="Arial" w:hAnsi="Arial" w:cs="Arial"/>
          <w:sz w:val="25"/>
          <w:sz-cs w:val="25"/>
          <w:spacing w:val="0"/>
          <w:color w:val="181C20"/>
        </w:rPr>
        <w:t xml:space="preserve">NEXUS</w:t>
      </w:r>
    </w:p>
    <w:p>
      <w:pPr/>
      <w:r>
        <w:rPr>
          <w:rFonts w:ascii="Arial" w:hAnsi="Arial" w:cs="Arial"/>
          <w:sz w:val="25"/>
          <w:sz-cs w:val="25"/>
          <w:spacing w:val="0"/>
          <w:color w:val="181C20"/>
        </w:rPr>
        <w:t xml:space="preserve">Contains exact United States and exact China, with or without additional countries.</w:t>
      </w:r>
    </w:p>
    <w:p>
      <w:pPr>
        <w:spacing w:after="160"/>
      </w:pPr>
      <w:r>
        <w:rPr>
          <w:rFonts w:ascii="Arial" w:hAnsi="Arial" w:cs="Arial"/>
          <w:sz w:val="29"/>
          <w:sz-cs w:val="29"/>
          <w:spacing w:val="0"/>
          <w:color w:val="181C20"/>
        </w:rPr>
        <w:t xml:space="preserve">Baseline definitions are exact string matches: </w:t>
      </w:r>
      <w:r>
        <w:rPr>
          <w:rFonts w:ascii="Arial" w:hAnsi="Arial" w:cs="Arial"/>
          <w:sz w:val="29"/>
          <w:sz-cs w:val="29"/>
          <w:b/>
          <w:spacing w:val="0"/>
          <w:color w:val="181C20"/>
        </w:rPr>
        <w:t xml:space="preserve">US = United States</w:t>
      </w:r>
      <w:r>
        <w:rPr>
          <w:rFonts w:ascii="Arial" w:hAnsi="Arial" w:cs="Arial"/>
          <w:sz w:val="29"/>
          <w:sz-cs w:val="29"/>
          <w:spacing w:val="0"/>
          <w:color w:val="181C20"/>
        </w:rPr>
        <w:t xml:space="preserve"> and </w:t>
      </w:r>
      <w:r>
        <w:rPr>
          <w:rFonts w:ascii="Arial" w:hAnsi="Arial" w:cs="Arial"/>
          <w:sz w:val="29"/>
          <w:sz-cs w:val="29"/>
          <w:b/>
          <w:spacing w:val="0"/>
          <w:color w:val="181C20"/>
        </w:rPr>
        <w:t xml:space="preserve">China = China</w:t>
      </w:r>
      <w:r>
        <w:rPr>
          <w:rFonts w:ascii="Arial" w:hAnsi="Arial" w:cs="Arial"/>
          <w:sz w:val="29"/>
          <w:sz-cs w:val="29"/>
          <w:spacing w:val="0"/>
          <w:color w:val="181C20"/>
        </w:rPr>
        <w:t xml:space="preserve">. US territories are not included in baseline US. Hong Kong, Macau/Macao, and Taiwan are not included in baseline China.</w:t>
      </w:r>
    </w:p>
    <w:p>
      <w:pPr>
        <w:spacing w:after="213"/>
      </w:pPr>
      <w:r>
        <w:rPr>
          <w:rFonts w:ascii="Arial" w:hAnsi="Arial" w:cs="Arial"/>
          <w:sz w:val="42"/>
          <w:sz-cs w:val="42"/>
          <w:b/>
          <w:spacing w:val="0"/>
          <w:color w:val="255FA6"/>
        </w:rPr>
        <w:t xml:space="preserve">2. Data and Audit Status</w:t>
      </w:r>
    </w:p>
    <w:p>
      <w:pPr>
        <w:spacing w:after="160"/>
      </w:pPr>
      <w:r>
        <w:rPr>
          <w:rFonts w:ascii="Arial" w:hAnsi="Arial" w:cs="Arial"/>
          <w:sz w:val="29"/>
          <w:sz-cs w:val="29"/>
          <w:spacing w:val="0"/>
          <w:color w:val="181C20"/>
        </w:rPr>
        <w:t xml:space="preserve">The source is a completed ClinicalTrials.gov API v2 snapshot harvested on 20 July 2026. The workflow retained immutable raw JSON pages and a manifest containing request parameters, counts, pagination status, and page-level SHA-256 hashes.</w:t>
      </w:r>
    </w:p>
    <w:p>
      <w:pPr>
        <w:jc w:val="center"/>
      </w:pPr>
      <w:r>
        <w:rPr>
          <w:rFonts w:ascii="Arial" w:hAnsi="Arial" w:cs="Arial"/>
          <w:sz w:val="25"/>
          <w:sz-cs w:val="25"/>
          <w:b/>
          <w:spacing w:val="0"/>
          <w:color w:val="13284B"/>
        </w:rPr>
        <w:t xml:space="preserve">Audit item</w:t>
      </w:r>
    </w:p>
    <w:p>
      <w:pPr>
        <w:jc w:val="center"/>
      </w:pPr>
      <w:r>
        <w:rPr>
          <w:rFonts w:ascii="Arial" w:hAnsi="Arial" w:cs="Arial"/>
          <w:sz w:val="25"/>
          <w:sz-cs w:val="25"/>
          <w:b/>
          <w:spacing w:val="0"/>
          <w:color w:val="13284B"/>
        </w:rPr>
        <w:t xml:space="preserve">Result</w:t>
      </w:r>
    </w:p>
    <w:p>
      <w:pPr/>
      <w:r>
        <w:rPr>
          <w:rFonts w:ascii="Arial" w:hAnsi="Arial" w:cs="Arial"/>
          <w:sz w:val="25"/>
          <w:sz-cs w:val="25"/>
          <w:spacing w:val="0"/>
          <w:color w:val="181C20"/>
        </w:rPr>
        <w:t xml:space="preserve">Snapshot complete</w:t>
      </w:r>
    </w:p>
    <w:p>
      <w:pPr/>
      <w:r>
        <w:rPr>
          <w:rFonts w:ascii="Arial" w:hAnsi="Arial" w:cs="Arial"/>
          <w:sz w:val="25"/>
          <w:sz-cs w:val="25"/>
          <w:spacing w:val="0"/>
          <w:color w:val="181C20"/>
        </w:rPr>
        <w:t xml:space="preserve">Yes</w:t>
      </w:r>
    </w:p>
    <w:p>
      <w:pPr/>
      <w:r>
        <w:rPr>
          <w:rFonts w:ascii="Arial" w:hAnsi="Arial" w:cs="Arial"/>
          <w:sz w:val="25"/>
          <w:sz-cs w:val="25"/>
          <w:spacing w:val="0"/>
          <w:color w:val="181C20"/>
        </w:rPr>
        <w:t xml:space="preserve">Next-page token remaining</w:t>
      </w:r>
    </w:p>
    <w:p>
      <w:pPr/>
      <w:r>
        <w:rPr>
          <w:rFonts w:ascii="Arial" w:hAnsi="Arial" w:cs="Arial"/>
          <w:sz w:val="25"/>
          <w:sz-cs w:val="25"/>
          <w:spacing w:val="0"/>
          <w:color w:val="181C20"/>
        </w:rPr>
        <w:t xml:space="preserve">No</w:t>
      </w:r>
    </w:p>
    <w:p>
      <w:pPr/>
      <w:r>
        <w:rPr>
          <w:rFonts w:ascii="Arial" w:hAnsi="Arial" w:cs="Arial"/>
          <w:sz w:val="25"/>
          <w:sz-cs w:val="25"/>
          <w:spacing w:val="0"/>
          <w:color w:val="181C20"/>
        </w:rPr>
        <w:t xml:space="preserve">Page limit</w:t>
      </w:r>
    </w:p>
    <w:p>
      <w:pPr/>
      <w:r>
        <w:rPr>
          <w:rFonts w:ascii="Arial" w:hAnsi="Arial" w:cs="Arial"/>
          <w:sz w:val="25"/>
          <w:sz-cs w:val="25"/>
          <w:spacing w:val="0"/>
          <w:color w:val="181C20"/>
        </w:rPr>
        <w:t xml:space="preserve">None</w:t>
      </w:r>
    </w:p>
    <w:p>
      <w:pPr/>
      <w:r>
        <w:rPr>
          <w:rFonts w:ascii="Arial" w:hAnsi="Arial" w:cs="Arial"/>
          <w:sz w:val="25"/>
          <w:sz-cs w:val="25"/>
          <w:spacing w:val="0"/>
          <w:color w:val="181C20"/>
        </w:rPr>
        <w:t xml:space="preserve">Raw pages</w:t>
      </w:r>
    </w:p>
    <w:p>
      <w:pPr>
        <w:jc w:val="right"/>
      </w:pPr>
      <w:r>
        <w:rPr>
          <w:rFonts w:ascii="Arial" w:hAnsi="Arial" w:cs="Arial"/>
          <w:sz w:val="25"/>
          <w:sz-cs w:val="25"/>
          <w:spacing w:val="0"/>
          <w:color w:val="181C20"/>
        </w:rPr>
        <w:t xml:space="preserve">595</w:t>
      </w:r>
    </w:p>
    <w:p>
      <w:pPr/>
      <w:r>
        <w:rPr>
          <w:rFonts w:ascii="Arial" w:hAnsi="Arial" w:cs="Arial"/>
          <w:sz w:val="25"/>
          <w:sz-cs w:val="25"/>
          <w:spacing w:val="0"/>
          <w:color w:val="181C20"/>
        </w:rPr>
        <w:t xml:space="preserve">Raw records</w:t>
      </w:r>
    </w:p>
    <w:p>
      <w:pPr>
        <w:jc w:val="right"/>
      </w:pPr>
      <w:r>
        <w:rPr>
          <w:rFonts w:ascii="Arial" w:hAnsi="Arial" w:cs="Arial"/>
          <w:sz w:val="25"/>
          <w:sz-cs w:val="25"/>
          <w:spacing w:val="0"/>
          <w:color w:val="181C20"/>
        </w:rPr>
        <w:t xml:space="preserve">594,543</w:t>
      </w:r>
    </w:p>
    <w:p>
      <w:pPr/>
      <w:r>
        <w:rPr>
          <w:rFonts w:ascii="Arial" w:hAnsi="Arial" w:cs="Arial"/>
          <w:sz w:val="25"/>
          <w:sz-cs w:val="25"/>
          <w:spacing w:val="0"/>
          <w:color w:val="181C20"/>
        </w:rPr>
        <w:t xml:space="preserve">Unique NCT IDs</w:t>
      </w:r>
    </w:p>
    <w:p>
      <w:pPr>
        <w:jc w:val="right"/>
      </w:pPr>
      <w:r>
        <w:rPr>
          <w:rFonts w:ascii="Arial" w:hAnsi="Arial" w:cs="Arial"/>
          <w:sz w:val="25"/>
          <w:sz-cs w:val="25"/>
          <w:spacing w:val="0"/>
          <w:color w:val="181C20"/>
        </w:rPr>
        <w:t xml:space="preserve">594,543</w:t>
      </w:r>
    </w:p>
    <w:p>
      <w:pPr/>
      <w:r>
        <w:rPr>
          <w:rFonts w:ascii="Arial" w:hAnsi="Arial" w:cs="Arial"/>
          <w:sz w:val="25"/>
          <w:sz-cs w:val="25"/>
          <w:spacing w:val="0"/>
          <w:color w:val="181C20"/>
        </w:rPr>
        <w:t xml:space="preserve">Duplicate NCT IDs</w:t>
      </w:r>
    </w:p>
    <w:p>
      <w:pPr>
        <w:jc w:val="right"/>
      </w:pPr>
      <w:r>
        <w:rPr>
          <w:rFonts w:ascii="Arial" w:hAnsi="Arial" w:cs="Arial"/>
          <w:sz w:val="25"/>
          <w:sz-cs w:val="25"/>
          <w:spacing w:val="0"/>
          <w:color w:val="181C20"/>
        </w:rPr>
        <w:t xml:space="preserve">0</w:t>
      </w:r>
    </w:p>
    <w:p>
      <w:pPr/>
      <w:r>
        <w:rPr>
          <w:rFonts w:ascii="Arial" w:hAnsi="Arial" w:cs="Arial"/>
          <w:sz w:val="25"/>
          <w:sz-cs w:val="25"/>
          <w:spacing w:val="0"/>
          <w:color w:val="181C20"/>
        </w:rPr>
        <w:t xml:space="preserve">Missing NCT IDs</w:t>
      </w:r>
    </w:p>
    <w:p>
      <w:pPr>
        <w:jc w:val="right"/>
      </w:pPr>
      <w:r>
        <w:rPr>
          <w:rFonts w:ascii="Arial" w:hAnsi="Arial" w:cs="Arial"/>
          <w:sz w:val="25"/>
          <w:sz-cs w:val="25"/>
          <w:spacing w:val="0"/>
          <w:color w:val="181C20"/>
        </w:rPr>
        <w:t xml:space="preserve">0</w:t>
      </w:r>
    </w:p>
    <w:p>
      <w:pPr/>
      <w:r>
        <w:rPr>
          <w:rFonts w:ascii="Arial" w:hAnsi="Arial" w:cs="Arial"/>
          <w:sz w:val="25"/>
          <w:sz-cs w:val="25"/>
          <w:spacing w:val="0"/>
          <w:color w:val="181C20"/>
        </w:rPr>
        <w:t xml:space="preserve">Missing raw pages</w:t>
      </w:r>
    </w:p>
    <w:p>
      <w:pPr>
        <w:jc w:val="right"/>
      </w:pPr>
      <w:r>
        <w:rPr>
          <w:rFonts w:ascii="Arial" w:hAnsi="Arial" w:cs="Arial"/>
          <w:sz w:val="25"/>
          <w:sz-cs w:val="25"/>
          <w:spacing w:val="0"/>
          <w:color w:val="181C20"/>
        </w:rPr>
        <w:t xml:space="preserve">0</w:t>
      </w:r>
    </w:p>
    <w:p>
      <w:pPr/>
      <w:r>
        <w:rPr>
          <w:rFonts w:ascii="Arial" w:hAnsi="Arial" w:cs="Arial"/>
          <w:sz w:val="25"/>
          <w:sz-cs w:val="25"/>
          <w:spacing w:val="0"/>
          <w:color w:val="181C20"/>
        </w:rPr>
        <w:t xml:space="preserve">SHA-256 failures</w:t>
      </w:r>
    </w:p>
    <w:p>
      <w:pPr>
        <w:jc w:val="right"/>
      </w:pPr>
      <w:r>
        <w:rPr>
          <w:rFonts w:ascii="Arial" w:hAnsi="Arial" w:cs="Arial"/>
          <w:sz w:val="25"/>
          <w:sz-cs w:val="25"/>
          <w:spacing w:val="0"/>
          <w:color w:val="181C20"/>
        </w:rPr>
        <w:t xml:space="preserve">0</w:t>
      </w:r>
    </w:p>
    <w:p>
      <w:pPr/>
      <w:r>
        <w:rPr>
          <w:rFonts w:ascii="Arial" w:hAnsi="Arial" w:cs="Arial"/>
          <w:sz w:val="25"/>
          <w:sz-cs w:val="25"/>
          <w:spacing w:val="0"/>
          <w:color w:val="181C20"/>
        </w:rPr>
        <w:t xml:space="preserve">Raw snapshot size</w:t>
      </w:r>
    </w:p>
    <w:p>
      <w:pPr/>
      <w:r>
        <w:rPr>
          <w:rFonts w:ascii="Arial" w:hAnsi="Arial" w:cs="Arial"/>
          <w:sz w:val="25"/>
          <w:sz-cs w:val="25"/>
          <w:spacing w:val="0"/>
          <w:color w:val="181C20"/>
        </w:rPr>
        <w:t xml:space="preserve">601,337,516 bytes (approximately 575 MB on disk)</w:t>
      </w:r>
    </w:p>
    <w:p>
      <w:pPr>
        <w:spacing w:after="160"/>
      </w:pPr>
      <w:r>
        <w:rPr>
          <w:rFonts w:ascii="Arial" w:hAnsi="Arial" w:cs="Arial"/>
          <w:sz w:val="29"/>
          <w:sz-cs w:val="29"/>
          <w:spacing w:val="0"/>
          <w:color w:val="181C20"/>
        </w:rPr>
        <w:t xml:space="preserve">The full run initially encountered repeated TLS EOF failures during long sequential pagination. A minimal resume mechanism was added and tested so that already written pages remained byte-for-byte unchanged and harvesting continued from the last saved next-page token. The final manifest records that the successful run resumed after page 413.</w:t>
      </w:r>
    </w:p>
    <w:p>
      <w:pPr>
        <w:spacing w:after="213"/>
      </w:pPr>
      <w:r>
        <w:rPr>
          <w:rFonts w:ascii="Arial" w:hAnsi="Arial" w:cs="Arial"/>
          <w:sz w:val="42"/>
          <w:sz-cs w:val="42"/>
          <w:b/>
          <w:spacing w:val="0"/>
          <w:color w:val="255FA6"/>
        </w:rPr>
        <w:t xml:space="preserve">3. Temporal Variable and Cohort Definitions</w:t>
      </w:r>
    </w:p>
    <w:p>
      <w:pPr>
        <w:spacing w:after="160"/>
      </w:pPr>
      <w:r>
        <w:rPr>
          <w:rFonts w:ascii="Arial" w:hAnsi="Arial" w:cs="Arial"/>
          <w:sz w:val="29"/>
          <w:sz-cs w:val="29"/>
          <w:spacing w:val="0"/>
          <w:color w:val="181C20"/>
        </w:rPr>
        <w:t xml:space="preserve">The temporal source is:</w:t>
      </w:r>
    </w:p>
    <w:p>
      <w:pPr>
        <w:spacing w:after="160"/>
      </w:pPr>
      <w:r>
        <w:rPr>
          <w:rFonts w:ascii="Menlo" w:hAnsi="Menlo" w:cs="Menlo"/>
          <w:sz w:val="24"/>
          <w:sz-cs w:val="24"/>
          <w:spacing w:val="0"/>
          <w:color w:val="13284B"/>
        </w:rPr>
        <w:t xml:space="preserve">protocolSection.statusModule.startDateStruct.date</w:t>
      </w:r>
      <w:r>
        <w:rPr>
          <w:rFonts w:ascii="Arial" w:hAnsi="Arial" w:cs="Arial"/>
          <w:sz w:val="29"/>
          <w:sz-cs w:val="29"/>
          <w:spacing w:val="0"/>
          <w:color w:val="181C20"/>
        </w:rPr>
        <w:t xml:space="preserve"/>
      </w:r>
    </w:p>
    <w:p>
      <w:pPr>
        <w:spacing w:after="160"/>
      </w:pPr>
      <w:r>
        <w:rPr>
          <w:rFonts w:ascii="Arial" w:hAnsi="Arial" w:cs="Arial"/>
          <w:sz w:val="29"/>
          <w:sz-cs w:val="29"/>
          <w:spacing w:val="0"/>
          <w:color w:val="181C20"/>
        </w:rPr>
        <w:t xml:space="preserve">The accompanying type is:</w:t>
      </w:r>
    </w:p>
    <w:p>
      <w:pPr>
        <w:spacing w:after="160"/>
      </w:pPr>
      <w:r>
        <w:rPr>
          <w:rFonts w:ascii="Menlo" w:hAnsi="Menlo" w:cs="Menlo"/>
          <w:sz w:val="24"/>
          <w:sz-cs w:val="24"/>
          <w:spacing w:val="0"/>
          <w:color w:val="13284B"/>
        </w:rPr>
        <w:t xml:space="preserve">protocolSection.statusModule.startDateStruct.type</w:t>
      </w:r>
      <w:r>
        <w:rPr>
          <w:rFonts w:ascii="Arial" w:hAnsi="Arial" w:cs="Arial"/>
          <w:sz w:val="29"/>
          <w:sz-cs w:val="29"/>
          <w:spacing w:val="0"/>
          <w:color w:val="181C20"/>
        </w:rPr>
        <w:t xml:space="preserve"/>
      </w:r>
    </w:p>
    <w:p>
      <w:pPr>
        <w:spacing w:after="160"/>
      </w:pPr>
      <w:r>
        <w:rPr>
          <w:rFonts w:ascii="Arial" w:hAnsi="Arial" w:cs="Arial"/>
          <w:sz w:val="29"/>
          <w:sz-cs w:val="29"/>
          <w:spacing w:val="0"/>
          <w:color w:val="181C20"/>
        </w:rPr>
        <w:t xml:space="preserve">The deterministic reference date is the UTC harvest date in the manifest: </w:t>
      </w:r>
      <w:r>
        <w:rPr>
          <w:rFonts w:ascii="Arial" w:hAnsi="Arial" w:cs="Arial"/>
          <w:sz w:val="29"/>
          <w:sz-cs w:val="29"/>
          <w:b/>
          <w:spacing w:val="0"/>
          <w:color w:val="181C20"/>
        </w:rPr>
        <w:t xml:space="preserve">20 July 2026</w:t>
      </w:r>
      <w:r>
        <w:rPr>
          <w:rFonts w:ascii="Arial" w:hAnsi="Arial" w:cs="Arial"/>
          <w:sz w:val="29"/>
          <w:sz-cs w:val="29"/>
          <w:spacing w:val="0"/>
          <w:color w:val="181C20"/>
        </w:rPr>
        <w:t xml:space="preserve">. Calendar-year subtraction is used rather than 365-day approximations.</w:t>
      </w:r>
    </w:p>
    <w:p>
      <w:pPr>
        <w:jc w:val="center"/>
      </w:pPr>
      <w:r>
        <w:rPr>
          <w:rFonts w:ascii="Arial" w:hAnsi="Arial" w:cs="Arial"/>
          <w:sz w:val="25"/>
          <w:sz-cs w:val="25"/>
          <w:b/>
          <w:spacing w:val="0"/>
          <w:color w:val="13284B"/>
        </w:rPr>
        <w:t xml:space="preserve">Cohort</w:t>
      </w:r>
    </w:p>
    <w:p>
      <w:pPr>
        <w:jc w:val="center"/>
      </w:pPr>
      <w:r>
        <w:rPr>
          <w:rFonts w:ascii="Arial" w:hAnsi="Arial" w:cs="Arial"/>
          <w:sz w:val="25"/>
          <w:sz-cs w:val="25"/>
          <w:b/>
          <w:spacing w:val="0"/>
          <w:color w:val="13284B"/>
        </w:rPr>
        <w:t xml:space="preserve">Exact definition</w:t>
      </w:r>
    </w:p>
    <w:p>
      <w:pPr>
        <w:jc w:val="center"/>
      </w:pPr>
      <w:r>
        <w:rPr>
          <w:rFonts w:ascii="Arial" w:hAnsi="Arial" w:cs="Arial"/>
          <w:sz w:val="25"/>
          <w:sz-cs w:val="25"/>
          <w:b/>
          <w:spacing w:val="0"/>
          <w:color w:val="13284B"/>
        </w:rPr>
        <w:t xml:space="preserve">Count</w:t>
      </w:r>
    </w:p>
    <w:p>
      <w:pPr/>
      <w:r>
        <w:rPr>
          <w:rFonts w:ascii="Arial" w:hAnsi="Arial" w:cs="Arial"/>
          <w:sz w:val="25"/>
          <w:sz-cs w:val="25"/>
          <w:spacing w:val="0"/>
          <w:color w:val="181C20"/>
        </w:rPr>
        <w:t xml:space="preserve">RECENT_3Y</w:t>
      </w:r>
    </w:p>
    <w:p>
      <w:pPr/>
      <w:r>
        <w:rPr>
          <w:rFonts w:ascii="Arial" w:hAnsi="Arial" w:cs="Arial"/>
          <w:sz w:val="25"/>
          <w:sz-cs w:val="25"/>
          <w:spacing w:val="0"/>
          <w:color w:val="181C20"/>
        </w:rPr>
        <w:t xml:space="preserve">20 Jul 2023 &lt; Start Date ≤ 20 Jul 2026</w:t>
      </w:r>
    </w:p>
    <w:p>
      <w:pPr>
        <w:jc w:val="right"/>
      </w:pPr>
      <w:r>
        <w:rPr>
          <w:rFonts w:ascii="Arial" w:hAnsi="Arial" w:cs="Arial"/>
          <w:sz w:val="25"/>
          <w:sz-cs w:val="25"/>
          <w:spacing w:val="0"/>
          <w:color w:val="181C20"/>
        </w:rPr>
        <w:t xml:space="preserve">118,419</w:t>
      </w:r>
    </w:p>
    <w:p>
      <w:pPr/>
      <w:r>
        <w:rPr>
          <w:rFonts w:ascii="Arial" w:hAnsi="Arial" w:cs="Arial"/>
          <w:sz w:val="25"/>
          <w:sz-cs w:val="25"/>
          <w:spacing w:val="0"/>
          <w:color w:val="181C20"/>
        </w:rPr>
        <w:t xml:space="preserve">YEARS_4_TO_6_AGO</w:t>
      </w:r>
    </w:p>
    <w:p>
      <w:pPr/>
      <w:r>
        <w:rPr>
          <w:rFonts w:ascii="Arial" w:hAnsi="Arial" w:cs="Arial"/>
          <w:sz w:val="25"/>
          <w:sz-cs w:val="25"/>
          <w:spacing w:val="0"/>
          <w:color w:val="181C20"/>
        </w:rPr>
        <w:t xml:space="preserve">20 Jul 2020 &lt; Start Date ≤ 20 Jul 2023</w:t>
      </w:r>
    </w:p>
    <w:p>
      <w:pPr>
        <w:jc w:val="right"/>
      </w:pPr>
      <w:r>
        <w:rPr>
          <w:rFonts w:ascii="Arial" w:hAnsi="Arial" w:cs="Arial"/>
          <w:sz w:val="25"/>
          <w:sz-cs w:val="25"/>
          <w:spacing w:val="0"/>
          <w:color w:val="181C20"/>
        </w:rPr>
        <w:t xml:space="preserve">114,102</w:t>
      </w:r>
    </w:p>
    <w:p>
      <w:pPr/>
      <w:r>
        <w:rPr>
          <w:rFonts w:ascii="Arial" w:hAnsi="Arial" w:cs="Arial"/>
          <w:sz w:val="25"/>
          <w:sz-cs w:val="25"/>
          <w:spacing w:val="0"/>
          <w:color w:val="181C20"/>
        </w:rPr>
        <w:t xml:space="preserve">OLDER_THAN_6Y</w:t>
      </w:r>
    </w:p>
    <w:p>
      <w:pPr/>
      <w:r>
        <w:rPr>
          <w:rFonts w:ascii="Arial" w:hAnsi="Arial" w:cs="Arial"/>
          <w:sz w:val="25"/>
          <w:sz-cs w:val="25"/>
          <w:spacing w:val="0"/>
          <w:color w:val="181C20"/>
        </w:rPr>
        <w:t xml:space="preserve">Start Date ≤ 20 Jul 2020</w:t>
      </w:r>
    </w:p>
    <w:p>
      <w:pPr>
        <w:jc w:val="right"/>
      </w:pPr>
      <w:r>
        <w:rPr>
          <w:rFonts w:ascii="Arial" w:hAnsi="Arial" w:cs="Arial"/>
          <w:sz w:val="25"/>
          <w:sz-cs w:val="25"/>
          <w:spacing w:val="0"/>
          <w:color w:val="181C20"/>
        </w:rPr>
        <w:t xml:space="preserve">351,491</w:t>
      </w:r>
    </w:p>
    <w:p>
      <w:pPr/>
      <w:r>
        <w:rPr>
          <w:rFonts w:ascii="Arial" w:hAnsi="Arial" w:cs="Arial"/>
          <w:sz w:val="25"/>
          <w:sz-cs w:val="25"/>
          <w:spacing w:val="0"/>
          <w:color w:val="181C20"/>
        </w:rPr>
        <w:t xml:space="preserve">FUTURE</w:t>
      </w:r>
    </w:p>
    <w:p>
      <w:pPr/>
      <w:r>
        <w:rPr>
          <w:rFonts w:ascii="Arial" w:hAnsi="Arial" w:cs="Arial"/>
          <w:sz w:val="25"/>
          <w:sz-cs w:val="25"/>
          <w:spacing w:val="0"/>
          <w:color w:val="181C20"/>
        </w:rPr>
        <w:t xml:space="preserve">Start Date &gt; 20 Jul 2026</w:t>
      </w:r>
    </w:p>
    <w:p>
      <w:pPr>
        <w:jc w:val="right"/>
      </w:pPr>
      <w:r>
        <w:rPr>
          <w:rFonts w:ascii="Arial" w:hAnsi="Arial" w:cs="Arial"/>
          <w:sz w:val="25"/>
          <w:sz-cs w:val="25"/>
          <w:spacing w:val="0"/>
          <w:color w:val="181C20"/>
        </w:rPr>
        <w:t xml:space="preserve">4,168</w:t>
      </w:r>
    </w:p>
    <w:p>
      <w:pPr/>
      <w:r>
        <w:rPr>
          <w:rFonts w:ascii="Arial" w:hAnsi="Arial" w:cs="Arial"/>
          <w:sz w:val="25"/>
          <w:sz-cs w:val="25"/>
          <w:spacing w:val="0"/>
          <w:color w:val="181C20"/>
        </w:rPr>
        <w:t xml:space="preserve">TIME_UNKNOWN</w:t>
      </w:r>
    </w:p>
    <w:p>
      <w:pPr/>
      <w:r>
        <w:rPr>
          <w:rFonts w:ascii="Arial" w:hAnsi="Arial" w:cs="Arial"/>
          <w:sz w:val="25"/>
          <w:sz-cs w:val="25"/>
          <w:spacing w:val="0"/>
          <w:color w:val="181C20"/>
        </w:rPr>
        <w:t xml:space="preserve">Missing or unparseable Start Date</w:t>
      </w:r>
    </w:p>
    <w:p>
      <w:pPr>
        <w:jc w:val="right"/>
      </w:pPr>
      <w:r>
        <w:rPr>
          <w:rFonts w:ascii="Arial" w:hAnsi="Arial" w:cs="Arial"/>
          <w:sz w:val="25"/>
          <w:sz-cs w:val="25"/>
          <w:spacing w:val="0"/>
          <w:color w:val="181C20"/>
        </w:rPr>
        <w:t xml:space="preserve">5,348</w:t>
      </w:r>
    </w:p>
    <w:p>
      <w:pPr/>
      <w:r>
        <w:rPr>
          <w:rFonts w:ascii="Arial" w:hAnsi="Arial" w:cs="Arial"/>
          <w:sz w:val="25"/>
          <w:sz-cs w:val="25"/>
          <w:spacing w:val="0"/>
          <w:color w:val="181C20"/>
        </w:rPr>
        <w:t xml:space="preserve">TIME_AMBIGUOUS</w:t>
      </w:r>
    </w:p>
    <w:p>
      <w:pPr/>
      <w:r>
        <w:rPr>
          <w:rFonts w:ascii="Arial" w:hAnsi="Arial" w:cs="Arial"/>
          <w:sz w:val="25"/>
          <w:sz-cs w:val="25"/>
          <w:spacing w:val="0"/>
          <w:color w:val="181C20"/>
        </w:rPr>
        <w:t xml:space="preserve">Partial-date interval crosses a cohort boundary</w:t>
      </w:r>
    </w:p>
    <w:p>
      <w:pPr>
        <w:jc w:val="right"/>
      </w:pPr>
      <w:r>
        <w:rPr>
          <w:rFonts w:ascii="Arial" w:hAnsi="Arial" w:cs="Arial"/>
          <w:sz w:val="25"/>
          <w:sz-cs w:val="25"/>
          <w:spacing w:val="0"/>
          <w:color w:val="181C20"/>
        </w:rPr>
        <w:t xml:space="preserve">1,015</w:t>
      </w:r>
    </w:p>
    <w:p>
      <w:pPr>
        <w:spacing w:after="160"/>
      </w:pPr>
      <w:r>
        <w:rPr>
          <w:rFonts w:ascii="Arial" w:hAnsi="Arial" w:cs="Arial"/>
          <w:sz w:val="29"/>
          <w:sz-cs w:val="29"/>
          <w:spacing w:val="0"/>
          <w:color w:val="181C20"/>
        </w:rPr>
        <w:t xml:space="preserve">Partial dates are handled conservatively as intervals. A month represents its first through last calendar day, and a year represents 1 January through 31 December. A partial date is assigned only when its entire possible interval falls within one cohort.</w:t>
      </w:r>
    </w:p>
    <w:p>
      <w:pPr>
        <w:spacing w:after="213"/>
      </w:pPr>
      <w:r>
        <w:rPr>
          <w:rFonts w:ascii="Arial" w:hAnsi="Arial" w:cs="Arial"/>
          <w:sz w:val="42"/>
          <w:sz-cs w:val="42"/>
          <w:b/>
          <w:spacing w:val="0"/>
          <w:color w:val="255FA6"/>
        </w:rPr>
        <w:t xml:space="preserve">4. Start Date Coverage</w:t>
      </w:r>
    </w:p>
    <w:p>
      <w:pPr>
        <w:jc w:val="center"/>
      </w:pPr>
      <w:r>
        <w:rPr>
          <w:rFonts w:ascii="Arial" w:hAnsi="Arial" w:cs="Arial"/>
          <w:sz w:val="25"/>
          <w:sz-cs w:val="25"/>
          <w:b/>
          <w:spacing w:val="0"/>
          <w:color w:val="13284B"/>
        </w:rPr>
        <w:t xml:space="preserve">Date precision</w:t>
      </w:r>
    </w:p>
    <w:p>
      <w:pPr>
        <w:jc w:val="center"/>
      </w:pPr>
      <w:r>
        <w:rPr>
          <w:rFonts w:ascii="Arial" w:hAnsi="Arial" w:cs="Arial"/>
          <w:sz w:val="25"/>
          <w:sz-cs w:val="25"/>
          <w:b/>
          <w:spacing w:val="0"/>
          <w:color w:val="13284B"/>
        </w:rPr>
        <w:t xml:space="preserve">Count</w:t>
      </w:r>
    </w:p>
    <w:p>
      <w:pPr/>
      <w:r>
        <w:rPr>
          <w:rFonts w:ascii="Arial" w:hAnsi="Arial" w:cs="Arial"/>
          <w:sz w:val="25"/>
          <w:sz-cs w:val="25"/>
          <w:spacing w:val="0"/>
          <w:color w:val="181C20"/>
        </w:rPr>
        <w:t xml:space="preserve">DAY</w:t>
      </w:r>
    </w:p>
    <w:p>
      <w:pPr>
        <w:jc w:val="right"/>
      </w:pPr>
      <w:r>
        <w:rPr>
          <w:rFonts w:ascii="Arial" w:hAnsi="Arial" w:cs="Arial"/>
          <w:sz w:val="25"/>
          <w:sz-cs w:val="25"/>
          <w:spacing w:val="0"/>
          <w:color w:val="181C20"/>
        </w:rPr>
        <w:t xml:space="preserve">371,214</w:t>
      </w:r>
    </w:p>
    <w:p>
      <w:pPr/>
      <w:r>
        <w:rPr>
          <w:rFonts w:ascii="Arial" w:hAnsi="Arial" w:cs="Arial"/>
          <w:sz w:val="25"/>
          <w:sz-cs w:val="25"/>
          <w:spacing w:val="0"/>
          <w:color w:val="181C20"/>
        </w:rPr>
        <w:t xml:space="preserve">MONTH</w:t>
      </w:r>
    </w:p>
    <w:p>
      <w:pPr>
        <w:jc w:val="right"/>
      </w:pPr>
      <w:r>
        <w:rPr>
          <w:rFonts w:ascii="Arial" w:hAnsi="Arial" w:cs="Arial"/>
          <w:sz w:val="25"/>
          <w:sz-cs w:val="25"/>
          <w:spacing w:val="0"/>
          <w:color w:val="181C20"/>
        </w:rPr>
        <w:t xml:space="preserve">217,981</w:t>
      </w:r>
    </w:p>
    <w:p>
      <w:pPr/>
      <w:r>
        <w:rPr>
          <w:rFonts w:ascii="Arial" w:hAnsi="Arial" w:cs="Arial"/>
          <w:sz w:val="25"/>
          <w:sz-cs w:val="25"/>
          <w:spacing w:val="0"/>
          <w:color w:val="181C20"/>
        </w:rPr>
        <w:t xml:space="preserve">YEAR</w:t>
      </w:r>
    </w:p>
    <w:p>
      <w:pPr>
        <w:jc w:val="right"/>
      </w:pPr>
      <w:r>
        <w:rPr>
          <w:rFonts w:ascii="Arial" w:hAnsi="Arial" w:cs="Arial"/>
          <w:sz w:val="25"/>
          <w:sz-cs w:val="25"/>
          <w:spacing w:val="0"/>
          <w:color w:val="181C20"/>
        </w:rPr>
        <w:t xml:space="preserve">0</w:t>
      </w:r>
    </w:p>
    <w:p>
      <w:pPr/>
      <w:r>
        <w:rPr>
          <w:rFonts w:ascii="Arial" w:hAnsi="Arial" w:cs="Arial"/>
          <w:sz w:val="25"/>
          <w:sz-cs w:val="25"/>
          <w:spacing w:val="0"/>
          <w:color w:val="181C20"/>
        </w:rPr>
        <w:t xml:space="preserve">MISSING</w:t>
      </w:r>
    </w:p>
    <w:p>
      <w:pPr>
        <w:jc w:val="right"/>
      </w:pPr>
      <w:r>
        <w:rPr>
          <w:rFonts w:ascii="Arial" w:hAnsi="Arial" w:cs="Arial"/>
          <w:sz w:val="25"/>
          <w:sz-cs w:val="25"/>
          <w:spacing w:val="0"/>
          <w:color w:val="181C20"/>
        </w:rPr>
        <w:t xml:space="preserve">5,348</w:t>
      </w:r>
    </w:p>
    <w:p>
      <w:pPr/>
      <w:r>
        <w:rPr>
          <w:rFonts w:ascii="Arial" w:hAnsi="Arial" w:cs="Arial"/>
          <w:sz w:val="25"/>
          <w:sz-cs w:val="25"/>
          <w:spacing w:val="0"/>
          <w:color w:val="181C20"/>
        </w:rPr>
        <w:t xml:space="preserve">UNPARSEABLE</w:t>
      </w:r>
    </w:p>
    <w:p>
      <w:pPr>
        <w:jc w:val="right"/>
      </w:pPr>
      <w:r>
        <w:rPr>
          <w:rFonts w:ascii="Arial" w:hAnsi="Arial" w:cs="Arial"/>
          <w:sz w:val="25"/>
          <w:sz-cs w:val="25"/>
          <w:spacing w:val="0"/>
          <w:color w:val="181C20"/>
        </w:rPr>
        <w:t xml:space="preserve">0</w:t>
      </w:r>
    </w:p>
    <w:p>
      <w:pPr>
        <w:spacing w:after="160"/>
      </w:pPr>
      <w:r>
        <w:rPr>
          <w:rFonts w:ascii="Arial" w:hAnsi="Arial" w:cs="Arial"/>
          <w:sz w:val="29"/>
          <w:sz-cs w:val="29"/>
          <w:spacing w:val="0"/>
          <w:color w:val="181C20"/>
        </w:rPr>
        <w:t xml:space="preserve">Overall, </w:t>
      </w:r>
      <w:r>
        <w:rPr>
          <w:rFonts w:ascii="Arial" w:hAnsi="Arial" w:cs="Arial"/>
          <w:sz w:val="29"/>
          <w:sz-cs w:val="29"/>
          <w:b/>
          <w:spacing w:val="0"/>
          <w:color w:val="181C20"/>
        </w:rPr>
        <w:t xml:space="preserve">589,195 studies (99.10%)</w:t>
      </w:r>
      <w:r>
        <w:rPr>
          <w:rFonts w:ascii="Arial" w:hAnsi="Arial" w:cs="Arial"/>
          <w:sz w:val="29"/>
          <w:sz-cs w:val="29"/>
          <w:spacing w:val="0"/>
          <w:color w:val="181C20"/>
        </w:rPr>
        <w:t xml:space="preserve"> had a usable registered Start Date. Observed StartDateType values were ACTUAL (347,984), ESTIMATED (60,254), and missing (186,305). A missing StartDateType does not necessarily mean that the date itself is missing.</w:t>
      </w:r>
    </w:p>
    <w:p>
      <w:pPr>
        <w:spacing w:after="213"/>
      </w:pPr>
      <w:r>
        <w:rPr>
          <w:rFonts w:ascii="Arial" w:hAnsi="Arial" w:cs="Arial"/>
          <w:sz w:val="42"/>
          <w:sz-cs w:val="42"/>
          <w:b/>
          <w:spacing w:val="0"/>
          <w:color w:val="255FA6"/>
        </w:rPr>
        <w:t xml:space="preserve">5. Geographic Results by Time Period</w:t>
      </w:r>
    </w:p>
    <w:p>
      <w:pPr>
        <w:spacing w:after="160"/>
      </w:pPr>
      <w:r>
        <w:rPr>
          <w:rFonts w:ascii="Arial" w:hAnsi="Arial" w:cs="Arial"/>
          <w:sz w:val="34"/>
          <w:sz-cs w:val="34"/>
          <w:b/>
          <w:spacing w:val="0"/>
          <w:color w:val="255FA6"/>
        </w:rPr>
        <w:t xml:space="preserve">Recent 3Y</w:t>
      </w:r>
    </w:p>
    <w:p>
      <w:pPr>
        <w:spacing w:after="160"/>
      </w:pPr>
      <w:r>
        <w:rPr>
          <w:rFonts w:ascii="Arial" w:hAnsi="Arial" w:cs="Arial"/>
          <w:sz w:val="29"/>
          <w:sz-cs w:val="29"/>
          <w:spacing w:val="0"/>
          <w:color w:val="181C20"/>
        </w:rPr>
        <w:t xml:space="preserve">The cohort contains </w:t>
      </w:r>
      <w:r>
        <w:rPr>
          <w:rFonts w:ascii="Arial" w:hAnsi="Arial" w:cs="Arial"/>
          <w:sz w:val="29"/>
          <w:sz-cs w:val="29"/>
          <w:b/>
          <w:spacing w:val="0"/>
          <w:color w:val="181C20"/>
        </w:rPr>
        <w:t xml:space="preserve">118,419 studies</w:t>
      </w:r>
      <w:r>
        <w:rPr>
          <w:rFonts w:ascii="Arial" w:hAnsi="Arial" w:cs="Arial"/>
          <w:sz w:val="29"/>
          <w:sz-cs w:val="29"/>
          <w:spacing w:val="0"/>
          <w:color w:val="181C20"/>
        </w:rPr>
        <w:t xml:space="preserve">, of which </w:t>
      </w:r>
      <w:r>
        <w:rPr>
          <w:rFonts w:ascii="Arial" w:hAnsi="Arial" w:cs="Arial"/>
          <w:sz w:val="29"/>
          <w:sz-cs w:val="29"/>
          <w:b/>
          <w:spacing w:val="0"/>
          <w:color w:val="181C20"/>
        </w:rPr>
        <w:t xml:space="preserve">104,069</w:t>
      </w:r>
      <w:r>
        <w:rPr>
          <w:rFonts w:ascii="Arial" w:hAnsi="Arial" w:cs="Arial"/>
          <w:sz w:val="29"/>
          <w:sz-cs w:val="29"/>
          <w:spacing w:val="0"/>
          <w:color w:val="181C20"/>
        </w:rPr>
        <w:t xml:space="preserve"> have known location data.</w:t>
      </w:r>
    </w:p>
    <w:p>
      <w:pPr>
        <w:jc w:val="center"/>
      </w:pPr>
      <w:r>
        <w:rPr>
          <w:rFonts w:ascii="Arial" w:hAnsi="Arial" w:cs="Arial"/>
          <w:sz w:val="25"/>
          <w:sz-cs w:val="25"/>
          <w:b/>
          <w:spacing w:val="0"/>
          <w:color w:val="13284B"/>
        </w:rPr>
        <w:t xml:space="preserve">Geographic category</w:t>
      </w:r>
    </w:p>
    <w:p>
      <w:pPr>
        <w:jc w:val="center"/>
      </w:pPr>
      <w:r>
        <w:rPr>
          <w:rFonts w:ascii="Arial" w:hAnsi="Arial" w:cs="Arial"/>
          <w:sz w:val="25"/>
          <w:sz-cs w:val="25"/>
          <w:b/>
          <w:spacing w:val="0"/>
          <w:color w:val="13284B"/>
        </w:rPr>
        <w:t xml:space="preserve">Count</w:t>
      </w:r>
    </w:p>
    <w:p>
      <w:pPr>
        <w:jc w:val="center"/>
      </w:pPr>
      <w:r>
        <w:rPr>
          <w:rFonts w:ascii="Arial" w:hAnsi="Arial" w:cs="Arial"/>
          <w:sz w:val="25"/>
          <w:sz-cs w:val="25"/>
          <w:b/>
          <w:spacing w:val="0"/>
          <w:color w:val="13284B"/>
        </w:rPr>
        <w:t xml:space="preserve">% of cohort</w:t>
      </w:r>
    </w:p>
    <w:p>
      <w:pPr>
        <w:jc w:val="center"/>
      </w:pPr>
      <w:r>
        <w:rPr>
          <w:rFonts w:ascii="Arial" w:hAnsi="Arial" w:cs="Arial"/>
          <w:sz w:val="25"/>
          <w:sz-cs w:val="25"/>
          <w:b/>
          <w:spacing w:val="0"/>
          <w:color w:val="13284B"/>
        </w:rPr>
        <w:t xml:space="preserve">% of known-location</w:t>
      </w:r>
    </w:p>
    <w:p>
      <w:pPr/>
      <w:r>
        <w:rPr>
          <w:rFonts w:ascii="Arial" w:hAnsi="Arial" w:cs="Arial"/>
          <w:sz w:val="25"/>
          <w:sz-cs w:val="25"/>
          <w:spacing w:val="0"/>
          <w:color w:val="181C20"/>
        </w:rPr>
        <w:t xml:space="preserve">UNKNOWN</w:t>
      </w:r>
    </w:p>
    <w:p>
      <w:pPr>
        <w:jc w:val="right"/>
      </w:pPr>
      <w:r>
        <w:rPr>
          <w:rFonts w:ascii="Arial" w:hAnsi="Arial" w:cs="Arial"/>
          <w:sz w:val="25"/>
          <w:sz-cs w:val="25"/>
          <w:spacing w:val="0"/>
          <w:color w:val="181C20"/>
        </w:rPr>
        <w:t xml:space="preserve">14,350</w:t>
      </w:r>
    </w:p>
    <w:p>
      <w:pPr>
        <w:jc w:val="right"/>
      </w:pPr>
      <w:r>
        <w:rPr>
          <w:rFonts w:ascii="Arial" w:hAnsi="Arial" w:cs="Arial"/>
          <w:sz w:val="25"/>
          <w:sz-cs w:val="25"/>
          <w:spacing w:val="0"/>
          <w:color w:val="181C20"/>
        </w:rPr>
        <w:t xml:space="preserve">12.1180%</w:t>
      </w:r>
    </w:p>
    <w:p>
      <w:pPr>
        <w:jc w:val="right"/>
      </w:pPr>
      <w:r>
        <w:rPr>
          <w:rFonts w:ascii="Arial" w:hAnsi="Arial" w:cs="Arial"/>
          <w:sz w:val="25"/>
          <w:sz-cs w:val="25"/>
          <w:spacing w:val="0"/>
          <w:color w:val="181C20"/>
        </w:rPr>
        <w:t xml:space="preserve">N/A</w:t>
      </w:r>
    </w:p>
    <w:p>
      <w:pPr/>
      <w:r>
        <w:rPr>
          <w:rFonts w:ascii="Arial" w:hAnsi="Arial" w:cs="Arial"/>
          <w:sz w:val="25"/>
          <w:sz-cs w:val="25"/>
          <w:spacing w:val="0"/>
          <w:color w:val="181C20"/>
        </w:rPr>
        <w:t xml:space="preserve">PERMISSIBLE</w:t>
      </w:r>
    </w:p>
    <w:p>
      <w:pPr>
        <w:jc w:val="right"/>
      </w:pPr>
      <w:r>
        <w:rPr>
          <w:rFonts w:ascii="Arial" w:hAnsi="Arial" w:cs="Arial"/>
          <w:sz w:val="25"/>
          <w:sz-cs w:val="25"/>
          <w:spacing w:val="0"/>
          <w:color w:val="181C20"/>
        </w:rPr>
        <w:t xml:space="preserve">76,519</w:t>
      </w:r>
    </w:p>
    <w:p>
      <w:pPr>
        <w:jc w:val="right"/>
      </w:pPr>
      <w:r>
        <w:rPr>
          <w:rFonts w:ascii="Arial" w:hAnsi="Arial" w:cs="Arial"/>
          <w:sz w:val="25"/>
          <w:sz-cs w:val="25"/>
          <w:spacing w:val="0"/>
          <w:color w:val="181C20"/>
        </w:rPr>
        <w:t xml:space="preserve">64.6172%</w:t>
      </w:r>
    </w:p>
    <w:p>
      <w:pPr>
        <w:jc w:val="right"/>
      </w:pPr>
      <w:r>
        <w:rPr>
          <w:rFonts w:ascii="Arial" w:hAnsi="Arial" w:cs="Arial"/>
          <w:sz w:val="25"/>
          <w:sz-cs w:val="25"/>
          <w:spacing w:val="0"/>
          <w:color w:val="181C20"/>
        </w:rPr>
        <w:t xml:space="preserve">73.5272%</w:t>
      </w:r>
    </w:p>
    <w:p>
      <w:pPr/>
      <w:r>
        <w:rPr>
          <w:rFonts w:ascii="Arial" w:hAnsi="Arial" w:cs="Arial"/>
          <w:sz w:val="25"/>
          <w:sz-cs w:val="25"/>
          <w:spacing w:val="0"/>
          <w:color w:val="181C20"/>
        </w:rPr>
        <w:t xml:space="preserve">US_ONLY</w:t>
      </w:r>
    </w:p>
    <w:p>
      <w:pPr>
        <w:jc w:val="right"/>
      </w:pPr>
      <w:r>
        <w:rPr>
          <w:rFonts w:ascii="Arial" w:hAnsi="Arial" w:cs="Arial"/>
          <w:sz w:val="25"/>
          <w:sz-cs w:val="25"/>
          <w:spacing w:val="0"/>
          <w:color w:val="181C20"/>
        </w:rPr>
        <w:t xml:space="preserve">24,020</w:t>
      </w:r>
    </w:p>
    <w:p>
      <w:pPr>
        <w:jc w:val="right"/>
      </w:pPr>
      <w:r>
        <w:rPr>
          <w:rFonts w:ascii="Arial" w:hAnsi="Arial" w:cs="Arial"/>
          <w:sz w:val="25"/>
          <w:sz-cs w:val="25"/>
          <w:spacing w:val="0"/>
          <w:color w:val="181C20"/>
        </w:rPr>
        <w:t xml:space="preserve">20.2839%</w:t>
      </w:r>
    </w:p>
    <w:p>
      <w:pPr>
        <w:jc w:val="right"/>
      </w:pPr>
      <w:r>
        <w:rPr>
          <w:rFonts w:ascii="Arial" w:hAnsi="Arial" w:cs="Arial"/>
          <w:sz w:val="25"/>
          <w:sz-cs w:val="25"/>
          <w:spacing w:val="0"/>
          <w:color w:val="181C20"/>
        </w:rPr>
        <w:t xml:space="preserve">23.0808%</w:t>
      </w:r>
    </w:p>
    <w:p>
      <w:pPr/>
      <w:r>
        <w:rPr>
          <w:rFonts w:ascii="Arial" w:hAnsi="Arial" w:cs="Arial"/>
          <w:sz w:val="25"/>
          <w:sz-cs w:val="25"/>
          <w:spacing w:val="0"/>
          <w:color w:val="181C20"/>
        </w:rPr>
        <w:t xml:space="preserve">US_NON_CHINA_MULTI</w:t>
      </w:r>
    </w:p>
    <w:p>
      <w:pPr>
        <w:jc w:val="right"/>
      </w:pPr>
      <w:r>
        <w:rPr>
          <w:rFonts w:ascii="Arial" w:hAnsi="Arial" w:cs="Arial"/>
          <w:sz w:val="25"/>
          <w:sz-cs w:val="25"/>
          <w:spacing w:val="0"/>
          <w:color w:val="181C20"/>
        </w:rPr>
        <w:t xml:space="preserve">2,736</w:t>
      </w:r>
    </w:p>
    <w:p>
      <w:pPr>
        <w:jc w:val="right"/>
      </w:pPr>
      <w:r>
        <w:rPr>
          <w:rFonts w:ascii="Arial" w:hAnsi="Arial" w:cs="Arial"/>
          <w:sz w:val="25"/>
          <w:sz-cs w:val="25"/>
          <w:spacing w:val="0"/>
          <w:color w:val="181C20"/>
        </w:rPr>
        <w:t xml:space="preserve">2.3104%</w:t>
      </w:r>
    </w:p>
    <w:p>
      <w:pPr>
        <w:jc w:val="right"/>
      </w:pPr>
      <w:r>
        <w:rPr>
          <w:rFonts w:ascii="Arial" w:hAnsi="Arial" w:cs="Arial"/>
          <w:sz w:val="25"/>
          <w:sz-cs w:val="25"/>
          <w:spacing w:val="0"/>
          <w:color w:val="181C20"/>
        </w:rPr>
        <w:t xml:space="preserve">2.6290%</w:t>
      </w:r>
    </w:p>
    <w:p>
      <w:pPr/>
      <w:r>
        <w:rPr>
          <w:rFonts w:ascii="Arial" w:hAnsi="Arial" w:cs="Arial"/>
          <w:sz w:val="25"/>
          <w:sz-cs w:val="25"/>
          <w:spacing w:val="0"/>
          <w:color w:val="181C20"/>
        </w:rPr>
        <w:t xml:space="preserve">NEXUS</w:t>
      </w:r>
    </w:p>
    <w:p>
      <w:pPr>
        <w:jc w:val="right"/>
      </w:pPr>
      <w:r>
        <w:rPr>
          <w:rFonts w:ascii="Arial" w:hAnsi="Arial" w:cs="Arial"/>
          <w:sz w:val="25"/>
          <w:sz-cs w:val="25"/>
          <w:spacing w:val="0"/>
          <w:color w:val="181C20"/>
        </w:rPr>
        <w:t xml:space="preserve">794</w:t>
      </w:r>
    </w:p>
    <w:p>
      <w:pPr>
        <w:jc w:val="right"/>
      </w:pPr>
      <w:r>
        <w:rPr>
          <w:rFonts w:ascii="Arial" w:hAnsi="Arial" w:cs="Arial"/>
          <w:sz w:val="25"/>
          <w:sz-cs w:val="25"/>
          <w:spacing w:val="0"/>
          <w:color w:val="181C20"/>
        </w:rPr>
        <w:t xml:space="preserve">0.6705%</w:t>
      </w:r>
    </w:p>
    <w:p>
      <w:pPr>
        <w:jc w:val="right"/>
      </w:pPr>
      <w:r>
        <w:rPr>
          <w:rFonts w:ascii="Arial" w:hAnsi="Arial" w:cs="Arial"/>
          <w:sz w:val="25"/>
          <w:sz-cs w:val="25"/>
          <w:spacing w:val="0"/>
          <w:color w:val="181C20"/>
        </w:rPr>
        <w:t xml:space="preserve">0.7630%</w:t>
      </w:r>
    </w:p>
    <w:p>
      <w:pPr/>
      <w:r>
        <w:rPr>
          <w:rFonts w:ascii="Arial" w:hAnsi="Arial" w:cs="Arial"/>
          <w:sz w:val="25"/>
          <w:sz-cs w:val="25"/>
          <w:spacing w:val="0"/>
          <w:color w:val="181C20"/>
        </w:rPr>
        <w:t xml:space="preserve">HAS_US</w:t>
      </w:r>
    </w:p>
    <w:p>
      <w:pPr>
        <w:jc w:val="right"/>
      </w:pPr>
      <w:r>
        <w:rPr>
          <w:rFonts w:ascii="Arial" w:hAnsi="Arial" w:cs="Arial"/>
          <w:sz w:val="25"/>
          <w:sz-cs w:val="25"/>
          <w:spacing w:val="0"/>
          <w:color w:val="181C20"/>
        </w:rPr>
        <w:t xml:space="preserve">27,550</w:t>
      </w:r>
    </w:p>
    <w:p>
      <w:pPr>
        <w:jc w:val="right"/>
      </w:pPr>
      <w:r>
        <w:rPr>
          <w:rFonts w:ascii="Arial" w:hAnsi="Arial" w:cs="Arial"/>
          <w:sz w:val="25"/>
          <w:sz-cs w:val="25"/>
          <w:spacing w:val="0"/>
          <w:color w:val="181C20"/>
        </w:rPr>
        <w:t xml:space="preserve">23.2648%</w:t>
      </w:r>
    </w:p>
    <w:p>
      <w:pPr>
        <w:jc w:val="right"/>
      </w:pPr>
      <w:r>
        <w:rPr>
          <w:rFonts w:ascii="Arial" w:hAnsi="Arial" w:cs="Arial"/>
          <w:sz w:val="25"/>
          <w:sz-cs w:val="25"/>
          <w:spacing w:val="0"/>
          <w:color w:val="181C20"/>
        </w:rPr>
        <w:t xml:space="preserve">26.4728%</w:t>
      </w:r>
    </w:p>
    <w:p>
      <w:pPr>
        <w:spacing w:after="160"/>
      </w:pPr>
      <w:r>
        <w:rPr>
          <w:rFonts w:ascii="Arial" w:hAnsi="Arial" w:cs="Arial"/>
          <w:sz w:val="29"/>
          <w:sz-cs w:val="29"/>
          <w:spacing w:val="0"/>
          <w:color w:val="181C20"/>
        </w:rPr>
        <w:t xml:space="preserve">HAS_US is exactly US_ONLY + US_NON_CHINA_MULTI + NEXUS.</w:t>
      </w:r>
    </w:p>
    <w:p>
      <w:pPr>
        <w:spacing w:after="160"/>
      </w:pPr>
      <w:r>
        <w:rPr>
          <w:rFonts w:ascii="Arial" w:hAnsi="Arial" w:cs="Arial"/>
          <w:sz w:val="34"/>
          <w:sz-cs w:val="34"/>
          <w:b/>
          <w:spacing w:val="0"/>
          <w:color w:val="255FA6"/>
        </w:rPr>
        <w:t xml:space="preserve">4–6 Years Ago</w:t>
      </w:r>
    </w:p>
    <w:p>
      <w:pPr>
        <w:spacing w:after="160"/>
      </w:pPr>
      <w:r>
        <w:rPr>
          <w:rFonts w:ascii="Arial" w:hAnsi="Arial" w:cs="Arial"/>
          <w:sz w:val="29"/>
          <w:sz-cs w:val="29"/>
          <w:spacing w:val="0"/>
          <w:color w:val="181C20"/>
        </w:rPr>
        <w:t xml:space="preserve">The cohort contains </w:t>
      </w:r>
      <w:r>
        <w:rPr>
          <w:rFonts w:ascii="Arial" w:hAnsi="Arial" w:cs="Arial"/>
          <w:sz w:val="29"/>
          <w:sz-cs w:val="29"/>
          <w:b/>
          <w:spacing w:val="0"/>
          <w:color w:val="181C20"/>
        </w:rPr>
        <w:t xml:space="preserve">114,102 studies</w:t>
      </w:r>
      <w:r>
        <w:rPr>
          <w:rFonts w:ascii="Arial" w:hAnsi="Arial" w:cs="Arial"/>
          <w:sz w:val="29"/>
          <w:sz-cs w:val="29"/>
          <w:spacing w:val="0"/>
          <w:color w:val="181C20"/>
        </w:rPr>
        <w:t xml:space="preserve">, of which </w:t>
      </w:r>
      <w:r>
        <w:rPr>
          <w:rFonts w:ascii="Arial" w:hAnsi="Arial" w:cs="Arial"/>
          <w:sz w:val="29"/>
          <w:sz-cs w:val="29"/>
          <w:b/>
          <w:spacing w:val="0"/>
          <w:color w:val="181C20"/>
        </w:rPr>
        <w:t xml:space="preserve">107,331</w:t>
      </w:r>
      <w:r>
        <w:rPr>
          <w:rFonts w:ascii="Arial" w:hAnsi="Arial" w:cs="Arial"/>
          <w:sz w:val="29"/>
          <w:sz-cs w:val="29"/>
          <w:spacing w:val="0"/>
          <w:color w:val="181C20"/>
        </w:rPr>
        <w:t xml:space="preserve"> have known location data.</w:t>
      </w:r>
    </w:p>
    <w:p>
      <w:pPr>
        <w:jc w:val="center"/>
      </w:pPr>
      <w:r>
        <w:rPr>
          <w:rFonts w:ascii="Arial" w:hAnsi="Arial" w:cs="Arial"/>
          <w:sz w:val="25"/>
          <w:sz-cs w:val="25"/>
          <w:b/>
          <w:spacing w:val="0"/>
          <w:color w:val="13284B"/>
        </w:rPr>
        <w:t xml:space="preserve">Geographic category</w:t>
      </w:r>
    </w:p>
    <w:p>
      <w:pPr>
        <w:jc w:val="center"/>
      </w:pPr>
      <w:r>
        <w:rPr>
          <w:rFonts w:ascii="Arial" w:hAnsi="Arial" w:cs="Arial"/>
          <w:sz w:val="25"/>
          <w:sz-cs w:val="25"/>
          <w:b/>
          <w:spacing w:val="0"/>
          <w:color w:val="13284B"/>
        </w:rPr>
        <w:t xml:space="preserve">Count</w:t>
      </w:r>
    </w:p>
    <w:p>
      <w:pPr>
        <w:jc w:val="center"/>
      </w:pPr>
      <w:r>
        <w:rPr>
          <w:rFonts w:ascii="Arial" w:hAnsi="Arial" w:cs="Arial"/>
          <w:sz w:val="25"/>
          <w:sz-cs w:val="25"/>
          <w:b/>
          <w:spacing w:val="0"/>
          <w:color w:val="13284B"/>
        </w:rPr>
        <w:t xml:space="preserve">% of cohort</w:t>
      </w:r>
    </w:p>
    <w:p>
      <w:pPr>
        <w:jc w:val="center"/>
      </w:pPr>
      <w:r>
        <w:rPr>
          <w:rFonts w:ascii="Arial" w:hAnsi="Arial" w:cs="Arial"/>
          <w:sz w:val="25"/>
          <w:sz-cs w:val="25"/>
          <w:b/>
          <w:spacing w:val="0"/>
          <w:color w:val="13284B"/>
        </w:rPr>
        <w:t xml:space="preserve">% of known-location</w:t>
      </w:r>
    </w:p>
    <w:p>
      <w:pPr/>
      <w:r>
        <w:rPr>
          <w:rFonts w:ascii="Arial" w:hAnsi="Arial" w:cs="Arial"/>
          <w:sz w:val="25"/>
          <w:sz-cs w:val="25"/>
          <w:spacing w:val="0"/>
          <w:color w:val="181C20"/>
        </w:rPr>
        <w:t xml:space="preserve">UNKNOWN</w:t>
      </w:r>
    </w:p>
    <w:p>
      <w:pPr>
        <w:jc w:val="right"/>
      </w:pPr>
      <w:r>
        <w:rPr>
          <w:rFonts w:ascii="Arial" w:hAnsi="Arial" w:cs="Arial"/>
          <w:sz w:val="25"/>
          <w:sz-cs w:val="25"/>
          <w:spacing w:val="0"/>
          <w:color w:val="181C20"/>
        </w:rPr>
        <w:t xml:space="preserve">6,771</w:t>
      </w:r>
    </w:p>
    <w:p>
      <w:pPr>
        <w:jc w:val="right"/>
      </w:pPr>
      <w:r>
        <w:rPr>
          <w:rFonts w:ascii="Arial" w:hAnsi="Arial" w:cs="Arial"/>
          <w:sz w:val="25"/>
          <w:sz-cs w:val="25"/>
          <w:spacing w:val="0"/>
          <w:color w:val="181C20"/>
        </w:rPr>
        <w:t xml:space="preserve">5.9342%</w:t>
      </w:r>
    </w:p>
    <w:p>
      <w:pPr>
        <w:jc w:val="right"/>
      </w:pPr>
      <w:r>
        <w:rPr>
          <w:rFonts w:ascii="Arial" w:hAnsi="Arial" w:cs="Arial"/>
          <w:sz w:val="25"/>
          <w:sz-cs w:val="25"/>
          <w:spacing w:val="0"/>
          <w:color w:val="181C20"/>
        </w:rPr>
        <w:t xml:space="preserve">N/A</w:t>
      </w:r>
    </w:p>
    <w:p>
      <w:pPr/>
      <w:r>
        <w:rPr>
          <w:rFonts w:ascii="Arial" w:hAnsi="Arial" w:cs="Arial"/>
          <w:sz w:val="25"/>
          <w:sz-cs w:val="25"/>
          <w:spacing w:val="0"/>
          <w:color w:val="181C20"/>
        </w:rPr>
        <w:t xml:space="preserve">PERMISSIBLE</w:t>
      </w:r>
    </w:p>
    <w:p>
      <w:pPr>
        <w:jc w:val="right"/>
      </w:pPr>
      <w:r>
        <w:rPr>
          <w:rFonts w:ascii="Arial" w:hAnsi="Arial" w:cs="Arial"/>
          <w:sz w:val="25"/>
          <w:sz-cs w:val="25"/>
          <w:spacing w:val="0"/>
          <w:color w:val="181C20"/>
        </w:rPr>
        <w:t xml:space="preserve">76,419</w:t>
      </w:r>
    </w:p>
    <w:p>
      <w:pPr>
        <w:jc w:val="right"/>
      </w:pPr>
      <w:r>
        <w:rPr>
          <w:rFonts w:ascii="Arial" w:hAnsi="Arial" w:cs="Arial"/>
          <w:sz w:val="25"/>
          <w:sz-cs w:val="25"/>
          <w:spacing w:val="0"/>
          <w:color w:val="181C20"/>
        </w:rPr>
        <w:t xml:space="preserve">66.9743%</w:t>
      </w:r>
    </w:p>
    <w:p>
      <w:pPr>
        <w:jc w:val="right"/>
      </w:pPr>
      <w:r>
        <w:rPr>
          <w:rFonts w:ascii="Arial" w:hAnsi="Arial" w:cs="Arial"/>
          <w:sz w:val="25"/>
          <w:sz-cs w:val="25"/>
          <w:spacing w:val="0"/>
          <w:color w:val="181C20"/>
        </w:rPr>
        <w:t xml:space="preserve">71.1994%</w:t>
      </w:r>
    </w:p>
    <w:p>
      <w:pPr/>
      <w:r>
        <w:rPr>
          <w:rFonts w:ascii="Arial" w:hAnsi="Arial" w:cs="Arial"/>
          <w:sz w:val="25"/>
          <w:sz-cs w:val="25"/>
          <w:spacing w:val="0"/>
          <w:color w:val="181C20"/>
        </w:rPr>
        <w:t xml:space="preserve">US_ONLY</w:t>
      </w:r>
    </w:p>
    <w:p>
      <w:pPr>
        <w:jc w:val="right"/>
      </w:pPr>
      <w:r>
        <w:rPr>
          <w:rFonts w:ascii="Arial" w:hAnsi="Arial" w:cs="Arial"/>
          <w:sz w:val="25"/>
          <w:sz-cs w:val="25"/>
          <w:spacing w:val="0"/>
          <w:color w:val="181C20"/>
        </w:rPr>
        <w:t xml:space="preserve">26,602</w:t>
      </w:r>
    </w:p>
    <w:p>
      <w:pPr>
        <w:jc w:val="right"/>
      </w:pPr>
      <w:r>
        <w:rPr>
          <w:rFonts w:ascii="Arial" w:hAnsi="Arial" w:cs="Arial"/>
          <w:sz w:val="25"/>
          <w:sz-cs w:val="25"/>
          <w:spacing w:val="0"/>
          <w:color w:val="181C20"/>
        </w:rPr>
        <w:t xml:space="preserve">23.3142%</w:t>
      </w:r>
    </w:p>
    <w:p>
      <w:pPr>
        <w:jc w:val="right"/>
      </w:pPr>
      <w:r>
        <w:rPr>
          <w:rFonts w:ascii="Arial" w:hAnsi="Arial" w:cs="Arial"/>
          <w:sz w:val="25"/>
          <w:sz-cs w:val="25"/>
          <w:spacing w:val="0"/>
          <w:color w:val="181C20"/>
        </w:rPr>
        <w:t xml:space="preserve">24.7850%</w:t>
      </w:r>
    </w:p>
    <w:p>
      <w:pPr/>
      <w:r>
        <w:rPr>
          <w:rFonts w:ascii="Arial" w:hAnsi="Arial" w:cs="Arial"/>
          <w:sz w:val="25"/>
          <w:sz-cs w:val="25"/>
          <w:spacing w:val="0"/>
          <w:color w:val="181C20"/>
        </w:rPr>
        <w:t xml:space="preserve">US_NON_CHINA_MULTI</w:t>
      </w:r>
    </w:p>
    <w:p>
      <w:pPr>
        <w:jc w:val="right"/>
      </w:pPr>
      <w:r>
        <w:rPr>
          <w:rFonts w:ascii="Arial" w:hAnsi="Arial" w:cs="Arial"/>
          <w:sz w:val="25"/>
          <w:sz-cs w:val="25"/>
          <w:spacing w:val="0"/>
          <w:color w:val="181C20"/>
        </w:rPr>
        <w:t xml:space="preserve">3,647</w:t>
      </w:r>
    </w:p>
    <w:p>
      <w:pPr>
        <w:jc w:val="right"/>
      </w:pPr>
      <w:r>
        <w:rPr>
          <w:rFonts w:ascii="Arial" w:hAnsi="Arial" w:cs="Arial"/>
          <w:sz w:val="25"/>
          <w:sz-cs w:val="25"/>
          <w:spacing w:val="0"/>
          <w:color w:val="181C20"/>
        </w:rPr>
        <w:t xml:space="preserve">3.1963%</w:t>
      </w:r>
    </w:p>
    <w:p>
      <w:pPr>
        <w:jc w:val="right"/>
      </w:pPr>
      <w:r>
        <w:rPr>
          <w:rFonts w:ascii="Arial" w:hAnsi="Arial" w:cs="Arial"/>
          <w:sz w:val="25"/>
          <w:sz-cs w:val="25"/>
          <w:spacing w:val="0"/>
          <w:color w:val="181C20"/>
        </w:rPr>
        <w:t xml:space="preserve">3.3979%</w:t>
      </w:r>
    </w:p>
    <w:p>
      <w:pPr/>
      <w:r>
        <w:rPr>
          <w:rFonts w:ascii="Arial" w:hAnsi="Arial" w:cs="Arial"/>
          <w:sz w:val="25"/>
          <w:sz-cs w:val="25"/>
          <w:spacing w:val="0"/>
          <w:color w:val="181C20"/>
        </w:rPr>
        <w:t xml:space="preserve">NEXUS</w:t>
      </w:r>
    </w:p>
    <w:p>
      <w:pPr>
        <w:jc w:val="right"/>
      </w:pPr>
      <w:r>
        <w:rPr>
          <w:rFonts w:ascii="Arial" w:hAnsi="Arial" w:cs="Arial"/>
          <w:sz w:val="25"/>
          <w:sz-cs w:val="25"/>
          <w:spacing w:val="0"/>
          <w:color w:val="181C20"/>
        </w:rPr>
        <w:t xml:space="preserve">663</w:t>
      </w:r>
    </w:p>
    <w:p>
      <w:pPr>
        <w:jc w:val="right"/>
      </w:pPr>
      <w:r>
        <w:rPr>
          <w:rFonts w:ascii="Arial" w:hAnsi="Arial" w:cs="Arial"/>
          <w:sz w:val="25"/>
          <w:sz-cs w:val="25"/>
          <w:spacing w:val="0"/>
          <w:color w:val="181C20"/>
        </w:rPr>
        <w:t xml:space="preserve">0.5811%</w:t>
      </w:r>
    </w:p>
    <w:p>
      <w:pPr>
        <w:jc w:val="right"/>
      </w:pPr>
      <w:r>
        <w:rPr>
          <w:rFonts w:ascii="Arial" w:hAnsi="Arial" w:cs="Arial"/>
          <w:sz w:val="25"/>
          <w:sz-cs w:val="25"/>
          <w:spacing w:val="0"/>
          <w:color w:val="181C20"/>
        </w:rPr>
        <w:t xml:space="preserve">0.6177%</w:t>
      </w:r>
    </w:p>
    <w:p>
      <w:pPr/>
      <w:r>
        <w:rPr>
          <w:rFonts w:ascii="Arial" w:hAnsi="Arial" w:cs="Arial"/>
          <w:sz w:val="25"/>
          <w:sz-cs w:val="25"/>
          <w:spacing w:val="0"/>
          <w:color w:val="181C20"/>
        </w:rPr>
        <w:t xml:space="preserve">HAS_US</w:t>
      </w:r>
    </w:p>
    <w:p>
      <w:pPr>
        <w:jc w:val="right"/>
      </w:pPr>
      <w:r>
        <w:rPr>
          <w:rFonts w:ascii="Arial" w:hAnsi="Arial" w:cs="Arial"/>
          <w:sz w:val="25"/>
          <w:sz-cs w:val="25"/>
          <w:spacing w:val="0"/>
          <w:color w:val="181C20"/>
        </w:rPr>
        <w:t xml:space="preserve">30,912</w:t>
      </w:r>
    </w:p>
    <w:p>
      <w:pPr>
        <w:jc w:val="right"/>
      </w:pPr>
      <w:r>
        <w:rPr>
          <w:rFonts w:ascii="Arial" w:hAnsi="Arial" w:cs="Arial"/>
          <w:sz w:val="25"/>
          <w:sz-cs w:val="25"/>
          <w:spacing w:val="0"/>
          <w:color w:val="181C20"/>
        </w:rPr>
        <w:t xml:space="preserve">27.0915%</w:t>
      </w:r>
    </w:p>
    <w:p>
      <w:pPr>
        <w:jc w:val="right"/>
      </w:pPr>
      <w:r>
        <w:rPr>
          <w:rFonts w:ascii="Arial" w:hAnsi="Arial" w:cs="Arial"/>
          <w:sz w:val="25"/>
          <w:sz-cs w:val="25"/>
          <w:spacing w:val="0"/>
          <w:color w:val="181C20"/>
        </w:rPr>
        <w:t xml:space="preserve">28.8006%</w:t>
      </w:r>
    </w:p>
    <w:p>
      <w:pPr>
        <w:spacing w:after="213"/>
      </w:pPr>
      <w:r>
        <w:rPr>
          <w:rFonts w:ascii="Arial" w:hAnsi="Arial" w:cs="Arial"/>
          <w:sz w:val="42"/>
          <w:sz-cs w:val="42"/>
          <w:b/>
          <w:spacing w:val="0"/>
          <w:color w:val="255FA6"/>
        </w:rPr>
        <w:t xml:space="preserve">6. Direct Period Comparison</w:t>
      </w:r>
    </w:p>
    <w:p>
      <w:pPr>
        <w:spacing w:after="160"/>
      </w:pPr>
      <w:r>
        <w:rPr>
          <w:rFonts w:ascii="Arial" w:hAnsi="Arial" w:cs="Arial"/>
          <w:sz w:val="29"/>
          <w:sz-cs w:val="29"/>
          <w:spacing w:val="0"/>
          <w:color w:val="181C20"/>
        </w:rPr>
        <w:t xml:space="preserve">All percentage changes below are </w:t>
      </w:r>
      <w:r>
        <w:rPr>
          <w:rFonts w:ascii="Arial" w:hAnsi="Arial" w:cs="Arial"/>
          <w:sz w:val="29"/>
          <w:sz-cs w:val="29"/>
          <w:b/>
          <w:spacing w:val="0"/>
          <w:color w:val="181C20"/>
        </w:rPr>
        <w:t xml:space="preserve">percentage-point changes</w:t>
      </w:r>
      <w:r>
        <w:rPr>
          <w:rFonts w:ascii="Arial" w:hAnsi="Arial" w:cs="Arial"/>
          <w:sz w:val="29"/>
          <w:sz-cs w:val="29"/>
          <w:spacing w:val="0"/>
          <w:color w:val="181C20"/>
        </w:rPr>
        <w:t xml:space="preserve">, calculated as Recent 3Y minus 4–6 Years Ago. They are not percent growth rates.</w:t>
      </w:r>
    </w:p>
    <w:p>
      <w:pPr>
        <w:jc w:val="center"/>
      </w:pPr>
      <w:r>
        <w:rPr>
          <w:rFonts w:ascii="Arial" w:hAnsi="Arial" w:cs="Arial"/>
          <w:sz w:val="25"/>
          <w:sz-cs w:val="25"/>
          <w:b/>
          <w:spacing w:val="0"/>
          <w:color w:val="13284B"/>
        </w:rPr>
        <w:t xml:space="preserve">Metric</w:t>
      </w:r>
    </w:p>
    <w:p>
      <w:pPr>
        <w:jc w:val="center"/>
      </w:pPr>
      <w:r>
        <w:rPr>
          <w:rFonts w:ascii="Arial" w:hAnsi="Arial" w:cs="Arial"/>
          <w:sz w:val="25"/>
          <w:sz-cs w:val="25"/>
          <w:b/>
          <w:spacing w:val="0"/>
          <w:color w:val="13284B"/>
        </w:rPr>
        <w:t xml:space="preserve">Recent 3Y</w:t>
      </w:r>
    </w:p>
    <w:p>
      <w:pPr>
        <w:jc w:val="center"/>
      </w:pPr>
      <w:r>
        <w:rPr>
          <w:rFonts w:ascii="Arial" w:hAnsi="Arial" w:cs="Arial"/>
          <w:sz w:val="25"/>
          <w:sz-cs w:val="25"/>
          <w:b/>
          <w:spacing w:val="0"/>
          <w:color w:val="13284B"/>
        </w:rPr>
        <w:t xml:space="preserve">4–6 Years Ago</w:t>
      </w:r>
    </w:p>
    <w:p>
      <w:pPr>
        <w:jc w:val="center"/>
      </w:pPr>
      <w:r>
        <w:rPr>
          <w:rFonts w:ascii="Arial" w:hAnsi="Arial" w:cs="Arial"/>
          <w:sz w:val="25"/>
          <w:sz-cs w:val="25"/>
          <w:b/>
          <w:spacing w:val="0"/>
          <w:color w:val="13284B"/>
        </w:rPr>
        <w:t xml:space="preserve">Change</w:t>
      </w:r>
    </w:p>
    <w:p>
      <w:pPr/>
      <w:r>
        <w:rPr>
          <w:rFonts w:ascii="Arial" w:hAnsi="Arial" w:cs="Arial"/>
          <w:sz w:val="25"/>
          <w:sz-cs w:val="25"/>
          <w:spacing w:val="0"/>
          <w:color w:val="181C20"/>
        </w:rPr>
        <w:t xml:space="preserve">Cohort denominator</w:t>
      </w:r>
    </w:p>
    <w:p>
      <w:pPr>
        <w:jc w:val="right"/>
      </w:pPr>
      <w:r>
        <w:rPr>
          <w:rFonts w:ascii="Arial" w:hAnsi="Arial" w:cs="Arial"/>
          <w:sz w:val="25"/>
          <w:sz-cs w:val="25"/>
          <w:spacing w:val="0"/>
          <w:color w:val="181C20"/>
        </w:rPr>
        <w:t xml:space="preserve">118,419</w:t>
      </w:r>
    </w:p>
    <w:p>
      <w:pPr>
        <w:jc w:val="right"/>
      </w:pPr>
      <w:r>
        <w:rPr>
          <w:rFonts w:ascii="Arial" w:hAnsi="Arial" w:cs="Arial"/>
          <w:sz w:val="25"/>
          <w:sz-cs w:val="25"/>
          <w:spacing w:val="0"/>
          <w:color w:val="181C20"/>
        </w:rPr>
        <w:t xml:space="preserve">114,102</w:t>
      </w:r>
    </w:p>
    <w:p>
      <w:pPr>
        <w:jc w:val="right"/>
      </w:pPr>
      <w:r>
        <w:rPr>
          <w:rFonts w:ascii="Arial" w:hAnsi="Arial" w:cs="Arial"/>
          <w:sz w:val="25"/>
          <w:sz-cs w:val="25"/>
          <w:spacing w:val="0"/>
          <w:color w:val="181C20"/>
        </w:rPr>
        <w:t xml:space="preserve">+4,317</w:t>
      </w:r>
    </w:p>
    <w:p>
      <w:pPr/>
      <w:r>
        <w:rPr>
          <w:rFonts w:ascii="Arial" w:hAnsi="Arial" w:cs="Arial"/>
          <w:sz w:val="25"/>
          <w:sz-cs w:val="25"/>
          <w:spacing w:val="0"/>
          <w:color w:val="181C20"/>
        </w:rPr>
        <w:t xml:space="preserve">Known-location denominator</w:t>
      </w:r>
    </w:p>
    <w:p>
      <w:pPr>
        <w:jc w:val="right"/>
      </w:pPr>
      <w:r>
        <w:rPr>
          <w:rFonts w:ascii="Arial" w:hAnsi="Arial" w:cs="Arial"/>
          <w:sz w:val="25"/>
          <w:sz-cs w:val="25"/>
          <w:spacing w:val="0"/>
          <w:color w:val="181C20"/>
        </w:rPr>
        <w:t xml:space="preserve">104,069</w:t>
      </w:r>
    </w:p>
    <w:p>
      <w:pPr>
        <w:jc w:val="right"/>
      </w:pPr>
      <w:r>
        <w:rPr>
          <w:rFonts w:ascii="Arial" w:hAnsi="Arial" w:cs="Arial"/>
          <w:sz w:val="25"/>
          <w:sz-cs w:val="25"/>
          <w:spacing w:val="0"/>
          <w:color w:val="181C20"/>
        </w:rPr>
        <w:t xml:space="preserve">107,331</w:t>
      </w:r>
    </w:p>
    <w:p>
      <w:pPr>
        <w:jc w:val="right"/>
      </w:pPr>
      <w:r>
        <w:rPr>
          <w:rFonts w:ascii="Arial" w:hAnsi="Arial" w:cs="Arial"/>
          <w:sz w:val="25"/>
          <w:sz-cs w:val="25"/>
          <w:spacing w:val="0"/>
          <w:color w:val="181C20"/>
        </w:rPr>
        <w:t xml:space="preserve">−3,262</w:t>
      </w:r>
    </w:p>
    <w:p>
      <w:pPr/>
      <w:r>
        <w:rPr>
          <w:rFonts w:ascii="Arial" w:hAnsi="Arial" w:cs="Arial"/>
          <w:sz w:val="25"/>
          <w:sz-cs w:val="25"/>
          <w:spacing w:val="0"/>
          <w:color w:val="181C20"/>
        </w:rPr>
        <w:t xml:space="preserve">NEXUS count</w:t>
      </w:r>
    </w:p>
    <w:p>
      <w:pPr>
        <w:jc w:val="right"/>
      </w:pPr>
      <w:r>
        <w:rPr>
          <w:rFonts w:ascii="Arial" w:hAnsi="Arial" w:cs="Arial"/>
          <w:sz w:val="25"/>
          <w:sz-cs w:val="25"/>
          <w:spacing w:val="0"/>
          <w:color w:val="181C20"/>
        </w:rPr>
        <w:t xml:space="preserve">794</w:t>
      </w:r>
    </w:p>
    <w:p>
      <w:pPr>
        <w:jc w:val="right"/>
      </w:pPr>
      <w:r>
        <w:rPr>
          <w:rFonts w:ascii="Arial" w:hAnsi="Arial" w:cs="Arial"/>
          <w:sz w:val="25"/>
          <w:sz-cs w:val="25"/>
          <w:spacing w:val="0"/>
          <w:color w:val="181C20"/>
        </w:rPr>
        <w:t xml:space="preserve">663</w:t>
      </w:r>
    </w:p>
    <w:p>
      <w:pPr>
        <w:jc w:val="right"/>
      </w:pPr>
      <w:r>
        <w:rPr>
          <w:rFonts w:ascii="Arial" w:hAnsi="Arial" w:cs="Arial"/>
          <w:sz w:val="25"/>
          <w:sz-cs w:val="25"/>
          <w:spacing w:val="0"/>
          <w:color w:val="181C20"/>
        </w:rPr>
        <w:t xml:space="preserve">+131</w:t>
      </w:r>
    </w:p>
    <w:p>
      <w:pPr/>
      <w:r>
        <w:rPr>
          <w:rFonts w:ascii="Arial" w:hAnsi="Arial" w:cs="Arial"/>
          <w:sz w:val="25"/>
          <w:sz-cs w:val="25"/>
          <w:spacing w:val="0"/>
          <w:color w:val="181C20"/>
        </w:rPr>
        <w:t xml:space="preserve">NEXUS % of cohort</w:t>
      </w:r>
    </w:p>
    <w:p>
      <w:pPr>
        <w:jc w:val="right"/>
      </w:pPr>
      <w:r>
        <w:rPr>
          <w:rFonts w:ascii="Arial" w:hAnsi="Arial" w:cs="Arial"/>
          <w:sz w:val="25"/>
          <w:sz-cs w:val="25"/>
          <w:spacing w:val="0"/>
          <w:color w:val="181C20"/>
        </w:rPr>
        <w:t xml:space="preserve">0.6705%</w:t>
      </w:r>
    </w:p>
    <w:p>
      <w:pPr>
        <w:jc w:val="right"/>
      </w:pPr>
      <w:r>
        <w:rPr>
          <w:rFonts w:ascii="Arial" w:hAnsi="Arial" w:cs="Arial"/>
          <w:sz w:val="25"/>
          <w:sz-cs w:val="25"/>
          <w:spacing w:val="0"/>
          <w:color w:val="181C20"/>
        </w:rPr>
        <w:t xml:space="preserve">0.5811%</w:t>
      </w:r>
    </w:p>
    <w:p>
      <w:pPr>
        <w:jc w:val="right"/>
      </w:pPr>
      <w:r>
        <w:rPr>
          <w:rFonts w:ascii="Arial" w:hAnsi="Arial" w:cs="Arial"/>
          <w:sz w:val="25"/>
          <w:sz-cs w:val="25"/>
          <w:spacing w:val="0"/>
          <w:color w:val="181C20"/>
        </w:rPr>
        <w:t xml:space="preserve">+0.0894 pp</w:t>
      </w:r>
    </w:p>
    <w:p>
      <w:pPr/>
      <w:r>
        <w:rPr>
          <w:rFonts w:ascii="Arial" w:hAnsi="Arial" w:cs="Arial"/>
          <w:sz w:val="25"/>
          <w:sz-cs w:val="25"/>
          <w:spacing w:val="0"/>
          <w:color w:val="181C20"/>
        </w:rPr>
        <w:t xml:space="preserve">NEXUS % of known-location</w:t>
      </w:r>
    </w:p>
    <w:p>
      <w:pPr>
        <w:jc w:val="right"/>
      </w:pPr>
      <w:r>
        <w:rPr>
          <w:rFonts w:ascii="Arial" w:hAnsi="Arial" w:cs="Arial"/>
          <w:sz w:val="25"/>
          <w:sz-cs w:val="25"/>
          <w:spacing w:val="0"/>
          <w:color w:val="181C20"/>
        </w:rPr>
        <w:t xml:space="preserve">0.7630%</w:t>
      </w:r>
    </w:p>
    <w:p>
      <w:pPr>
        <w:jc w:val="right"/>
      </w:pPr>
      <w:r>
        <w:rPr>
          <w:rFonts w:ascii="Arial" w:hAnsi="Arial" w:cs="Arial"/>
          <w:sz w:val="25"/>
          <w:sz-cs w:val="25"/>
          <w:spacing w:val="0"/>
          <w:color w:val="181C20"/>
        </w:rPr>
        <w:t xml:space="preserve">0.6177%</w:t>
      </w:r>
    </w:p>
    <w:p>
      <w:pPr>
        <w:jc w:val="right"/>
      </w:pPr>
      <w:r>
        <w:rPr>
          <w:rFonts w:ascii="Arial" w:hAnsi="Arial" w:cs="Arial"/>
          <w:sz w:val="25"/>
          <w:sz-cs w:val="25"/>
          <w:spacing w:val="0"/>
          <w:color w:val="181C20"/>
        </w:rPr>
        <w:t xml:space="preserve">+0.1452 pp</w:t>
      </w:r>
    </w:p>
    <w:p>
      <w:pPr/>
      <w:r>
        <w:rPr>
          <w:rFonts w:ascii="Arial" w:hAnsi="Arial" w:cs="Arial"/>
          <w:sz w:val="25"/>
          <w:sz-cs w:val="25"/>
          <w:spacing w:val="0"/>
          <w:color w:val="181C20"/>
        </w:rPr>
        <w:t xml:space="preserve">PERMISSIBLE count</w:t>
      </w:r>
    </w:p>
    <w:p>
      <w:pPr>
        <w:jc w:val="right"/>
      </w:pPr>
      <w:r>
        <w:rPr>
          <w:rFonts w:ascii="Arial" w:hAnsi="Arial" w:cs="Arial"/>
          <w:sz w:val="25"/>
          <w:sz-cs w:val="25"/>
          <w:spacing w:val="0"/>
          <w:color w:val="181C20"/>
        </w:rPr>
        <w:t xml:space="preserve">76,519</w:t>
      </w:r>
    </w:p>
    <w:p>
      <w:pPr>
        <w:jc w:val="right"/>
      </w:pPr>
      <w:r>
        <w:rPr>
          <w:rFonts w:ascii="Arial" w:hAnsi="Arial" w:cs="Arial"/>
          <w:sz w:val="25"/>
          <w:sz-cs w:val="25"/>
          <w:spacing w:val="0"/>
          <w:color w:val="181C20"/>
        </w:rPr>
        <w:t xml:space="preserve">76,419</w:t>
      </w:r>
    </w:p>
    <w:p>
      <w:pPr>
        <w:jc w:val="right"/>
      </w:pPr>
      <w:r>
        <w:rPr>
          <w:rFonts w:ascii="Arial" w:hAnsi="Arial" w:cs="Arial"/>
          <w:sz w:val="25"/>
          <w:sz-cs w:val="25"/>
          <w:spacing w:val="0"/>
          <w:color w:val="181C20"/>
        </w:rPr>
        <w:t xml:space="preserve">+100</w:t>
      </w:r>
    </w:p>
    <w:p>
      <w:pPr/>
      <w:r>
        <w:rPr>
          <w:rFonts w:ascii="Arial" w:hAnsi="Arial" w:cs="Arial"/>
          <w:sz w:val="25"/>
          <w:sz-cs w:val="25"/>
          <w:spacing w:val="0"/>
          <w:color w:val="181C20"/>
        </w:rPr>
        <w:t xml:space="preserve">PERMISSIBLE % of cohort</w:t>
      </w:r>
    </w:p>
    <w:p>
      <w:pPr>
        <w:jc w:val="right"/>
      </w:pPr>
      <w:r>
        <w:rPr>
          <w:rFonts w:ascii="Arial" w:hAnsi="Arial" w:cs="Arial"/>
          <w:sz w:val="25"/>
          <w:sz-cs w:val="25"/>
          <w:spacing w:val="0"/>
          <w:color w:val="181C20"/>
        </w:rPr>
        <w:t xml:space="preserve">64.6172%</w:t>
      </w:r>
    </w:p>
    <w:p>
      <w:pPr>
        <w:jc w:val="right"/>
      </w:pPr>
      <w:r>
        <w:rPr>
          <w:rFonts w:ascii="Arial" w:hAnsi="Arial" w:cs="Arial"/>
          <w:sz w:val="25"/>
          <w:sz-cs w:val="25"/>
          <w:spacing w:val="0"/>
          <w:color w:val="181C20"/>
        </w:rPr>
        <w:t xml:space="preserve">66.9743%</w:t>
      </w:r>
    </w:p>
    <w:p>
      <w:pPr>
        <w:jc w:val="right"/>
      </w:pPr>
      <w:r>
        <w:rPr>
          <w:rFonts w:ascii="Arial" w:hAnsi="Arial" w:cs="Arial"/>
          <w:sz w:val="25"/>
          <w:sz-cs w:val="25"/>
          <w:spacing w:val="0"/>
          <w:color w:val="181C20"/>
        </w:rPr>
        <w:t xml:space="preserve">−2.3571 pp</w:t>
      </w:r>
    </w:p>
    <w:p>
      <w:pPr/>
      <w:r>
        <w:rPr>
          <w:rFonts w:ascii="Arial" w:hAnsi="Arial" w:cs="Arial"/>
          <w:sz w:val="25"/>
          <w:sz-cs w:val="25"/>
          <w:spacing w:val="0"/>
          <w:color w:val="181C20"/>
        </w:rPr>
        <w:t xml:space="preserve">PERMISSIBLE % of known-location</w:t>
      </w:r>
    </w:p>
    <w:p>
      <w:pPr>
        <w:jc w:val="right"/>
      </w:pPr>
      <w:r>
        <w:rPr>
          <w:rFonts w:ascii="Arial" w:hAnsi="Arial" w:cs="Arial"/>
          <w:sz w:val="25"/>
          <w:sz-cs w:val="25"/>
          <w:spacing w:val="0"/>
          <w:color w:val="181C20"/>
        </w:rPr>
        <w:t xml:space="preserve">73.5272%</w:t>
      </w:r>
    </w:p>
    <w:p>
      <w:pPr>
        <w:jc w:val="right"/>
      </w:pPr>
      <w:r>
        <w:rPr>
          <w:rFonts w:ascii="Arial" w:hAnsi="Arial" w:cs="Arial"/>
          <w:sz w:val="25"/>
          <w:sz-cs w:val="25"/>
          <w:spacing w:val="0"/>
          <w:color w:val="181C20"/>
        </w:rPr>
        <w:t xml:space="preserve">71.1994%</w:t>
      </w:r>
    </w:p>
    <w:p>
      <w:pPr>
        <w:jc w:val="right"/>
      </w:pPr>
      <w:r>
        <w:rPr>
          <w:rFonts w:ascii="Arial" w:hAnsi="Arial" w:cs="Arial"/>
          <w:sz w:val="25"/>
          <w:sz-cs w:val="25"/>
          <w:spacing w:val="0"/>
          <w:color w:val="181C20"/>
        </w:rPr>
        <w:t xml:space="preserve">+2.3278 pp</w:t>
      </w:r>
    </w:p>
    <w:p>
      <w:pPr/>
      <w:r>
        <w:rPr>
          <w:rFonts w:ascii="Arial" w:hAnsi="Arial" w:cs="Arial"/>
          <w:sz w:val="25"/>
          <w:sz-cs w:val="25"/>
          <w:spacing w:val="0"/>
          <w:color w:val="181C20"/>
        </w:rPr>
        <w:t xml:space="preserve">US_ONLY % of cohort</w:t>
      </w:r>
    </w:p>
    <w:p>
      <w:pPr>
        <w:jc w:val="right"/>
      </w:pPr>
      <w:r>
        <w:rPr>
          <w:rFonts w:ascii="Arial" w:hAnsi="Arial" w:cs="Arial"/>
          <w:sz w:val="25"/>
          <w:sz-cs w:val="25"/>
          <w:spacing w:val="0"/>
          <w:color w:val="181C20"/>
        </w:rPr>
        <w:t xml:space="preserve">20.2839%</w:t>
      </w:r>
    </w:p>
    <w:p>
      <w:pPr>
        <w:jc w:val="right"/>
      </w:pPr>
      <w:r>
        <w:rPr>
          <w:rFonts w:ascii="Arial" w:hAnsi="Arial" w:cs="Arial"/>
          <w:sz w:val="25"/>
          <w:sz-cs w:val="25"/>
          <w:spacing w:val="0"/>
          <w:color w:val="181C20"/>
        </w:rPr>
        <w:t xml:space="preserve">23.3142%</w:t>
      </w:r>
    </w:p>
    <w:p>
      <w:pPr>
        <w:jc w:val="right"/>
      </w:pPr>
      <w:r>
        <w:rPr>
          <w:rFonts w:ascii="Arial" w:hAnsi="Arial" w:cs="Arial"/>
          <w:sz w:val="25"/>
          <w:sz-cs w:val="25"/>
          <w:spacing w:val="0"/>
          <w:color w:val="181C20"/>
        </w:rPr>
        <w:t xml:space="preserve">−3.0303 pp</w:t>
      </w:r>
    </w:p>
    <w:p>
      <w:pPr/>
      <w:r>
        <w:rPr>
          <w:rFonts w:ascii="Arial" w:hAnsi="Arial" w:cs="Arial"/>
          <w:sz w:val="25"/>
          <w:sz-cs w:val="25"/>
          <w:spacing w:val="0"/>
          <w:color w:val="181C20"/>
        </w:rPr>
        <w:t xml:space="preserve">US_NON_CHINA_MULTI % of cohort</w:t>
      </w:r>
    </w:p>
    <w:p>
      <w:pPr>
        <w:jc w:val="right"/>
      </w:pPr>
      <w:r>
        <w:rPr>
          <w:rFonts w:ascii="Arial" w:hAnsi="Arial" w:cs="Arial"/>
          <w:sz w:val="25"/>
          <w:sz-cs w:val="25"/>
          <w:spacing w:val="0"/>
          <w:color w:val="181C20"/>
        </w:rPr>
        <w:t xml:space="preserve">2.3104%</w:t>
      </w:r>
    </w:p>
    <w:p>
      <w:pPr>
        <w:jc w:val="right"/>
      </w:pPr>
      <w:r>
        <w:rPr>
          <w:rFonts w:ascii="Arial" w:hAnsi="Arial" w:cs="Arial"/>
          <w:sz w:val="25"/>
          <w:sz-cs w:val="25"/>
          <w:spacing w:val="0"/>
          <w:color w:val="181C20"/>
        </w:rPr>
        <w:t xml:space="preserve">3.1963%</w:t>
      </w:r>
    </w:p>
    <w:p>
      <w:pPr>
        <w:jc w:val="right"/>
      </w:pPr>
      <w:r>
        <w:rPr>
          <w:rFonts w:ascii="Arial" w:hAnsi="Arial" w:cs="Arial"/>
          <w:sz w:val="25"/>
          <w:sz-cs w:val="25"/>
          <w:spacing w:val="0"/>
          <w:color w:val="181C20"/>
        </w:rPr>
        <w:t xml:space="preserve">−0.8858 pp</w:t>
      </w:r>
    </w:p>
    <w:p>
      <w:pPr/>
      <w:r>
        <w:rPr>
          <w:rFonts w:ascii="Arial" w:hAnsi="Arial" w:cs="Arial"/>
          <w:sz w:val="25"/>
          <w:sz-cs w:val="25"/>
          <w:spacing w:val="0"/>
          <w:color w:val="181C20"/>
        </w:rPr>
        <w:t xml:space="preserve">UNKNOWN % of cohort</w:t>
      </w:r>
    </w:p>
    <w:p>
      <w:pPr>
        <w:jc w:val="right"/>
      </w:pPr>
      <w:r>
        <w:rPr>
          <w:rFonts w:ascii="Arial" w:hAnsi="Arial" w:cs="Arial"/>
          <w:sz w:val="25"/>
          <w:sz-cs w:val="25"/>
          <w:spacing w:val="0"/>
          <w:color w:val="181C20"/>
        </w:rPr>
        <w:t xml:space="preserve">12.1180%</w:t>
      </w:r>
    </w:p>
    <w:p>
      <w:pPr>
        <w:jc w:val="right"/>
      </w:pPr>
      <w:r>
        <w:rPr>
          <w:rFonts w:ascii="Arial" w:hAnsi="Arial" w:cs="Arial"/>
          <w:sz w:val="25"/>
          <w:sz-cs w:val="25"/>
          <w:spacing w:val="0"/>
          <w:color w:val="181C20"/>
        </w:rPr>
        <w:t xml:space="preserve">5.9342%</w:t>
      </w:r>
    </w:p>
    <w:p>
      <w:pPr>
        <w:jc w:val="right"/>
      </w:pPr>
      <w:r>
        <w:rPr>
          <w:rFonts w:ascii="Arial" w:hAnsi="Arial" w:cs="Arial"/>
          <w:sz w:val="25"/>
          <w:sz-cs w:val="25"/>
          <w:spacing w:val="0"/>
          <w:color w:val="181C20"/>
        </w:rPr>
        <w:t xml:space="preserve">+6.1838 pp</w:t>
      </w:r>
    </w:p>
    <w:p>
      <w:pPr>
        <w:spacing w:after="213"/>
      </w:pPr>
      <w:r>
        <w:rPr>
          <w:rFonts w:ascii="Arial" w:hAnsi="Arial" w:cs="Arial"/>
          <w:sz w:val="42"/>
          <w:sz-cs w:val="42"/>
          <w:b/>
          <w:spacing w:val="0"/>
          <w:color w:val="255FA6"/>
        </w:rPr>
        <w:t xml:space="preserve">7. Statistical Interpretation</w:t>
      </w:r>
    </w:p>
    <w:p>
      <w:pPr>
        <w:spacing w:after="160"/>
      </w:pPr>
      <w:r>
        <w:rPr>
          <w:rFonts w:ascii="Arial" w:hAnsi="Arial" w:cs="Arial"/>
          <w:sz w:val="29"/>
          <w:sz-cs w:val="29"/>
          <w:spacing w:val="0"/>
          <w:color w:val="181C20"/>
        </w:rPr>
        <w:t xml:space="preserve">The comparison is statistically reasonable as a </w:t>
      </w:r>
      <w:r>
        <w:rPr>
          <w:rFonts w:ascii="Arial" w:hAnsi="Arial" w:cs="Arial"/>
          <w:sz w:val="29"/>
          <w:sz-cs w:val="29"/>
          <w:b/>
          <w:spacing w:val="0"/>
          <w:color w:val="181C20"/>
        </w:rPr>
        <w:t xml:space="preserve">descriptive registry analysis</w:t>
      </w:r>
      <w:r>
        <w:rPr>
          <w:rFonts w:ascii="Arial" w:hAnsi="Arial" w:cs="Arial"/>
          <w:sz w:val="29"/>
          <w:sz-cs w:val="29"/>
          <w:spacing w:val="0"/>
          <w:color w:val="181C20"/>
        </w:rPr>
        <w:t xml:space="preserve"> because the cohorts are non-overlapping, equal in duration, based on deterministic calendar boundaries, and contain one observation per unique NCT ID. Counts, proportions, denominator definitions, and percentage-point differences are the primary estimands.</w:t>
      </w:r>
    </w:p>
    <w:p>
      <w:pPr>
        <w:spacing w:after="160"/>
      </w:pPr>
      <w:r>
        <w:rPr>
          <w:rFonts w:ascii="Arial" w:hAnsi="Arial" w:cs="Arial"/>
          <w:sz w:val="29"/>
          <w:sz-cs w:val="29"/>
          <w:spacing w:val="0"/>
          <w:color w:val="181C20"/>
        </w:rPr>
        <w:t xml:space="preserve">If the cohorts are treated as observations from a broader underlying process, a conventional two-proportion approximation indicates that the NEXUS difference is statistically distinguishable from zero. The approximate 95% interval for the full-cohort difference is </w:t>
      </w:r>
      <w:r>
        <w:rPr>
          <w:rFonts w:ascii="Arial" w:hAnsi="Arial" w:cs="Arial"/>
          <w:sz w:val="29"/>
          <w:sz-cs w:val="29"/>
          <w:b/>
          <w:spacing w:val="0"/>
          <w:color w:val="181C20"/>
        </w:rPr>
        <w:t xml:space="preserve">+0.025 to +0.154 percentage points</w:t>
      </w:r>
      <w:r>
        <w:rPr>
          <w:rFonts w:ascii="Arial" w:hAnsi="Arial" w:cs="Arial"/>
          <w:sz w:val="29"/>
          <w:sz-cs w:val="29"/>
          <w:spacing w:val="0"/>
          <w:color w:val="181C20"/>
        </w:rPr>
        <w:t xml:space="preserve">; for the known-location comparison it is approximately </w:t>
      </w:r>
      <w:r>
        <w:rPr>
          <w:rFonts w:ascii="Arial" w:hAnsi="Arial" w:cs="Arial"/>
          <w:sz w:val="29"/>
          <w:sz-cs w:val="29"/>
          <w:b/>
          <w:spacing w:val="0"/>
          <w:color w:val="181C20"/>
        </w:rPr>
        <w:t xml:space="preserve">+0.075 to +0.216 percentage points</w:t>
      </w:r>
      <w:r>
        <w:rPr>
          <w:rFonts w:ascii="Arial" w:hAnsi="Arial" w:cs="Arial"/>
          <w:sz w:val="29"/>
          <w:sz-cs w:val="29"/>
          <w:spacing w:val="0"/>
          <w:color w:val="181C20"/>
        </w:rPr>
        <w:t xml:space="preserve">. These inferential results are secondary because the dataset is close to a census of studies accessible through the API at a fixed snapshot date rather than a random sample.</w:t>
      </w:r>
    </w:p>
    <w:p>
      <w:pPr>
        <w:spacing w:after="160"/>
      </w:pPr>
      <w:r>
        <w:rPr>
          <w:rFonts w:ascii="Arial" w:hAnsi="Arial" w:cs="Arial"/>
          <w:sz w:val="29"/>
          <w:sz-cs w:val="29"/>
          <w:spacing w:val="0"/>
          <w:color w:val="181C20"/>
        </w:rPr>
        <w:t xml:space="preserve">Large denominators make small effects statistically detectable. The practical interpretation should therefore emphasize the absolute effect size: the NEXUS share increased by about </w:t>
      </w:r>
      <w:r>
        <w:rPr>
          <w:rFonts w:ascii="Arial" w:hAnsi="Arial" w:cs="Arial"/>
          <w:sz w:val="29"/>
          <w:sz-cs w:val="29"/>
          <w:b/>
          <w:spacing w:val="0"/>
          <w:color w:val="181C20"/>
        </w:rPr>
        <w:t xml:space="preserve">0.09 percentage points</w:t>
      </w:r>
      <w:r>
        <w:rPr>
          <w:rFonts w:ascii="Arial" w:hAnsi="Arial" w:cs="Arial"/>
          <w:sz w:val="29"/>
          <w:sz-cs w:val="29"/>
          <w:spacing w:val="0"/>
          <w:color w:val="181C20"/>
        </w:rPr>
        <w:t xml:space="preserve"> of the full cohort. The direction is consistent under both planned denominators, but the absolute difference remains modest.</w:t>
      </w:r>
    </w:p>
    <w:p>
      <w:pPr>
        <w:spacing w:after="160"/>
      </w:pPr>
      <w:r>
        <w:rPr>
          <w:rFonts w:ascii="Arial" w:hAnsi="Arial" w:cs="Arial"/>
          <w:sz w:val="29"/>
          <w:sz-cs w:val="29"/>
          <w:spacing w:val="0"/>
          <w:color w:val="181C20"/>
        </w:rPr>
        <w:t xml:space="preserve">PERMISSIBLE requires particular caution. Its full-cohort share decreased, while its known-location share increased. The Recent 3Y UNKNOWN share is more than twice that of the earlier cohort. This denominator sensitivity prevents a simple, unconditional claim that PERMISSIBLE studies increased or decreased over time.</w:t>
      </w:r>
    </w:p>
    <w:p>
      <w:pPr>
        <w:spacing w:after="213"/>
      </w:pPr>
      <w:r>
        <w:rPr>
          <w:rFonts w:ascii="Arial" w:hAnsi="Arial" w:cs="Arial"/>
          <w:sz w:val="42"/>
          <w:sz-cs w:val="42"/>
          <w:b/>
          <w:spacing w:val="0"/>
          <w:color w:val="255FA6"/>
        </w:rPr>
        <w:t xml:space="preserve">8. Key Findings</w:t>
      </w:r>
    </w:p>
    <w:p>
      <w:pPr>
        <w:ind w:left="460" w:first-line="-461"/>
        <w:spacing w:after="133"/>
      </w:pPr>
      <w:r>
        <w:rPr>
          <w:rFonts w:ascii="Arial" w:hAnsi="Arial" w:cs="Arial"/>
          <w:sz w:val="29"/>
          <w:sz-cs w:val="29"/>
          <w:spacing w:val="0"/>
          <w:color w:val="181C20"/>
        </w:rPr>
        <w:t xml:space="preserve">1.  </w:t>
      </w:r>
      <w:r>
        <w:rPr>
          <w:rFonts w:ascii="Arial" w:hAnsi="Arial" w:cs="Arial"/>
          <w:sz w:val="29"/>
          <w:sz-cs w:val="29"/>
          <w:b/>
          <w:spacing w:val="0"/>
          <w:color w:val="181C20"/>
        </w:rPr>
        <w:t xml:space="preserve">NEXUS is modestly higher in Recent 3Y.</w:t>
      </w:r>
      <w:r>
        <w:rPr>
          <w:rFonts w:ascii="Arial" w:hAnsi="Arial" w:cs="Arial"/>
          <w:sz w:val="29"/>
          <w:sz-cs w:val="29"/>
          <w:spacing w:val="0"/>
          <w:color w:val="181C20"/>
        </w:rPr>
        <w:t xml:space="preserve"> The increase is visible using both the all-study and known-location denominators.</w:t>
      </w:r>
    </w:p>
    <w:p>
      <w:pPr>
        <w:ind w:left="460" w:first-line="-461"/>
        <w:spacing w:after="133"/>
      </w:pPr>
      <w:r>
        <w:rPr>
          <w:rFonts w:ascii="Arial" w:hAnsi="Arial" w:cs="Arial"/>
          <w:sz w:val="29"/>
          <w:sz-cs w:val="29"/>
          <w:spacing w:val="0"/>
          <w:color w:val="181C20"/>
        </w:rPr>
        <w:t xml:space="preserve">2.  </w:t>
      </w:r>
      <w:r>
        <w:rPr>
          <w:rFonts w:ascii="Arial" w:hAnsi="Arial" w:cs="Arial"/>
          <w:sz w:val="29"/>
          <w:sz-cs w:val="29"/>
          <w:b/>
          <w:spacing w:val="0"/>
          <w:color w:val="181C20"/>
        </w:rPr>
        <w:t xml:space="preserve">Overall US presence is lower.</w:t>
      </w:r>
      <w:r>
        <w:rPr>
          <w:rFonts w:ascii="Arial" w:hAnsi="Arial" w:cs="Arial"/>
          <w:sz w:val="29"/>
          <w:sz-cs w:val="29"/>
          <w:spacing w:val="0"/>
          <w:color w:val="181C20"/>
        </w:rPr>
        <w:t xml:space="preserve"> HAS_US decreased from 27.09% to 23.26% of the cohort.</w:t>
      </w:r>
    </w:p>
    <w:p>
      <w:pPr>
        <w:ind w:left="460" w:first-line="-461"/>
        <w:spacing w:after="133"/>
      </w:pPr>
      <w:r>
        <w:rPr>
          <w:rFonts w:ascii="Arial" w:hAnsi="Arial" w:cs="Arial"/>
          <w:sz w:val="29"/>
          <w:sz-cs w:val="29"/>
          <w:spacing w:val="0"/>
          <w:color w:val="181C20"/>
        </w:rPr>
        <w:t xml:space="preserve">3.  </w:t>
      </w:r>
      <w:r>
        <w:rPr>
          <w:rFonts w:ascii="Arial" w:hAnsi="Arial" w:cs="Arial"/>
          <w:sz w:val="29"/>
          <w:sz-cs w:val="29"/>
          <w:b/>
          <w:spacing w:val="0"/>
          <w:color w:val="181C20"/>
        </w:rPr>
        <w:t xml:space="preserve">NEXUS represents a larger share within HAS_US studies.</w:t>
      </w:r>
      <w:r>
        <w:rPr>
          <w:rFonts w:ascii="Arial" w:hAnsi="Arial" w:cs="Arial"/>
          <w:sz w:val="29"/>
          <w:sz-cs w:val="29"/>
          <w:spacing w:val="0"/>
          <w:color w:val="181C20"/>
        </w:rPr>
        <w:t xml:space="preserve"> It increased from approximately 2.14% to 2.88% of HAS_US studies, even though HAS_US itself declined.</w:t>
      </w:r>
    </w:p>
    <w:p>
      <w:pPr>
        <w:ind w:left="460" w:first-line="-461"/>
        <w:spacing w:after="133"/>
      </w:pPr>
      <w:r>
        <w:rPr>
          <w:rFonts w:ascii="Arial" w:hAnsi="Arial" w:cs="Arial"/>
          <w:sz w:val="29"/>
          <w:sz-cs w:val="29"/>
          <w:spacing w:val="0"/>
          <w:color w:val="181C20"/>
        </w:rPr>
        <w:t xml:space="preserve">4.  </w:t>
      </w:r>
      <w:r>
        <w:rPr>
          <w:rFonts w:ascii="Arial" w:hAnsi="Arial" w:cs="Arial"/>
          <w:sz w:val="29"/>
          <w:sz-cs w:val="29"/>
          <w:b/>
          <w:spacing w:val="0"/>
          <w:color w:val="181C20"/>
        </w:rPr>
        <w:t xml:space="preserve">US_ONLY declined materially.</w:t>
      </w:r>
      <w:r>
        <w:rPr>
          <w:rFonts w:ascii="Arial" w:hAnsi="Arial" w:cs="Arial"/>
          <w:sz w:val="29"/>
          <w:sz-cs w:val="29"/>
          <w:spacing w:val="0"/>
          <w:color w:val="181C20"/>
        </w:rPr>
        <w:t xml:space="preserve"> Its cohort share fell by approximately 3.03 percentage points.</w:t>
      </w:r>
    </w:p>
    <w:p>
      <w:pPr>
        <w:ind w:left="460" w:first-line="-461"/>
        <w:spacing w:after="133"/>
      </w:pPr>
      <w:r>
        <w:rPr>
          <w:rFonts w:ascii="Arial" w:hAnsi="Arial" w:cs="Arial"/>
          <w:sz w:val="29"/>
          <w:sz-cs w:val="29"/>
          <w:spacing w:val="0"/>
          <w:color w:val="181C20"/>
        </w:rPr>
        <w:t xml:space="preserve">5.  </w:t>
      </w:r>
      <w:r>
        <w:rPr>
          <w:rFonts w:ascii="Arial" w:hAnsi="Arial" w:cs="Arial"/>
          <w:sz w:val="29"/>
          <w:sz-cs w:val="29"/>
          <w:b/>
          <w:spacing w:val="0"/>
          <w:color w:val="181C20"/>
        </w:rPr>
        <w:t xml:space="preserve">US_NON_CHINA_MULTI also declined.</w:t>
      </w:r>
      <w:r>
        <w:rPr>
          <w:rFonts w:ascii="Arial" w:hAnsi="Arial" w:cs="Arial"/>
          <w:sz w:val="29"/>
          <w:sz-cs w:val="29"/>
          <w:spacing w:val="0"/>
          <w:color w:val="181C20"/>
        </w:rPr>
        <w:t xml:space="preserve"> The reduction was approximately 0.89 percentage points.</w:t>
      </w:r>
    </w:p>
    <w:p>
      <w:pPr>
        <w:ind w:left="460" w:first-line="-461"/>
        <w:spacing w:after="133"/>
      </w:pPr>
      <w:r>
        <w:rPr>
          <w:rFonts w:ascii="Arial" w:hAnsi="Arial" w:cs="Arial"/>
          <w:sz w:val="29"/>
          <w:sz-cs w:val="29"/>
          <w:spacing w:val="0"/>
          <w:color w:val="181C20"/>
        </w:rPr>
        <w:t xml:space="preserve">6.  </w:t>
      </w:r>
      <w:r>
        <w:rPr>
          <w:rFonts w:ascii="Arial" w:hAnsi="Arial" w:cs="Arial"/>
          <w:sz w:val="29"/>
          <w:sz-cs w:val="29"/>
          <w:b/>
          <w:spacing w:val="0"/>
          <w:color w:val="181C20"/>
        </w:rPr>
        <w:t xml:space="preserve">UNKNOWN is the main interpretive constraint.</w:t>
      </w:r>
      <w:r>
        <w:rPr>
          <w:rFonts w:ascii="Arial" w:hAnsi="Arial" w:cs="Arial"/>
          <w:sz w:val="29"/>
          <w:sz-cs w:val="29"/>
          <w:spacing w:val="0"/>
          <w:color w:val="181C20"/>
        </w:rPr>
        <w:t xml:space="preserve"> Its 6.18-point increase materially affects the apparent PERMISSIBLE direction.</w:t>
      </w:r>
    </w:p>
    <w:p>
      <w:pPr>
        <w:spacing w:after="213"/>
      </w:pPr>
      <w:r>
        <w:rPr>
          <w:rFonts w:ascii="Arial" w:hAnsi="Arial" w:cs="Arial"/>
          <w:sz w:val="42"/>
          <w:sz-cs w:val="42"/>
          <w:b/>
          <w:spacing w:val="0"/>
          <w:color w:val="255FA6"/>
        </w:rPr>
        <w:t xml:space="preserve">9. Limitations</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Registered locations are a proxy.</w:t>
      </w:r>
      <w:r>
        <w:rPr>
          <w:rFonts w:ascii="Arial" w:hAnsi="Arial" w:cs="Arial"/>
          <w:sz w:val="29"/>
          <w:sz-cs w:val="29"/>
          <w:spacing w:val="0"/>
          <w:color w:val="181C20"/>
        </w:rPr>
        <w:t xml:space="preserve"> They represent registered or planned facilities, not participant nationality, actual country-level recruitment, or enrollment volume.</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Start Date is study-level.</w:t>
      </w:r>
      <w:r>
        <w:rPr>
          <w:rFonts w:ascii="Arial" w:hAnsi="Arial" w:cs="Arial"/>
          <w:sz w:val="29"/>
          <w:sz-cs w:val="29"/>
          <w:spacing w:val="0"/>
          <w:color w:val="181C20"/>
        </w:rPr>
        <w:t xml:space="preserve"> It is not the opening date of each US or China site and is not necessarily confirmed first-patient-in.</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Missing locations are unlikely to be random.</w:t>
      </w:r>
      <w:r>
        <w:rPr>
          <w:rFonts w:ascii="Arial" w:hAnsi="Arial" w:cs="Arial"/>
          <w:sz w:val="29"/>
          <w:sz-cs w:val="29"/>
          <w:spacing w:val="0"/>
          <w:color w:val="181C20"/>
        </w:rPr>
        <w:t xml:space="preserve"> More recent studies may have incomplete or evolving site information. Restricting to known locations is useful as a sensitivity analysis but can itself introduce selection bias.</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StartDateType is incomplete.</w:t>
      </w:r>
      <w:r>
        <w:rPr>
          <w:rFonts w:ascii="Arial" w:hAnsi="Arial" w:cs="Arial"/>
          <w:sz w:val="29"/>
          <w:sz-cs w:val="29"/>
          <w:spacing w:val="0"/>
          <w:color w:val="181C20"/>
        </w:rPr>
        <w:t xml:space="preserve"> Many records have a date but no ACTUAL/ESTIMATED label.</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Registry coverage is selective.</w:t>
      </w:r>
      <w:r>
        <w:rPr>
          <w:rFonts w:ascii="Arial" w:hAnsi="Arial" w:cs="Arial"/>
          <w:sz w:val="29"/>
          <w:sz-cs w:val="29"/>
          <w:spacing w:val="0"/>
          <w:color w:val="181C20"/>
        </w:rPr>
        <w:t xml:space="preserve"> ClinicalTrials.gov does not contain every clinical trial globally, and registration requirements and practices vary by jurisdiction and over time.</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Study-mix confounding is not controlled.</w:t>
      </w:r>
      <w:r>
        <w:rPr>
          <w:rFonts w:ascii="Arial" w:hAnsi="Arial" w:cs="Arial"/>
          <w:sz w:val="29"/>
          <w:sz-cs w:val="29"/>
          <w:spacing w:val="0"/>
          <w:color w:val="181C20"/>
        </w:rPr>
        <w:t xml:space="preserve"> Differences in study type, phase, therapeutic area, sponsor, status, and intervention profile may contribute to the observed geographic distribution.</w:t>
      </w:r>
    </w:p>
    <w:p>
      <w:pPr>
        <w:ind w:left="460" w:first-line="-461"/>
        <w:spacing w:after="133"/>
      </w:pPr>
      <w:r>
        <w:rPr>
          <w:rFonts w:ascii="Arial" w:hAnsi="Arial" w:cs="Arial"/>
          <w:sz w:val="29"/>
          <w:sz-cs w:val="29"/>
          <w:spacing w:val="0"/>
          <w:color w:val="181C20"/>
        </w:rPr>
        <w:t xml:space="preserve">•  </w:t>
      </w:r>
      <w:r>
        <w:rPr>
          <w:rFonts w:ascii="Arial" w:hAnsi="Arial" w:cs="Arial"/>
          <w:sz w:val="29"/>
          <w:sz-cs w:val="29"/>
          <w:b/>
          <w:spacing w:val="0"/>
          <w:color w:val="181C20"/>
        </w:rPr>
        <w:t xml:space="preserve">No causal inference is supported.</w:t>
      </w:r>
      <w:r>
        <w:rPr>
          <w:rFonts w:ascii="Arial" w:hAnsi="Arial" w:cs="Arial"/>
          <w:sz w:val="29"/>
          <w:sz-cs w:val="29"/>
          <w:spacing w:val="0"/>
          <w:color w:val="181C20"/>
        </w:rPr>
        <w:t xml:space="preserve"> The results do not identify why the distribution changed.</w:t>
      </w:r>
    </w:p>
    <w:p>
      <w:pPr>
        <w:spacing w:after="213"/>
      </w:pPr>
      <w:r>
        <w:rPr>
          <w:rFonts w:ascii="Arial" w:hAnsi="Arial" w:cs="Arial"/>
          <w:sz w:val="42"/>
          <w:sz-cs w:val="42"/>
          <w:b/>
          <w:spacing w:val="0"/>
          <w:color w:val="255FA6"/>
        </w:rPr>
        <w:t xml:space="preserve">10. Recommended Use and Next Analyses</w:t>
      </w:r>
    </w:p>
    <w:p>
      <w:pPr>
        <w:spacing w:after="160"/>
      </w:pPr>
      <w:r>
        <w:rPr>
          <w:rFonts w:ascii="Arial" w:hAnsi="Arial" w:cs="Arial"/>
          <w:sz w:val="29"/>
          <w:sz-cs w:val="29"/>
          <w:spacing w:val="0"/>
          <w:color w:val="181C20"/>
        </w:rPr>
        <w:t xml:space="preserve">The current results are appropriate for a mentor-facing descriptive finding when the denominator and metadata limitations are stated explicitly. Recommended follow-up analyses are:</w:t>
      </w:r>
    </w:p>
    <w:p>
      <w:pPr>
        <w:ind w:left="460" w:first-line="-461"/>
        <w:spacing w:after="133"/>
      </w:pPr>
      <w:r>
        <w:rPr>
          <w:rFonts w:ascii="Arial" w:hAnsi="Arial" w:cs="Arial"/>
          <w:sz w:val="29"/>
          <w:sz-cs w:val="29"/>
          <w:spacing w:val="0"/>
          <w:color w:val="181C20"/>
        </w:rPr>
        <w:t xml:space="preserve">1.  Report the all-cohort result as primary and known-location result as a planned sensitivity analysis.</w:t>
      </w:r>
    </w:p>
    <w:p>
      <w:pPr>
        <w:ind w:left="460" w:first-line="-461"/>
        <w:spacing w:after="133"/>
      </w:pPr>
      <w:r>
        <w:rPr>
          <w:rFonts w:ascii="Arial" w:hAnsi="Arial" w:cs="Arial"/>
          <w:sz w:val="29"/>
          <w:sz-cs w:val="29"/>
          <w:spacing w:val="0"/>
          <w:color w:val="181C20"/>
        </w:rPr>
        <w:t xml:space="preserve">2.  Show annual trends rather than only two pooled periods to determine whether the change is gradual or concentrated in particular years.</w:t>
      </w:r>
    </w:p>
    <w:p>
      <w:pPr>
        <w:ind w:left="460" w:first-line="-461"/>
        <w:spacing w:after="133"/>
      </w:pPr>
      <w:r>
        <w:rPr>
          <w:rFonts w:ascii="Arial" w:hAnsi="Arial" w:cs="Arial"/>
          <w:sz w:val="29"/>
          <w:sz-cs w:val="29"/>
          <w:spacing w:val="0"/>
          <w:color w:val="181C20"/>
        </w:rPr>
        <w:t xml:space="preserve">3.  Stratify by study type, status, phase, therapeutic area, and sponsor type where fields are available.</w:t>
      </w:r>
    </w:p>
    <w:p>
      <w:pPr>
        <w:ind w:left="460" w:first-line="-461"/>
        <w:spacing w:after="133"/>
      </w:pPr>
      <w:r>
        <w:rPr>
          <w:rFonts w:ascii="Arial" w:hAnsi="Arial" w:cs="Arial"/>
          <w:sz w:val="29"/>
          <w:sz-cs w:val="29"/>
          <w:spacing w:val="0"/>
          <w:color w:val="181C20"/>
        </w:rPr>
        <w:t xml:space="preserve">4.  Repeat the comparison using ACTUAL Start Dates only, while reporting the loss of records caused by missing StartDateType.</w:t>
      </w:r>
    </w:p>
    <w:p>
      <w:pPr>
        <w:ind w:left="460" w:first-line="-461"/>
        <w:spacing w:after="133"/>
      </w:pPr>
      <w:r>
        <w:rPr>
          <w:rFonts w:ascii="Arial" w:hAnsi="Arial" w:cs="Arial"/>
          <w:sz w:val="29"/>
          <w:sz-cs w:val="29"/>
          <w:spacing w:val="0"/>
          <w:color w:val="181C20"/>
        </w:rPr>
        <w:t xml:space="preserve">5.  Track UNKNOWN-location coverage by Start Date year to assess registration-lag effects.</w:t>
      </w:r>
    </w:p>
    <w:p>
      <w:pPr>
        <w:ind w:left="460" w:first-line="-461"/>
        <w:spacing w:after="133"/>
      </w:pPr>
      <w:r>
        <w:rPr>
          <w:rFonts w:ascii="Arial" w:hAnsi="Arial" w:cs="Arial"/>
          <w:sz w:val="29"/>
          <w:sz-cs w:val="29"/>
          <w:spacing w:val="0"/>
          <w:color w:val="181C20"/>
        </w:rPr>
        <w:t xml:space="preserve">6.  Avoid interpreting NEXUS as participant-level US–China enrollment without additional enrollment data.</w:t>
      </w:r>
    </w:p>
    <w:p>
      <w:pPr>
        <w:spacing w:after="213"/>
      </w:pPr>
      <w:r>
        <w:rPr>
          <w:rFonts w:ascii="Arial" w:hAnsi="Arial" w:cs="Arial"/>
          <w:sz w:val="42"/>
          <w:sz-cs w:val="42"/>
          <w:b/>
          <w:spacing w:val="0"/>
          <w:color w:val="255FA6"/>
        </w:rPr>
        <w:t xml:space="preserve">11. Conclusion</w:t>
      </w:r>
    </w:p>
    <w:p>
      <w:pPr>
        <w:spacing w:after="160"/>
      </w:pPr>
      <w:r>
        <w:rPr>
          <w:rFonts w:ascii="Arial" w:hAnsi="Arial" w:cs="Arial"/>
          <w:sz w:val="29"/>
          <w:sz-cs w:val="29"/>
          <w:spacing w:val="0"/>
          <w:color w:val="181C20"/>
        </w:rPr>
        <w:t xml:space="preserve">Among ClinicalTrials.gov studies with registered Start Dates in the respective periods, the proportion with registered facility locations in both the United States and China was modestly higher in Recent 3Y than in 4–6 Years Ago: </w:t>
      </w:r>
      <w:r>
        <w:rPr>
          <w:rFonts w:ascii="Arial" w:hAnsi="Arial" w:cs="Arial"/>
          <w:sz w:val="29"/>
          <w:sz-cs w:val="29"/>
          <w:b/>
          <w:spacing w:val="0"/>
          <w:color w:val="181C20"/>
        </w:rPr>
        <w:t xml:space="preserve">0.67% versus 0.58%</w:t>
      </w:r>
      <w:r>
        <w:rPr>
          <w:rFonts w:ascii="Arial" w:hAnsi="Arial" w:cs="Arial"/>
          <w:sz w:val="29"/>
          <w:sz-cs w:val="29"/>
          <w:spacing w:val="0"/>
          <w:color w:val="181C20"/>
        </w:rPr>
        <w:t xml:space="preserve">, an increase of approximately </w:t>
      </w:r>
      <w:r>
        <w:rPr>
          <w:rFonts w:ascii="Arial" w:hAnsi="Arial" w:cs="Arial"/>
          <w:sz w:val="29"/>
          <w:sz-cs w:val="29"/>
          <w:b/>
          <w:spacing w:val="0"/>
          <w:color w:val="181C20"/>
        </w:rPr>
        <w:t xml:space="preserve">0.09 percentage points</w:t>
      </w:r>
      <w:r>
        <w:rPr>
          <w:rFonts w:ascii="Arial" w:hAnsi="Arial" w:cs="Arial"/>
          <w:sz w:val="29"/>
          <w:sz-cs w:val="29"/>
          <w:spacing w:val="0"/>
          <w:color w:val="181C20"/>
        </w:rPr>
        <w:t xml:space="preserve">. The same direction was present among studies with known location data.</w:t>
      </w:r>
    </w:p>
    <w:p>
      <w:pPr>
        <w:spacing w:after="160"/>
      </w:pPr>
      <w:r>
        <w:rPr>
          <w:rFonts w:ascii="Arial" w:hAnsi="Arial" w:cs="Arial"/>
          <w:sz w:val="29"/>
          <w:sz-cs w:val="29"/>
          <w:spacing w:val="0"/>
          <w:color w:val="181C20"/>
        </w:rPr>
        <w:t xml:space="preserve">At the same time, US_ONLY, US_NON_CHINA_MULTI, and overall HAS_US shares were lower in Recent 3Y. The substantially higher UNKNOWN-location share in Recent 3Y limits interpretation of the broader geographic distribution and explains why the direction of the PERMISSIBLE comparison changes when the denominator is restricted to known-location studies.</w:t>
      </w:r>
    </w:p>
    <w:p>
      <w:pPr>
        <w:spacing w:after="160"/>
      </w:pPr>
      <w:r>
        <w:rPr>
          <w:rFonts w:ascii="Arial" w:hAnsi="Arial" w:cs="Arial"/>
          <w:sz w:val="29"/>
          <w:sz-cs w:val="29"/>
          <w:spacing w:val="0"/>
          <w:color w:val="181C20"/>
        </w:rPr>
        <w:t xml:space="preserve">The most defensible conclusion is therefore narrow: </w:t>
      </w:r>
      <w:r>
        <w:rPr>
          <w:rFonts w:ascii="Arial" w:hAnsi="Arial" w:cs="Arial"/>
          <w:sz w:val="29"/>
          <w:sz-cs w:val="29"/>
          <w:b/>
          <w:spacing w:val="0"/>
          <w:color w:val="181C20"/>
        </w:rPr>
        <w:t xml:space="preserve">the registered NEXUS share is modestly higher in the recent period, but the analysis is descriptive, the absolute effect is small, and missing recent location metadata materially affects other category comparisons.</w:t>
      </w:r>
      <w:r>
        <w:rPr>
          <w:rFonts w:ascii="Arial" w:hAnsi="Arial" w:cs="Arial"/>
          <w:sz w:val="29"/>
          <w:sz-cs w:val="29"/>
          <w:spacing w:val="0"/>
          <w:color w:val="181C20"/>
        </w:rPr>
        <w:t xml:space="preserve"/>
      </w:r>
    </w:p>
    <w:p>
      <w:pPr>
        <w:spacing w:after="213"/>
      </w:pPr>
      <w:r>
        <w:rPr>
          <w:rFonts w:ascii="Arial" w:hAnsi="Arial" w:cs="Arial"/>
          <w:sz w:val="42"/>
          <w:sz-cs w:val="42"/>
          <w:b/>
          <w:spacing w:val="0"/>
          <w:color w:val="255FA6"/>
        </w:rPr>
        <w:t xml:space="preserve">Reproducibility Metadata</w:t>
      </w:r>
    </w:p>
    <w:p>
      <w:pPr>
        <w:jc w:val="center"/>
      </w:pPr>
      <w:r>
        <w:rPr>
          <w:rFonts w:ascii="Arial" w:hAnsi="Arial" w:cs="Arial"/>
          <w:sz w:val="25"/>
          <w:sz-cs w:val="25"/>
          <w:b/>
          <w:spacing w:val="0"/>
          <w:color w:val="13284B"/>
        </w:rPr>
        <w:t xml:space="preserve">Item</w:t>
      </w:r>
    </w:p>
    <w:p>
      <w:pPr>
        <w:jc w:val="center"/>
      </w:pPr>
      <w:r>
        <w:rPr>
          <w:rFonts w:ascii="Arial" w:hAnsi="Arial" w:cs="Arial"/>
          <w:sz w:val="25"/>
          <w:sz-cs w:val="25"/>
          <w:b/>
          <w:spacing w:val="0"/>
          <w:color w:val="13284B"/>
        </w:rPr>
        <w:t xml:space="preserve">Value</w:t>
      </w:r>
    </w:p>
    <w:p>
      <w:pPr/>
      <w:r>
        <w:rPr>
          <w:rFonts w:ascii="Arial" w:hAnsi="Arial" w:cs="Arial"/>
          <w:sz w:val="25"/>
          <w:sz-cs w:val="25"/>
          <w:spacing w:val="0"/>
          <w:color w:val="181C20"/>
        </w:rPr>
        <w:t xml:space="preserve">Full snapshot directory</w:t>
      </w:r>
    </w:p>
    <w:p>
      <w:pPr/>
      <w:r>
        <w:rPr>
          <w:rFonts w:ascii="Menlo" w:hAnsi="Menlo" w:cs="Menlo"/>
          <w:sz w:val="24"/>
          <w:sz-cs w:val="24"/>
          <w:spacing w:val="0"/>
          <w:color w:val="13284B"/>
        </w:rPr>
        <w:t xml:space="preserve">runs/run_20260720T074104Z</w:t>
      </w:r>
      <w:r>
        <w:rPr>
          <w:rFonts w:ascii="Arial" w:hAnsi="Arial" w:cs="Arial"/>
          <w:sz w:val="25"/>
          <w:sz-cs w:val="25"/>
          <w:spacing w:val="0"/>
          <w:color w:val="181C20"/>
        </w:rPr>
        <w:t xml:space="preserve"/>
      </w:r>
    </w:p>
    <w:p>
      <w:pPr/>
      <w:r>
        <w:rPr>
          <w:rFonts w:ascii="Arial" w:hAnsi="Arial" w:cs="Arial"/>
          <w:sz w:val="25"/>
          <w:sz-cs w:val="25"/>
          <w:spacing w:val="0"/>
          <w:color w:val="181C20"/>
        </w:rPr>
        <w:t xml:space="preserve">Summary output directory</w:t>
      </w:r>
    </w:p>
    <w:p>
      <w:pPr/>
      <w:r>
        <w:rPr>
          <w:rFonts w:ascii="Menlo" w:hAnsi="Menlo" w:cs="Menlo"/>
          <w:sz w:val="24"/>
          <w:sz-cs w:val="24"/>
          <w:spacing w:val="0"/>
          <w:color w:val="13284B"/>
        </w:rPr>
        <w:t xml:space="preserve">runs/run_20260720T074104Z/out_time_summary</w:t>
      </w:r>
      <w:r>
        <w:rPr>
          <w:rFonts w:ascii="Arial" w:hAnsi="Arial" w:cs="Arial"/>
          <w:sz w:val="25"/>
          <w:sz-cs w:val="25"/>
          <w:spacing w:val="0"/>
          <w:color w:val="181C20"/>
        </w:rPr>
        <w:t xml:space="preserve"/>
      </w:r>
    </w:p>
    <w:p>
      <w:pPr/>
      <w:r>
        <w:rPr>
          <w:rFonts w:ascii="Arial" w:hAnsi="Arial" w:cs="Arial"/>
          <w:sz w:val="25"/>
          <w:sz-cs w:val="25"/>
          <w:spacing w:val="0"/>
          <w:color w:val="181C20"/>
        </w:rPr>
        <w:t xml:space="preserve">Harvest timestamp</w:t>
      </w:r>
    </w:p>
    <w:p>
      <w:pPr/>
      <w:r>
        <w:rPr>
          <w:rFonts w:ascii="Arial" w:hAnsi="Arial" w:cs="Arial"/>
          <w:sz w:val="25"/>
          <w:sz-cs w:val="25"/>
          <w:spacing w:val="0"/>
          <w:color w:val="181C20"/>
        </w:rPr>
        <w:t xml:space="preserve">2026-07-20T09:10:25.562858+00:00</w:t>
      </w:r>
    </w:p>
    <w:p>
      <w:pPr/>
      <w:r>
        <w:rPr>
          <w:rFonts w:ascii="Arial" w:hAnsi="Arial" w:cs="Arial"/>
          <w:sz w:val="25"/>
          <w:sz-cs w:val="25"/>
          <w:spacing w:val="0"/>
          <w:color w:val="181C20"/>
        </w:rPr>
        <w:t xml:space="preserve">Reference date</w:t>
      </w:r>
    </w:p>
    <w:p>
      <w:pPr/>
      <w:r>
        <w:rPr>
          <w:rFonts w:ascii="Arial" w:hAnsi="Arial" w:cs="Arial"/>
          <w:sz w:val="25"/>
          <w:sz-cs w:val="25"/>
          <w:spacing w:val="0"/>
          <w:color w:val="181C20"/>
        </w:rPr>
        <w:t xml:space="preserve">2026-07-20</w:t>
      </w:r>
    </w:p>
    <w:p>
      <w:pPr/>
      <w:r>
        <w:rPr>
          <w:rFonts w:ascii="Arial" w:hAnsi="Arial" w:cs="Arial"/>
          <w:sz w:val="25"/>
          <w:sz-cs w:val="25"/>
          <w:spacing w:val="0"/>
          <w:color w:val="181C20"/>
        </w:rPr>
        <w:t xml:space="preserve">API</w:t>
      </w:r>
    </w:p>
    <w:p>
      <w:pPr/>
      <w:r>
        <w:rPr>
          <w:rFonts w:ascii="Arial" w:hAnsi="Arial" w:cs="Arial"/>
          <w:sz w:val="25"/>
          <w:sz-cs w:val="25"/>
          <w:spacing w:val="0"/>
          <w:color w:val="181C20"/>
        </w:rPr>
        <w:t xml:space="preserve">ClinicalTrials.gov API v2</w:t>
      </w:r>
    </w:p>
    <w:p>
      <w:pPr/>
      <w:r>
        <w:rPr>
          <w:rFonts w:ascii="Arial" w:hAnsi="Arial" w:cs="Arial"/>
          <w:sz w:val="25"/>
          <w:sz-cs w:val="25"/>
          <w:spacing w:val="0"/>
          <w:color w:val="181C20"/>
        </w:rPr>
        <w:t xml:space="preserve">Unique NCT denominator</w:t>
      </w:r>
    </w:p>
    <w:p>
      <w:pPr>
        <w:jc w:val="right"/>
      </w:pPr>
      <w:r>
        <w:rPr>
          <w:rFonts w:ascii="Arial" w:hAnsi="Arial" w:cs="Arial"/>
          <w:sz w:val="25"/>
          <w:sz-cs w:val="25"/>
          <w:spacing w:val="0"/>
          <w:color w:val="181C20"/>
        </w:rPr>
        <w:t xml:space="preserve">594,543</w:t>
      </w:r>
    </w:p>
    <w:p>
      <w:pPr/>
      <w:r>
        <w:rPr>
          <w:rFonts w:ascii="Arial" w:hAnsi="Arial" w:cs="Arial"/>
          <w:sz w:val="25"/>
          <w:sz-cs w:val="25"/>
          <w:spacing w:val="0"/>
          <w:color w:val="181C20"/>
        </w:rPr>
        <w:t xml:space="preserve">Raw hash verification</w:t>
      </w:r>
    </w:p>
    <w:p>
      <w:pPr/>
      <w:r>
        <w:rPr>
          <w:rFonts w:ascii="Arial" w:hAnsi="Arial" w:cs="Arial"/>
          <w:sz w:val="25"/>
          <w:sz-cs w:val="25"/>
          <w:spacing w:val="0"/>
          <w:color w:val="181C20"/>
        </w:rPr>
        <w:t xml:space="preserve">PASS</w:t>
      </w:r>
    </w:p>
    <w:p>
      <w:pPr/>
      <w:r>
        <w:rPr>
          <w:rFonts w:ascii="Arial" w:hAnsi="Arial" w:cs="Arial"/>
          <w:sz w:val="25"/>
          <w:sz-cs w:val="25"/>
          <w:spacing w:val="0"/>
          <w:color w:val="181C20"/>
        </w:rPr>
        <w:t xml:space="preserve">Cross-format discrepancies</w:t>
      </w:r>
    </w:p>
    <w:p>
      <w:pPr>
        <w:jc w:val="right"/>
      </w:pPr>
      <w:r>
        <w:rPr>
          <w:rFonts w:ascii="Arial" w:hAnsi="Arial" w:cs="Arial"/>
          <w:sz w:val="25"/>
          <w:sz-cs w:val="25"/>
          <w:spacing w:val="0"/>
          <w:color w:val="181C20"/>
        </w:rPr>
        <w:t xml:space="preserve">0</w:t>
      </w:r>
    </w:p>
    <w:p>
      <w:pPr/>
      <w:r>
        <w:rPr>
          <w:rFonts w:ascii="Arial" w:hAnsi="Arial" w:cs="Arial"/>
          <w:sz w:val="25"/>
          <w:sz-cs w:val="25"/>
          <w:spacing w:val="0"/>
          <w:color w:val="181C20"/>
        </w:rPr>
        <w:t xml:space="preserve">Reconciliation discrepancies</w:t>
      </w:r>
    </w:p>
    <w:p>
      <w:pPr>
        <w:jc w:val="right"/>
      </w:pPr>
      <w:r>
        <w:rPr>
          <w:rFonts w:ascii="Arial" w:hAnsi="Arial" w:cs="Arial"/>
          <w:sz w:val="25"/>
          <w:sz-cs w:val="25"/>
          <w:spacing w:val="0"/>
          <w:color w:val="181C20"/>
        </w:rPr>
        <w:t xml:space="preserve">0</w:t>
      </w:r>
    </w:p>
    <w:p>
      <w:pPr/>
      <w:r>
        <w:rPr>
          <w:rFonts w:ascii="Arial" w:hAnsi="Arial" w:cs="Arial"/>
          <w:sz w:val="25"/>
          <w:sz-cs w:val="25"/>
          <w:spacing w:val="0"/>
          <w:color w:val="181C20"/>
        </w:rPr>
        <w:t xml:space="preserve">Offline tests</w:t>
      </w:r>
    </w:p>
    <w:p>
      <w:pPr>
        <w:jc w:val="right"/>
      </w:pPr>
      <w:r>
        <w:rPr>
          <w:rFonts w:ascii="Arial" w:hAnsi="Arial" w:cs="Arial"/>
          <w:sz w:val="25"/>
          <w:sz-cs w:val="25"/>
          <w:spacing w:val="0"/>
          <w:color w:val="181C20"/>
        </w:rPr>
        <w:t xml:space="preserve">37/37 PASS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