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Evaluating Biomagnification of Organohalogenated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r w:rsidRPr="00F92A4A">
        <w:rPr>
          <w:sz w:val="28"/>
          <w:szCs w:val="24"/>
        </w:rPr>
        <w:t>Loizeau Véronique</w:t>
      </w:r>
      <w:r w:rsidR="0088353D" w:rsidRPr="00F92A4A">
        <w:rPr>
          <w:sz w:val="28"/>
          <w:szCs w:val="24"/>
          <w:vertAlign w:val="superscript"/>
        </w:rPr>
        <w:t>3</w:t>
      </w:r>
      <w:r w:rsidRPr="00F92A4A">
        <w:rPr>
          <w:sz w:val="28"/>
          <w:szCs w:val="24"/>
        </w:rPr>
        <w:t xml:space="preserve">, </w:t>
      </w:r>
      <w:r w:rsidR="0088353D" w:rsidRPr="00F92A4A">
        <w:rPr>
          <w:sz w:val="28"/>
          <w:szCs w:val="24"/>
        </w:rPr>
        <w:t>Munschy Catherine</w:t>
      </w:r>
      <w:r w:rsidR="0088353D" w:rsidRPr="00F92A4A">
        <w:rPr>
          <w:sz w:val="28"/>
          <w:szCs w:val="24"/>
          <w:vertAlign w:val="superscript"/>
        </w:rPr>
        <w:t xml:space="preserve"> 4</w:t>
      </w:r>
      <w:r w:rsidR="0088353D" w:rsidRPr="00F92A4A">
        <w:rPr>
          <w:sz w:val="28"/>
          <w:szCs w:val="24"/>
        </w:rPr>
        <w:t>, Budzinski Hélène</w:t>
      </w:r>
      <w:r w:rsidR="0088353D" w:rsidRPr="00F92A4A">
        <w:rPr>
          <w:sz w:val="28"/>
          <w:szCs w:val="24"/>
          <w:vertAlign w:val="superscript"/>
        </w:rPr>
        <w:t>2</w:t>
      </w:r>
      <w:r w:rsidR="0088353D" w:rsidRPr="00F92A4A">
        <w:rPr>
          <w:sz w:val="28"/>
          <w:szCs w:val="24"/>
        </w:rPr>
        <w:t xml:space="preserve">, </w:t>
      </w:r>
      <w:r w:rsidRPr="00F92A4A">
        <w:rPr>
          <w:sz w:val="28"/>
          <w:szCs w:val="24"/>
        </w:rPr>
        <w:t>Aminot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Université de Bordeaux, UMR 5805 CNRS, EPOC, LPTC Research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Jérémy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9498287"/>
      <w:r w:rsidRPr="00F92A4A">
        <w:rPr>
          <w:sz w:val="32"/>
          <w:szCs w:val="36"/>
          <w:lang w:val="en-GB"/>
        </w:rPr>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trophodynamics of organohalogenated pollutants</w:t>
      </w:r>
      <w:r w:rsidRPr="00F92A4A">
        <w:rPr>
          <w:sz w:val="24"/>
          <w:szCs w:val="24"/>
          <w:lang w:val="en-GB"/>
        </w:rPr>
        <w:t xml:space="preserve"> from three families in </w:t>
      </w:r>
      <w:r w:rsidRPr="00F92A4A">
        <w:rPr>
          <w:b/>
          <w:bCs/>
          <w:sz w:val="24"/>
          <w:szCs w:val="24"/>
          <w:lang w:val="en-GB"/>
        </w:rPr>
        <w:t xml:space="preserve">juvenile </w:t>
      </w:r>
      <w:r w:rsidRPr="00F92A4A">
        <w:rPr>
          <w:b/>
          <w:bCs/>
          <w:i/>
          <w:iCs/>
          <w:sz w:val="24"/>
          <w:szCs w:val="24"/>
          <w:lang w:val="en-GB"/>
        </w:rPr>
        <w:t>Solea solea</w:t>
      </w:r>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r w:rsidR="00966623" w:rsidRPr="00F92A4A">
        <w:rPr>
          <w:b/>
          <w:bCs/>
          <w:i/>
          <w:iCs/>
          <w:sz w:val="24"/>
          <w:szCs w:val="24"/>
          <w:lang w:val="en-GB"/>
        </w:rPr>
        <w:t>Solea solea</w:t>
      </w:r>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9498288"/>
      <w:r w:rsidRPr="00F92A4A">
        <w:rPr>
          <w:sz w:val="32"/>
          <w:szCs w:val="36"/>
          <w:lang w:val="en-GB"/>
        </w:rPr>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ground ; flatfish juvenile; </w:t>
      </w:r>
      <w:r w:rsidRPr="00F92A4A">
        <w:rPr>
          <w:i/>
          <w:iCs/>
          <w:sz w:val="24"/>
          <w:szCs w:val="24"/>
          <w:lang w:val="en-GB"/>
        </w:rPr>
        <w:t>Solea solea</w:t>
      </w:r>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9498289"/>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9498290"/>
      <w:r w:rsidRPr="00F92A4A">
        <w:rPr>
          <w:sz w:val="32"/>
          <w:szCs w:val="36"/>
          <w:lang w:val="en-GB"/>
        </w:rPr>
        <w:t>Revues</w:t>
      </w:r>
      <w:bookmarkEnd w:id="4"/>
    </w:p>
    <w:p w14:paraId="0F1E5292" w14:textId="77777777" w:rsidR="00C51566" w:rsidRPr="00F92A4A" w:rsidRDefault="006B542A" w:rsidP="00E70B6E">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E70B6E">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E70B6E">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E70B6E">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E70B6E">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E70B6E">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E70B6E">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E70B6E">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E70B6E">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E70B6E">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E70B6E">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E70B6E">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E70B6E">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E70B6E">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E70B6E">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E70B6E">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E70B6E">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E70B6E">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E70B6E">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E70B6E">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E70B6E">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E70B6E">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E70B6E">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E70B6E">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E70B6E">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E70B6E">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E70B6E">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E70B6E">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E70B6E">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E70B6E">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E70B6E">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E70B6E">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E70B6E">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E70B6E">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E70B6E">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E70B6E">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E70B6E">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E70B6E">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E70B6E">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E70B6E">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E70B6E">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E70B6E">
      <w:pPr>
        <w:pStyle w:val="Titre1"/>
        <w:numPr>
          <w:ilvl w:val="0"/>
          <w:numId w:val="6"/>
        </w:numPr>
        <w:rPr>
          <w:sz w:val="32"/>
          <w:szCs w:val="36"/>
        </w:rPr>
      </w:pPr>
      <w:bookmarkStart w:id="6" w:name="_Toc8045440"/>
      <w:bookmarkStart w:id="7" w:name="_Toc199498292"/>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r w:rsidRPr="00890C20">
        <w:rPr>
          <w:i/>
          <w:iCs/>
          <w:highlight w:val="green"/>
          <w:lang w:val="en-GB"/>
        </w:rPr>
        <w:t>Solea solea</w:t>
      </w:r>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r w:rsidR="00C02798" w:rsidRPr="00890C20">
        <w:rPr>
          <w:highlight w:val="green"/>
          <w:lang w:val="en-GB"/>
        </w:rPr>
        <w:t>bioaccessibility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25A2BF12"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E6B5A">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(Gilliers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(i) </w:t>
      </w:r>
      <w:r w:rsidR="00182221" w:rsidRPr="00182221">
        <w:rPr>
          <w:highlight w:val="green"/>
          <w:lang w:val="en-GB"/>
        </w:rPr>
        <w:t>substances recently listed under the Stockholm Convention on POPs, such as perfluorooctane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60B14EDD"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BioMagnification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w:t>
      </w:r>
      <w:r w:rsidR="00B233B1">
        <w:rPr>
          <w:highlight w:val="green"/>
          <w:lang w:val="en-US"/>
        </w:rPr>
        <w:lastRenderedPageBreak/>
        <w:t>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 xml:space="preserve">In the case of 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9498293"/>
      <w:r w:rsidRPr="00F92A4A">
        <w:rPr>
          <w:sz w:val="32"/>
          <w:szCs w:val="36"/>
        </w:rPr>
        <w:t>Materials and methods</w:t>
      </w:r>
      <w:bookmarkEnd w:id="8"/>
    </w:p>
    <w:p w14:paraId="4CD138D9" w14:textId="50771B50" w:rsidR="00F872D1" w:rsidRPr="00091EA9" w:rsidRDefault="00F872D1" w:rsidP="00F872D1">
      <w:pPr>
        <w:pStyle w:val="Titre2"/>
        <w:rPr>
          <w:sz w:val="32"/>
          <w:szCs w:val="36"/>
          <w:highlight w:val="green"/>
        </w:rPr>
      </w:pPr>
      <w:bookmarkStart w:id="9" w:name="_Toc199498294"/>
      <w:r w:rsidRPr="00091EA9">
        <w:rPr>
          <w:sz w:val="32"/>
          <w:szCs w:val="36"/>
          <w:highlight w:val="green"/>
        </w:rPr>
        <w:t>Dataset</w:t>
      </w:r>
      <w:bookmarkEnd w:id="9"/>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r w:rsidRPr="00D94576">
        <w:rPr>
          <w:i/>
          <w:iCs/>
          <w:highlight w:val="green"/>
          <w:lang w:val="en-GB"/>
        </w:rPr>
        <w:t>Solea solea</w:t>
      </w:r>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r w:rsidR="002A3BDD">
        <w:rPr>
          <w:highlight w:val="green"/>
          <w:lang w:val="en-GB"/>
        </w:rPr>
        <w:t>totaling</w:t>
      </w:r>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and omnivor</w:t>
      </w:r>
      <w:r w:rsidR="002A3BDD">
        <w:rPr>
          <w:highlight w:val="green"/>
          <w:lang w:val="en-GB"/>
        </w:rPr>
        <w:t>y</w:t>
      </w:r>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r w:rsidR="00F872D1" w:rsidRPr="00D94576">
        <w:rPr>
          <w:i/>
          <w:iCs/>
          <w:highlight w:val="green"/>
          <w:lang w:val="en-US"/>
        </w:rPr>
        <w:t>Solea solea</w:t>
      </w:r>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tblGrid>
      <w:tr w:rsidR="00E94CF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94CF0" w:rsidRPr="006941E4" w:rsidRDefault="00E94CF0" w:rsidP="00D9792E">
            <w:pPr>
              <w:pStyle w:val="Sansinterligne"/>
              <w:rPr>
                <w:rFonts w:cstheme="minorHAnsi"/>
                <w:sz w:val="18"/>
                <w:szCs w:val="18"/>
              </w:rPr>
            </w:pPr>
            <w:r w:rsidRPr="006941E4">
              <w:rPr>
                <w:rFonts w:cstheme="minorHAnsi"/>
                <w:sz w:val="18"/>
                <w:szCs w:val="18"/>
              </w:rPr>
              <w:t>Species</w:t>
            </w:r>
          </w:p>
        </w:tc>
        <w:tc>
          <w:tcPr>
            <w:tcW w:w="1244" w:type="dxa"/>
          </w:tcPr>
          <w:p w14:paraId="4B639804" w14:textId="77777777"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Feeding mode</w:t>
            </w:r>
          </w:p>
        </w:tc>
        <w:tc>
          <w:tcPr>
            <w:tcW w:w="1112" w:type="dxa"/>
          </w:tcPr>
          <w:p w14:paraId="0D40BBE3" w14:textId="5DDB3ED6"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Sample size</w:t>
            </w:r>
          </w:p>
        </w:tc>
        <w:tc>
          <w:tcPr>
            <w:tcW w:w="841" w:type="dxa"/>
          </w:tcPr>
          <w:p w14:paraId="07A5CAEE" w14:textId="12CC3B55"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r>
      <w:tr w:rsidR="00E94CF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94CF0" w:rsidRPr="006941E4" w:rsidRDefault="00E94CF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Cerastoderma edule</w:t>
            </w:r>
          </w:p>
        </w:tc>
        <w:tc>
          <w:tcPr>
            <w:tcW w:w="1244" w:type="dxa"/>
          </w:tcPr>
          <w:p w14:paraId="14043CF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023E6564" w:rsidR="00E94CF0" w:rsidRPr="006941E4" w:rsidRDefault="00725D0A"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r w:rsidR="00E94CF0" w:rsidRPr="006941E4">
              <w:rPr>
                <w:rFonts w:cstheme="minorHAnsi"/>
                <w:sz w:val="18"/>
                <w:szCs w:val="18"/>
              </w:rPr>
              <w:t>0%</w:t>
            </w:r>
          </w:p>
        </w:tc>
        <w:tc>
          <w:tcPr>
            <w:tcW w:w="993" w:type="dxa"/>
          </w:tcPr>
          <w:p w14:paraId="272105F6" w14:textId="5DAE52F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Corbula gibba</w:t>
            </w:r>
          </w:p>
        </w:tc>
        <w:tc>
          <w:tcPr>
            <w:tcW w:w="1244" w:type="dxa"/>
          </w:tcPr>
          <w:p w14:paraId="464017B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Donax vittatus</w:t>
            </w:r>
          </w:p>
        </w:tc>
        <w:tc>
          <w:tcPr>
            <w:tcW w:w="1244" w:type="dxa"/>
          </w:tcPr>
          <w:p w14:paraId="4EFE916C"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Ensis directus</w:t>
            </w:r>
          </w:p>
        </w:tc>
        <w:tc>
          <w:tcPr>
            <w:tcW w:w="1244" w:type="dxa"/>
          </w:tcPr>
          <w:p w14:paraId="21CA2B4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2EC44DB3"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0%</w:t>
            </w:r>
          </w:p>
        </w:tc>
        <w:tc>
          <w:tcPr>
            <w:tcW w:w="993" w:type="dxa"/>
          </w:tcPr>
          <w:p w14:paraId="2F17BAD9" w14:textId="7F1A6A6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Limecola balthica</w:t>
            </w:r>
          </w:p>
        </w:tc>
        <w:tc>
          <w:tcPr>
            <w:tcW w:w="1244" w:type="dxa"/>
          </w:tcPr>
          <w:p w14:paraId="276F624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4461B5F7"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r>
      <w:tr w:rsidR="00E94CF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Nucula nitidosa</w:t>
            </w:r>
          </w:p>
        </w:tc>
        <w:tc>
          <w:tcPr>
            <w:tcW w:w="1244" w:type="dxa"/>
          </w:tcPr>
          <w:p w14:paraId="01010F88"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2420C31C"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Scrobicularia plana</w:t>
            </w:r>
          </w:p>
        </w:tc>
        <w:tc>
          <w:tcPr>
            <w:tcW w:w="1244" w:type="dxa"/>
          </w:tcPr>
          <w:p w14:paraId="162E9EF4"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026D783A"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94CF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Spisula subtruncata</w:t>
            </w:r>
          </w:p>
        </w:tc>
        <w:tc>
          <w:tcPr>
            <w:tcW w:w="1244" w:type="dxa"/>
          </w:tcPr>
          <w:p w14:paraId="63D566D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94CF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Corophium volutator</w:t>
            </w:r>
          </w:p>
        </w:tc>
        <w:tc>
          <w:tcPr>
            <w:tcW w:w="1244" w:type="dxa"/>
          </w:tcPr>
          <w:p w14:paraId="3FF10840" w14:textId="6B37124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CD64AB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63FCB1DB"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Crangon crangon</w:t>
            </w:r>
          </w:p>
        </w:tc>
        <w:tc>
          <w:tcPr>
            <w:tcW w:w="1244" w:type="dxa"/>
          </w:tcPr>
          <w:p w14:paraId="46E9C4A1" w14:textId="071DFA4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Crustacean</w:t>
            </w:r>
          </w:p>
        </w:tc>
        <w:tc>
          <w:tcPr>
            <w:tcW w:w="1662" w:type="dxa"/>
          </w:tcPr>
          <w:p w14:paraId="11292544"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Hediste diversicolor</w:t>
            </w:r>
          </w:p>
        </w:tc>
        <w:tc>
          <w:tcPr>
            <w:tcW w:w="1244" w:type="dxa"/>
          </w:tcPr>
          <w:p w14:paraId="671121A0" w14:textId="1BB5613E"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1743E91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Lagis koreni</w:t>
            </w:r>
          </w:p>
        </w:tc>
        <w:tc>
          <w:tcPr>
            <w:tcW w:w="1244" w:type="dxa"/>
          </w:tcPr>
          <w:p w14:paraId="00742E2C" w14:textId="291ACF8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041BF58D"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3FA7D21A"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Lanice conchilega</w:t>
            </w:r>
          </w:p>
        </w:tc>
        <w:tc>
          <w:tcPr>
            <w:tcW w:w="1244" w:type="dxa"/>
          </w:tcPr>
          <w:p w14:paraId="33F733EC" w14:textId="5E048D0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2D8FBC7A"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Deposit feeder</w:t>
            </w:r>
          </w:p>
        </w:tc>
        <w:tc>
          <w:tcPr>
            <w:tcW w:w="1112" w:type="dxa"/>
          </w:tcPr>
          <w:p w14:paraId="7E3E62B1"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Nephtys sp.</w:t>
            </w:r>
          </w:p>
        </w:tc>
        <w:tc>
          <w:tcPr>
            <w:tcW w:w="1244" w:type="dxa"/>
          </w:tcPr>
          <w:p w14:paraId="52A75B3F" w14:textId="4826F693"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79646F9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Owenia fusiformis</w:t>
            </w:r>
          </w:p>
        </w:tc>
        <w:tc>
          <w:tcPr>
            <w:tcW w:w="1244" w:type="dxa"/>
          </w:tcPr>
          <w:p w14:paraId="0B9DE115" w14:textId="1765CA5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Polychaete</w:t>
            </w:r>
          </w:p>
        </w:tc>
        <w:tc>
          <w:tcPr>
            <w:tcW w:w="1662" w:type="dxa"/>
          </w:tcPr>
          <w:p w14:paraId="42D08F49"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94CF0" w:rsidRPr="006941E4" w:rsidRDefault="00E94CF0" w:rsidP="00EC3F80">
            <w:pPr>
              <w:pStyle w:val="Sansinterligne"/>
              <w:rPr>
                <w:rFonts w:cstheme="minorHAnsi"/>
                <w:i/>
                <w:iCs/>
                <w:sz w:val="18"/>
                <w:szCs w:val="18"/>
              </w:rPr>
            </w:pPr>
            <w:r w:rsidRPr="006941E4">
              <w:rPr>
                <w:rFonts w:cstheme="minorHAnsi"/>
                <w:i/>
                <w:iCs/>
                <w:sz w:val="18"/>
                <w:szCs w:val="18"/>
              </w:rPr>
              <w:t>Solea solea</w:t>
            </w:r>
          </w:p>
        </w:tc>
        <w:tc>
          <w:tcPr>
            <w:tcW w:w="1244" w:type="dxa"/>
          </w:tcPr>
          <w:p w14:paraId="68E6FD55" w14:textId="61C725E4"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Actinopterygii</w:t>
            </w:r>
          </w:p>
        </w:tc>
        <w:tc>
          <w:tcPr>
            <w:tcW w:w="1662" w:type="dxa"/>
          </w:tcPr>
          <w:p w14:paraId="00918857" w14:textId="3BEB10FD"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544D9C74" w:rsidR="00D94576" w:rsidRPr="00681046" w:rsidRDefault="00D94576" w:rsidP="00B364F5">
      <w:pPr>
        <w:rPr>
          <w:highlight w:val="green"/>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w:t>
      </w:r>
      <w:r w:rsidR="00681046">
        <w:rPr>
          <w:highlight w:val="green"/>
          <w:lang w:val="en-GB"/>
        </w:rPr>
        <w:t xml:space="preserve">taxonomic </w:t>
      </w:r>
      <w:r w:rsidRPr="00D94576">
        <w:rPr>
          <w:highlight w:val="green"/>
          <w:lang w:val="en-GB"/>
        </w:rPr>
        <w:t xml:space="preserve">group, divided by the total number of identified </w:t>
      </w:r>
      <w:r w:rsidRPr="00681046">
        <w:rPr>
          <w:highlight w:val="green"/>
          <w:lang w:val="en-GB"/>
        </w:rPr>
        <w:t>prey.</w:t>
      </w:r>
      <w:r w:rsidR="00681046" w:rsidRPr="00681046">
        <w:rPr>
          <w:highlight w:val="green"/>
          <w:lang w:val="en-US"/>
        </w:rPr>
        <w:t xml:space="preserve"> </w:t>
      </w:r>
      <w:r w:rsidR="00681046" w:rsidRPr="00681046">
        <w:rPr>
          <w:highlight w:val="green"/>
          <w:lang w:val="en-US"/>
        </w:rPr>
        <w:t xml:space="preserve">The resulting diet composition consisted of </w:t>
      </w:r>
      <w:r w:rsidR="00035095">
        <w:rPr>
          <w:highlight w:val="green"/>
          <w:lang w:val="en-US"/>
        </w:rPr>
        <w:t>51</w:t>
      </w:r>
      <w:r w:rsidR="00035095" w:rsidRPr="00681046">
        <w:rPr>
          <w:highlight w:val="green"/>
          <w:lang w:val="en-US"/>
        </w:rPr>
        <w:t xml:space="preserve">% arthropods, </w:t>
      </w:r>
      <w:r w:rsidR="00035095">
        <w:rPr>
          <w:highlight w:val="green"/>
          <w:lang w:val="en-US"/>
        </w:rPr>
        <w:t>33</w:t>
      </w:r>
      <w:r w:rsidR="00681046" w:rsidRPr="00681046">
        <w:rPr>
          <w:highlight w:val="green"/>
          <w:lang w:val="en-US"/>
        </w:rPr>
        <w:t xml:space="preserve">% annelids, and </w:t>
      </w:r>
      <w:r w:rsidR="00035095">
        <w:rPr>
          <w:highlight w:val="green"/>
          <w:lang w:val="en-US"/>
        </w:rPr>
        <w:t>16</w:t>
      </w:r>
      <w:r w:rsidR="00681046" w:rsidRPr="00681046">
        <w:rPr>
          <w:highlight w:val="green"/>
          <w:lang w:val="en-US"/>
        </w:rPr>
        <w:t>% molluscs.</w:t>
      </w:r>
      <w:r w:rsidRPr="00F92A4A">
        <w:rPr>
          <w:vanish/>
          <w:lang w:val="en-GB"/>
        </w:rPr>
        <w:t>Haut du formulaire</w:t>
      </w:r>
    </w:p>
    <w:p w14:paraId="335B9E60" w14:textId="6C131E48" w:rsidR="00443B00" w:rsidRPr="00B364F5" w:rsidRDefault="00D44793" w:rsidP="00EA6329">
      <w:pPr>
        <w:pStyle w:val="Titre3"/>
        <w:rPr>
          <w:highlight w:val="green"/>
        </w:rPr>
      </w:pPr>
      <w:bookmarkStart w:id="15" w:name="_Toc199498297"/>
      <w:r w:rsidRPr="00B364F5">
        <w:rPr>
          <w:highlight w:val="green"/>
        </w:rPr>
        <w:t>Chemical</w:t>
      </w:r>
      <w:bookmarkEnd w:id="15"/>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organohalogenated compounds: PCBs</w:t>
      </w:r>
      <w:r w:rsidR="00E94CF0">
        <w:rPr>
          <w:highlight w:val="green"/>
          <w:lang w:val="en-GB"/>
        </w:rPr>
        <w:t xml:space="preserve"> and </w:t>
      </w:r>
      <w:r w:rsidRPr="00B364F5">
        <w:rPr>
          <w:highlight w:val="green"/>
          <w:lang w:val="en-GB"/>
        </w:rPr>
        <w:t>PFASs (see SI section 1.2.1 for the presentation of use and reglementation).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5B2E09FD"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DD572D">
        <w:rPr>
          <w:highlight w:val="green"/>
          <w:lang w:val="en-US"/>
        </w:rPr>
        <w:t>2</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00DB5D45">
        <w:rPr>
          <w:highlight w:val="green"/>
          <w:lang w:val="en-GB"/>
        </w:rPr>
        <w:t>, the list of the 26 compounds can be found in SI section 1.2.2</w:t>
      </w:r>
      <w:r w:rsidRPr="00C958A2">
        <w:rPr>
          <w:highlight w:val="green"/>
          <w:lang w:val="en-GB"/>
        </w:rPr>
        <w:t xml:space="preserve">). </w:t>
      </w:r>
      <w:r w:rsidRPr="00C958A2">
        <w:rPr>
          <w:highlight w:val="green"/>
          <w:lang w:val="en-US"/>
        </w:rPr>
        <w:t xml:space="preserve">Additionally,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(dw),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lw),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(Fremlin, Elliott, and Gobas,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/g for each normalisation ww, dw and lw</w:t>
      </w:r>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78881AA9"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3ABC31FE" w:rsidR="000D3C64" w:rsidRPr="00B364F5" w:rsidRDefault="006941E4" w:rsidP="006941E4">
      <w:pPr>
        <w:pStyle w:val="Lgende"/>
        <w:rPr>
          <w:highlight w:val="green"/>
          <w:lang w:val="en-GB"/>
        </w:rPr>
      </w:pPr>
      <w:bookmarkStart w:id="16"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6"/>
      <w:r w:rsidR="000D3C64" w:rsidRPr="00B364F5">
        <w:rPr>
          <w:highlight w:val="green"/>
          <w:lang w:val="en-US"/>
        </w:rPr>
        <w:t xml:space="preserve"> – List of PFASs searched i</w:t>
      </w:r>
      <w:r w:rsidR="000D3C64" w:rsidRPr="00B364F5">
        <w:rPr>
          <w:highlight w:val="green"/>
          <w:lang w:val="en-GB"/>
        </w:rPr>
        <w:t>n benthic preys and sole juveniles’ samples</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496875"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41755D" w:rsidRPr="00496875"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nC</w:t>
            </w:r>
          </w:p>
        </w:tc>
        <w:tc>
          <w:tcPr>
            <w:tcW w:w="520"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41755D" w:rsidRPr="00496875"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496875" w:rsidRDefault="00DB5D45" w:rsidP="00BC3004">
            <w:pPr>
              <w:pStyle w:val="Sansinterligne"/>
              <w:rPr>
                <w:lang w:val="en-US" w:eastAsia="fr-FR"/>
              </w:rPr>
            </w:pPr>
            <w:r w:rsidRPr="00496875">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21B1514" w14:textId="2BB2B2B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PFNA</w:t>
            </w:r>
          </w:p>
        </w:tc>
        <w:tc>
          <w:tcPr>
            <w:tcW w:w="1668" w:type="pct"/>
            <w:vAlign w:val="center"/>
          </w:tcPr>
          <w:p w14:paraId="5E070C7E" w14:textId="1DAC3AB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41B1652E" w14:textId="7355643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9</w:t>
            </w:r>
          </w:p>
        </w:tc>
        <w:tc>
          <w:tcPr>
            <w:tcW w:w="520" w:type="pct"/>
            <w:shd w:val="clear" w:color="auto" w:fill="auto"/>
            <w:vAlign w:val="bottom"/>
          </w:tcPr>
          <w:p w14:paraId="4D837B77" w14:textId="3D3B11EC"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91</w:t>
            </w:r>
          </w:p>
        </w:tc>
        <w:tc>
          <w:tcPr>
            <w:tcW w:w="626" w:type="pct"/>
            <w:shd w:val="clear" w:color="auto" w:fill="auto"/>
            <w:vAlign w:val="bottom"/>
          </w:tcPr>
          <w:p w14:paraId="48245155" w14:textId="2BD1FF0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C4F54AA" w14:textId="4239D5E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93</w:t>
            </w:r>
          </w:p>
        </w:tc>
      </w:tr>
      <w:tr w:rsidR="0041755D" w:rsidRPr="00496875"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PFUnDA</w:t>
            </w:r>
          </w:p>
        </w:tc>
        <w:tc>
          <w:tcPr>
            <w:tcW w:w="1668" w:type="pct"/>
            <w:vAlign w:val="center"/>
          </w:tcPr>
          <w:p w14:paraId="2C907874" w14:textId="1A6EC17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296FDB2D" w14:textId="26004EA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11</w:t>
            </w:r>
          </w:p>
        </w:tc>
        <w:tc>
          <w:tcPr>
            <w:tcW w:w="520" w:type="pct"/>
            <w:shd w:val="clear" w:color="auto" w:fill="auto"/>
            <w:vAlign w:val="bottom"/>
          </w:tcPr>
          <w:p w14:paraId="43382204" w14:textId="3E0C553F"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9</w:t>
            </w:r>
          </w:p>
        </w:tc>
        <w:tc>
          <w:tcPr>
            <w:tcW w:w="626" w:type="pct"/>
            <w:shd w:val="clear" w:color="auto" w:fill="auto"/>
            <w:vAlign w:val="bottom"/>
          </w:tcPr>
          <w:p w14:paraId="5B7DD708" w14:textId="7C90E88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PFDoDA</w:t>
            </w:r>
          </w:p>
        </w:tc>
        <w:tc>
          <w:tcPr>
            <w:tcW w:w="1668" w:type="pct"/>
            <w:tcBorders>
              <w:top w:val="none" w:sz="0" w:space="0" w:color="auto"/>
              <w:bottom w:val="none" w:sz="0" w:space="0" w:color="auto"/>
            </w:tcBorders>
            <w:vAlign w:val="center"/>
          </w:tcPr>
          <w:p w14:paraId="1B448BEB" w14:textId="5C98B79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242F73E6" w14:textId="69C7022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100</w:t>
            </w:r>
          </w:p>
        </w:tc>
      </w:tr>
      <w:tr w:rsidR="0041755D" w:rsidRPr="00496875"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PFTrDA</w:t>
            </w:r>
          </w:p>
        </w:tc>
        <w:tc>
          <w:tcPr>
            <w:tcW w:w="1668" w:type="pct"/>
            <w:vAlign w:val="center"/>
          </w:tcPr>
          <w:p w14:paraId="502082BF" w14:textId="09C055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36B8C258" w14:textId="32A7BCD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13</w:t>
            </w:r>
          </w:p>
        </w:tc>
        <w:tc>
          <w:tcPr>
            <w:tcW w:w="520" w:type="pct"/>
            <w:shd w:val="clear" w:color="auto" w:fill="auto"/>
            <w:vAlign w:val="bottom"/>
          </w:tcPr>
          <w:p w14:paraId="69047532" w14:textId="5B55F015"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2</w:t>
            </w:r>
          </w:p>
        </w:tc>
        <w:tc>
          <w:tcPr>
            <w:tcW w:w="626" w:type="pct"/>
            <w:shd w:val="clear" w:color="auto" w:fill="auto"/>
            <w:vAlign w:val="bottom"/>
          </w:tcPr>
          <w:p w14:paraId="6B10E716" w14:textId="2B650F1F"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87</w:t>
            </w:r>
          </w:p>
        </w:tc>
      </w:tr>
      <w:tr w:rsidR="0041755D" w:rsidRPr="00496875"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PFTeDA</w:t>
            </w:r>
          </w:p>
        </w:tc>
        <w:tc>
          <w:tcPr>
            <w:tcW w:w="1668" w:type="pct"/>
            <w:tcBorders>
              <w:top w:val="none" w:sz="0" w:space="0" w:color="auto"/>
              <w:bottom w:val="none" w:sz="0" w:space="0" w:color="auto"/>
            </w:tcBorders>
            <w:vAlign w:val="bottom"/>
          </w:tcPr>
          <w:p w14:paraId="08A2497D" w14:textId="485F1B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43AFF3AB" w14:textId="03AF10E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40</w:t>
            </w:r>
          </w:p>
        </w:tc>
      </w:tr>
      <w:tr w:rsidR="0041755D" w:rsidRPr="00496875"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496875" w:rsidRDefault="00DB5D45" w:rsidP="00BC3004">
            <w:pPr>
              <w:pStyle w:val="Sansinterligne"/>
              <w:rPr>
                <w:lang w:val="en-US" w:eastAsia="fr-FR"/>
              </w:rPr>
            </w:pPr>
            <w:r w:rsidRPr="00496875">
              <w:rPr>
                <w:lang w:val="en-US" w:eastAsia="fr-FR"/>
              </w:rPr>
              <w:t>PFSA</w:t>
            </w:r>
          </w:p>
        </w:tc>
        <w:tc>
          <w:tcPr>
            <w:tcW w:w="833" w:type="pct"/>
            <w:shd w:val="clear" w:color="auto" w:fill="auto"/>
            <w:noWrap/>
            <w:vAlign w:val="center"/>
            <w:hideMark/>
          </w:tcPr>
          <w:p w14:paraId="35A2445B" w14:textId="39046E5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668" w:type="pct"/>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416" w:type="pct"/>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4910E71A" w14:textId="2B1C621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shd w:val="clear" w:color="auto" w:fill="auto"/>
            <w:vAlign w:val="bottom"/>
          </w:tcPr>
          <w:p w14:paraId="287EBDFF" w14:textId="77777777"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668" w:type="pct"/>
            <w:tcBorders>
              <w:top w:val="none" w:sz="0" w:space="0" w:color="auto"/>
              <w:bottom w:val="none" w:sz="0" w:space="0" w:color="auto"/>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87</w:t>
            </w:r>
          </w:p>
        </w:tc>
      </w:tr>
      <w:tr w:rsidR="0041755D" w:rsidRPr="00496875"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833" w:type="pct"/>
            <w:shd w:val="clear" w:color="auto" w:fill="auto"/>
            <w:noWrap/>
            <w:vAlign w:val="center"/>
            <w:hideMark/>
          </w:tcPr>
          <w:p w14:paraId="5D30F483" w14:textId="6763568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w:t>
            </w:r>
          </w:p>
        </w:tc>
        <w:tc>
          <w:tcPr>
            <w:tcW w:w="1668" w:type="pct"/>
          </w:tcPr>
          <w:p w14:paraId="0D7746BE" w14:textId="12100D1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416" w:type="pct"/>
            <w:shd w:val="clear" w:color="auto" w:fill="auto"/>
          </w:tcPr>
          <w:p w14:paraId="24214C3D" w14:textId="3B21BB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2C768086" w14:textId="55313211"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1</w:t>
            </w:r>
          </w:p>
        </w:tc>
        <w:tc>
          <w:tcPr>
            <w:tcW w:w="626" w:type="pct"/>
            <w:shd w:val="clear" w:color="auto" w:fill="auto"/>
            <w:vAlign w:val="bottom"/>
          </w:tcPr>
          <w:p w14:paraId="592D6FA4" w14:textId="3E7E822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w:t>
            </w:r>
            <w:r w:rsidR="00893273" w:rsidRPr="0041755D">
              <w:rPr>
                <w:lang w:val="en-US" w:eastAsia="fr-FR"/>
              </w:rPr>
              <w:t>3</w:t>
            </w:r>
          </w:p>
        </w:tc>
      </w:tr>
      <w:tr w:rsidR="0041755D" w:rsidRPr="00496875"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496875" w:rsidRDefault="00DB5D45" w:rsidP="00DB5D45">
            <w:pPr>
              <w:pStyle w:val="Sansinterligne"/>
              <w:rPr>
                <w:lang w:val="en-US" w:eastAsia="fr-FR"/>
              </w:rPr>
            </w:pPr>
            <w:r w:rsidRPr="00496875">
              <w:rPr>
                <w:lang w:val="en-US" w:eastAsia="fr-FR"/>
              </w:rPr>
              <w:lastRenderedPageBreak/>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EtFOSAA</w:t>
            </w:r>
          </w:p>
        </w:tc>
        <w:tc>
          <w:tcPr>
            <w:tcW w:w="1668" w:type="pct"/>
            <w:tcBorders>
              <w:top w:val="none" w:sz="0" w:space="0" w:color="auto"/>
              <w:bottom w:val="none" w:sz="0" w:space="0" w:color="auto"/>
            </w:tcBorders>
          </w:tcPr>
          <w:p w14:paraId="73A0D19D" w14:textId="2C3136A2"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r w:rsidRPr="00496875">
              <w:rPr>
                <w:vertAlign w:val="subscript"/>
                <w:lang w:val="en-US" w:eastAsia="fr-FR"/>
              </w:rPr>
              <w:t>5</w:t>
            </w:r>
            <w:r w:rsidRPr="00496875">
              <w:rPr>
                <w:lang w:val="en-US" w:eastAsia="fr-FR"/>
              </w:rPr>
              <w:t>)CH</w:t>
            </w:r>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73</w:t>
            </w:r>
          </w:p>
        </w:tc>
      </w:tr>
      <w:tr w:rsidR="0041755D" w:rsidRPr="00496875"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496875" w:rsidRDefault="00DB5D45" w:rsidP="00DB5D45">
            <w:pPr>
              <w:pStyle w:val="Sansinterligne"/>
              <w:rPr>
                <w:lang w:val="en-US" w:eastAsia="fr-FR"/>
              </w:rPr>
            </w:pPr>
            <w:r w:rsidRPr="00496875">
              <w:rPr>
                <w:lang w:val="en-US" w:eastAsia="fr-FR"/>
              </w:rPr>
              <w:t>FTS</w:t>
            </w:r>
          </w:p>
        </w:tc>
        <w:tc>
          <w:tcPr>
            <w:tcW w:w="833" w:type="pct"/>
            <w:shd w:val="clear" w:color="auto" w:fill="auto"/>
            <w:noWrap/>
            <w:vAlign w:val="center"/>
            <w:hideMark/>
          </w:tcPr>
          <w:p w14:paraId="226B75A6" w14:textId="0909E36C"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8:2-FTS</w:t>
            </w:r>
            <w:r>
              <w:rPr>
                <w:lang w:val="en-US" w:eastAsia="fr-FR"/>
              </w:rPr>
              <w:t>A</w:t>
            </w:r>
          </w:p>
        </w:tc>
        <w:tc>
          <w:tcPr>
            <w:tcW w:w="1668" w:type="pct"/>
          </w:tcPr>
          <w:p w14:paraId="0A6AE533" w14:textId="4F827ABA"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r w:rsidRPr="00496875">
              <w:rPr>
                <w:vertAlign w:val="subscript"/>
                <w:lang w:val="en-US" w:eastAsia="fr-FR"/>
              </w:rPr>
              <w:t>4</w:t>
            </w:r>
            <w:r w:rsidRPr="00496875">
              <w:rPr>
                <w:lang w:val="en-US" w:eastAsia="fr-FR"/>
              </w:rPr>
              <w:t>)SO</w:t>
            </w:r>
            <w:r w:rsidRPr="00496875">
              <w:rPr>
                <w:vertAlign w:val="subscript"/>
                <w:lang w:val="en-US" w:eastAsia="fr-FR"/>
              </w:rPr>
              <w:t>3</w:t>
            </w:r>
            <w:r w:rsidRPr="00496875">
              <w:rPr>
                <w:lang w:val="en-US" w:eastAsia="fr-FR"/>
              </w:rPr>
              <w:t>Na</w:t>
            </w:r>
          </w:p>
        </w:tc>
        <w:tc>
          <w:tcPr>
            <w:tcW w:w="416" w:type="pct"/>
            <w:shd w:val="clear" w:color="auto" w:fill="auto"/>
          </w:tcPr>
          <w:p w14:paraId="32AAEB19" w14:textId="5BAB1C0B"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6209DD2B" w14:textId="77BA851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71</w:t>
            </w:r>
          </w:p>
        </w:tc>
        <w:tc>
          <w:tcPr>
            <w:tcW w:w="626" w:type="pct"/>
            <w:shd w:val="clear" w:color="auto" w:fill="auto"/>
            <w:vAlign w:val="bottom"/>
          </w:tcPr>
          <w:p w14:paraId="2F76B894" w14:textId="7EA9308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40</w:t>
            </w:r>
          </w:p>
        </w:tc>
      </w:tr>
    </w:tbl>
    <w:p w14:paraId="66932493" w14:textId="77777777" w:rsidR="000D3C64" w:rsidRPr="00B364F5" w:rsidRDefault="000D3C64" w:rsidP="000D3C64">
      <w:pPr>
        <w:rPr>
          <w:highlight w:val="green"/>
          <w:lang w:val="en-US"/>
        </w:rPr>
      </w:pPr>
    </w:p>
    <w:p w14:paraId="35EF0234" w14:textId="5A8D8EB5" w:rsidR="000D3C64" w:rsidRPr="00B364F5" w:rsidRDefault="00A970A3" w:rsidP="00A970A3">
      <w:pPr>
        <w:pStyle w:val="Lgende"/>
        <w:rPr>
          <w:highlight w:val="green"/>
          <w:lang w:val="en-GB"/>
        </w:rPr>
      </w:pPr>
      <w:bookmarkStart w:id="17"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7"/>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 xml:space="preserve">Octanol-water partition coefficients (logKow)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Detection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themeColor="background1"/>
                <w:sz w:val="18"/>
                <w:szCs w:val="18"/>
                <w:highlight w:val="green"/>
                <w:lang w:eastAsia="fr-FR"/>
              </w:rPr>
              <w:t>log Kow</w:t>
            </w:r>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preys</w:t>
            </w:r>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sole</w:t>
            </w:r>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Hepta-CB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2171D290" w:rsidR="000D3C64" w:rsidRPr="00B364F5" w:rsidRDefault="00DD572D" w:rsidP="00D9792E">
            <w:pPr>
              <w:spacing w:after="0" w:line="240" w:lineRule="auto"/>
              <w:jc w:val="left"/>
              <w:rPr>
                <w:rFonts w:ascii="Calibri Light" w:eastAsia="Times New Roman" w:hAnsi="Calibri Light" w:cs="Calibri Light"/>
                <w:color w:val="000000"/>
                <w:sz w:val="18"/>
                <w:szCs w:val="18"/>
                <w:highlight w:val="green"/>
                <w:lang w:eastAsia="fr-FR"/>
              </w:rPr>
            </w:pPr>
            <w:r>
              <w:rPr>
                <w:rFonts w:ascii="Calibri Light" w:eastAsia="Times New Roman" w:hAnsi="Calibri Light" w:cs="Calibri Light"/>
                <w:color w:val="000000"/>
                <w:sz w:val="18"/>
                <w:szCs w:val="18"/>
                <w:highlight w:val="green"/>
                <w:lang w:eastAsia="fr-FR"/>
              </w:rPr>
              <w:t>*</w:t>
            </w:r>
            <w:r w:rsidR="000D3C64"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26A7AE7D" w:rsidR="000D3C64" w:rsidRPr="00B364F5" w:rsidRDefault="00DD572D" w:rsidP="00D9792E">
            <w:pPr>
              <w:spacing w:after="0" w:line="240" w:lineRule="auto"/>
              <w:jc w:val="left"/>
              <w:rPr>
                <w:rFonts w:ascii="Calibri Light" w:eastAsia="Times New Roman" w:hAnsi="Calibri Light" w:cs="Calibri Light"/>
                <w:color w:val="000000"/>
                <w:sz w:val="18"/>
                <w:szCs w:val="18"/>
                <w:highlight w:val="green"/>
                <w:lang w:eastAsia="fr-FR"/>
              </w:rPr>
            </w:pPr>
            <w:r>
              <w:rPr>
                <w:rFonts w:ascii="Calibri Light" w:eastAsia="Times New Roman" w:hAnsi="Calibri Light" w:cs="Calibri Light"/>
                <w:color w:val="000000"/>
                <w:sz w:val="18"/>
                <w:szCs w:val="18"/>
                <w:highlight w:val="green"/>
                <w:lang w:eastAsia="fr-FR"/>
              </w:rPr>
              <w:t>*</w:t>
            </w:r>
            <w:r w:rsidR="000D3C64"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1A7ED5">
      <w:pPr>
        <w:pStyle w:val="Titre2"/>
        <w:rPr>
          <w:sz w:val="32"/>
          <w:szCs w:val="36"/>
          <w:highlight w:val="green"/>
          <w:lang w:val="en-US"/>
        </w:rPr>
      </w:pPr>
      <w:bookmarkStart w:id="18" w:name="_Toc199498298"/>
      <w:r w:rsidRPr="00091EA9">
        <w:rPr>
          <w:sz w:val="32"/>
          <w:szCs w:val="36"/>
          <w:highlight w:val="green"/>
          <w:lang w:val="en-US"/>
        </w:rPr>
        <w:t>M</w:t>
      </w:r>
      <w:r w:rsidR="00DC46DA" w:rsidRPr="00091EA9">
        <w:rPr>
          <w:sz w:val="32"/>
          <w:szCs w:val="36"/>
          <w:highlight w:val="green"/>
          <w:lang w:val="en-US"/>
        </w:rPr>
        <w:t>agnification</w:t>
      </w:r>
      <w:r w:rsidR="00034C9D" w:rsidRPr="00091EA9">
        <w:rPr>
          <w:sz w:val="32"/>
          <w:szCs w:val="36"/>
          <w:highlight w:val="green"/>
          <w:lang w:val="en-US"/>
        </w:rPr>
        <w:t xml:space="preserve"> factors</w:t>
      </w:r>
      <w:bookmarkEnd w:id="18"/>
      <w:r w:rsidR="00091EA9" w:rsidRPr="00091EA9">
        <w:rPr>
          <w:sz w:val="32"/>
          <w:szCs w:val="36"/>
          <w:highlight w:val="green"/>
          <w:lang w:val="en-US"/>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lw) for PCBs, and dry weight-normalized values (in ng/g dw)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19" w:name="_Toc199498299"/>
      <w:r w:rsidRPr="00E00913">
        <w:rPr>
          <w:highlight w:val="green"/>
          <w:lang w:val="en-GB"/>
        </w:rPr>
        <w:t>BMF</w:t>
      </w:r>
      <w:bookmarkEnd w:id="19"/>
    </w:p>
    <w:p w14:paraId="5D930091" w14:textId="77777777" w:rsidR="00C10DB2" w:rsidRPr="00E00913" w:rsidRDefault="00B403E6" w:rsidP="007E56D5">
      <w:pPr>
        <w:rPr>
          <w:highlight w:val="green"/>
          <w:lang w:val="en-US"/>
        </w:rPr>
      </w:pPr>
      <w:r w:rsidRPr="00E00913">
        <w:rPr>
          <w:highlight w:val="green"/>
          <w:lang w:val="en-US"/>
        </w:rPr>
        <w:t xml:space="preserve">Estimating BMFs requires prior confirmation of trophic relationships between predator and prey species (Fremlin, Elliott, and Gobas,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lastRenderedPageBreak/>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r w:rsidRPr="00E00913">
        <w:rPr>
          <w:highlight w:val="green"/>
          <w:lang w:val="en-GB"/>
        </w:rPr>
        <w:t xml:space="preserve">logKow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r w:rsidR="00C76BC8" w:rsidRPr="00C76BC8">
        <w:rPr>
          <w:rFonts w:ascii="Consolas" w:hAnsi="Consolas"/>
          <w:sz w:val="20"/>
          <w:szCs w:val="20"/>
          <w:highlight w:val="green"/>
          <w:lang w:val="en-US"/>
        </w:rPr>
        <w:t>geom_smooth()</w:t>
      </w:r>
      <w:r w:rsidR="00C76BC8">
        <w:rPr>
          <w:highlight w:val="green"/>
          <w:lang w:val="en-US"/>
        </w:rPr>
        <w:t xml:space="preserve"> function from the ggplot2 package, employing the “lm”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E70B6E"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2D0D16CD" w:rsidR="005610BB" w:rsidRPr="00E00913" w:rsidRDefault="00E70B6E"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0945F898"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E70B6E">
      <w:pPr>
        <w:pStyle w:val="Titre3"/>
        <w:numPr>
          <w:ilvl w:val="2"/>
          <w:numId w:val="9"/>
        </w:numPr>
        <w:rPr>
          <w:highlight w:val="green"/>
          <w:lang w:val="en-GB"/>
        </w:rPr>
      </w:pPr>
      <w:bookmarkStart w:id="20"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0"/>
    </w:p>
    <w:p w14:paraId="25A3DEEC" w14:textId="417283F5" w:rsidR="008B0FD8" w:rsidRPr="00DE4DEF" w:rsidRDefault="0065333F" w:rsidP="008B0FD8">
      <w:pPr>
        <w:rPr>
          <w:highlight w:val="green"/>
          <w:lang w:val="en-GB"/>
        </w:rPr>
      </w:pPr>
      <w:r w:rsidRPr="00DE4DEF">
        <w:rPr>
          <w:highlight w:val="green"/>
          <w:lang w:val="en-GB"/>
        </w:rPr>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 xml:space="preserve">the trophic magnification factor (TMF) approach offers a </w:t>
      </w:r>
      <w:r w:rsidRPr="00DE4DEF">
        <w:rPr>
          <w:highlight w:val="green"/>
          <w:lang w:val="en-GB"/>
        </w:rPr>
        <w:lastRenderedPageBreak/>
        <w:t>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E70B6E"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1"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1"/>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E70B6E"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B36DEC" w:rsidRDefault="00BC411A" w:rsidP="0065333F">
      <w:pPr>
        <w:pStyle w:val="Titre2"/>
        <w:rPr>
          <w:highlight w:val="green"/>
          <w:lang w:val="en-US"/>
        </w:rPr>
      </w:pPr>
      <w:bookmarkStart w:id="22" w:name="_Toc199498301"/>
      <w:r w:rsidRPr="00B36DEC">
        <w:rPr>
          <w:highlight w:val="green"/>
          <w:lang w:val="en-GB"/>
        </w:rPr>
        <w:t xml:space="preserve">Accounting for </w:t>
      </w:r>
      <w:r w:rsidR="00091EA9" w:rsidRPr="00B36DEC">
        <w:rPr>
          <w:highlight w:val="green"/>
          <w:lang w:val="en-GB"/>
        </w:rPr>
        <w:t>left-censored</w:t>
      </w:r>
      <w:r w:rsidRPr="00B36DEC">
        <w:rPr>
          <w:highlight w:val="green"/>
          <w:lang w:val="en-GB"/>
        </w:rPr>
        <w:t xml:space="preserve"> concentrations</w:t>
      </w:r>
      <w:bookmarkEnd w:id="22"/>
    </w:p>
    <w:p w14:paraId="2F57221F" w14:textId="2758CB2B" w:rsidR="00BC411A" w:rsidRPr="00B36DEC" w:rsidRDefault="00BC411A" w:rsidP="00B364F5">
      <w:pPr>
        <w:rPr>
          <w:highlight w:val="green"/>
          <w:lang w:val="en-GB"/>
        </w:rPr>
      </w:pPr>
      <w:r w:rsidRPr="00B36DEC">
        <w:rPr>
          <w:highlight w:val="green"/>
          <w:lang w:val="en-GB"/>
        </w:rPr>
        <w:t xml:space="preserve">It is </w:t>
      </w:r>
      <w:r w:rsidR="00C104CD" w:rsidRPr="00B36DEC">
        <w:rPr>
          <w:highlight w:val="green"/>
          <w:lang w:val="en-GB"/>
        </w:rPr>
        <w:t>essential</w:t>
      </w:r>
      <w:r w:rsidRPr="00B36DEC">
        <w:rPr>
          <w:highlight w:val="green"/>
          <w:lang w:val="en-GB"/>
        </w:rPr>
        <w:t xml:space="preserve"> to report whether contaminant concentrations in samples </w:t>
      </w:r>
      <w:r w:rsidR="00C104CD" w:rsidRPr="00B36DEC">
        <w:rPr>
          <w:highlight w:val="green"/>
          <w:lang w:val="en-US"/>
        </w:rPr>
        <w:t>fall below the limit of quantification</w:t>
      </w:r>
      <w:r w:rsidR="00C104CD" w:rsidRPr="00B36DEC">
        <w:rPr>
          <w:highlight w:val="green"/>
          <w:lang w:val="en-GB"/>
        </w:rPr>
        <w:t xml:space="preserve"> </w:t>
      </w:r>
      <w:r w:rsidRPr="00B36DEC">
        <w:rPr>
          <w:highlight w:val="green"/>
          <w:lang w:val="en-GB"/>
        </w:rPr>
        <w:t xml:space="preserve">(LOQ) and to </w:t>
      </w:r>
      <w:r w:rsidR="00C104CD" w:rsidRPr="00B36DEC">
        <w:rPr>
          <w:highlight w:val="green"/>
          <w:lang w:val="en-GB"/>
        </w:rPr>
        <w:t xml:space="preserve">appropriately </w:t>
      </w:r>
      <w:r w:rsidR="00FC5B38" w:rsidRPr="00B36DEC">
        <w:rPr>
          <w:highlight w:val="green"/>
          <w:lang w:val="en-GB"/>
        </w:rPr>
        <w:t>address</w:t>
      </w:r>
      <w:r w:rsidRPr="00B36DEC">
        <w:rPr>
          <w:highlight w:val="green"/>
          <w:lang w:val="en-GB"/>
        </w:rPr>
        <w:t xml:space="preserve"> these nondetect </w:t>
      </w:r>
      <w:r w:rsidR="00C104CD" w:rsidRPr="00B36DEC">
        <w:rPr>
          <w:highlight w:val="green"/>
          <w:lang w:val="en-GB"/>
        </w:rPr>
        <w:t xml:space="preserve">(left-censored) </w:t>
      </w:r>
      <w:r w:rsidRPr="00B36DEC">
        <w:rPr>
          <w:highlight w:val="green"/>
          <w:lang w:val="en-GB"/>
        </w:rPr>
        <w:t xml:space="preserve">values </w:t>
      </w:r>
      <w:r w:rsidR="00C104CD" w:rsidRPr="00B36DEC">
        <w:rPr>
          <w:highlight w:val="green"/>
          <w:lang w:val="en-GB"/>
        </w:rPr>
        <w:t>when estimating b</w:t>
      </w:r>
      <w:r w:rsidRPr="00B36DEC">
        <w:rPr>
          <w:highlight w:val="green"/>
          <w:lang w:val="en-GB"/>
        </w:rPr>
        <w:t>iomagnification factors. A common</w:t>
      </w:r>
      <w:r w:rsidR="00C104CD" w:rsidRPr="00B36DEC">
        <w:rPr>
          <w:highlight w:val="green"/>
          <w:lang w:val="en-GB"/>
        </w:rPr>
        <w:t>ly used but simplistic method for</w:t>
      </w:r>
      <w:r w:rsidRPr="00B36DEC">
        <w:rPr>
          <w:highlight w:val="green"/>
          <w:lang w:val="en-GB"/>
        </w:rPr>
        <w:t xml:space="preserve"> handling </w:t>
      </w:r>
      <w:r w:rsidR="00C104CD" w:rsidRPr="00B36DEC">
        <w:rPr>
          <w:highlight w:val="green"/>
          <w:lang w:val="en-GB"/>
        </w:rPr>
        <w:t>such</w:t>
      </w:r>
      <w:r w:rsidRPr="00B36DEC">
        <w:rPr>
          <w:highlight w:val="green"/>
          <w:lang w:val="en-GB"/>
        </w:rPr>
        <w:t xml:space="preserve"> data </w:t>
      </w:r>
      <w:r w:rsidR="00C104CD" w:rsidRPr="00B36DEC">
        <w:rPr>
          <w:highlight w:val="green"/>
          <w:lang w:val="en-GB"/>
        </w:rPr>
        <w:t>involves</w:t>
      </w:r>
      <w:r w:rsidRPr="00B36DEC">
        <w:rPr>
          <w:highlight w:val="green"/>
          <w:lang w:val="en-GB"/>
        </w:rPr>
        <w:t xml:space="preserve"> substitut</w:t>
      </w:r>
      <w:r w:rsidR="00C104CD" w:rsidRPr="00B36DEC">
        <w:rPr>
          <w:highlight w:val="green"/>
          <w:lang w:val="en-GB"/>
        </w:rPr>
        <w:t>ing</w:t>
      </w:r>
      <w:r w:rsidRPr="00B36DEC">
        <w:rPr>
          <w:highlight w:val="green"/>
          <w:lang w:val="en-GB"/>
        </w:rPr>
        <w:t xml:space="preserve"> nondetects with</w:t>
      </w:r>
      <w:r w:rsidR="00C958A2" w:rsidRPr="00B36DEC">
        <w:rPr>
          <w:highlight w:val="green"/>
          <w:lang w:val="en-GB"/>
        </w:rPr>
        <w:t xml:space="preserve"> </w:t>
      </w:r>
      <w:r w:rsidR="00035955" w:rsidRPr="00B36DEC">
        <w:rPr>
          <w:highlight w:val="green"/>
          <w:lang w:val="en-GB"/>
        </w:rPr>
        <w:t xml:space="preserve">arbitrary values </w:t>
      </w:r>
      <w:r w:rsidR="00C104CD" w:rsidRPr="00B36DEC">
        <w:rPr>
          <w:highlight w:val="green"/>
          <w:lang w:val="en-US"/>
        </w:rPr>
        <w:t>—</w:t>
      </w:r>
      <w:r w:rsidR="00C104CD" w:rsidRPr="00B36DEC">
        <w:rPr>
          <w:highlight w:val="green"/>
          <w:lang w:val="en-US"/>
        </w:rPr>
        <w:t xml:space="preserve"> </w:t>
      </w:r>
      <w:r w:rsidR="00C104CD" w:rsidRPr="00B36DEC">
        <w:rPr>
          <w:highlight w:val="green"/>
          <w:lang w:val="en-US"/>
        </w:rPr>
        <w:t>typically half the LOQ</w:t>
      </w:r>
      <w:r w:rsidR="00C104CD" w:rsidRPr="00B36DEC">
        <w:rPr>
          <w:highlight w:val="green"/>
          <w:lang w:val="en-US"/>
        </w:rPr>
        <w:t xml:space="preserve"> </w:t>
      </w:r>
      <w:r w:rsidRPr="00B36DEC">
        <w:rPr>
          <w:highlight w:val="green"/>
          <w:lang w:val="en-GB"/>
        </w:rPr>
        <w:fldChar w:fldCharType="begin"/>
      </w:r>
      <w:r w:rsidRPr="00B36DEC">
        <w:rPr>
          <w:highlight w:val="green"/>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B36DEC">
        <w:rPr>
          <w:highlight w:val="green"/>
          <w:lang w:val="en-GB"/>
        </w:rPr>
        <w:fldChar w:fldCharType="separate"/>
      </w:r>
      <w:r w:rsidRPr="00B36DEC">
        <w:rPr>
          <w:rFonts w:ascii="Calibri" w:hAnsi="Calibri" w:cs="Calibri"/>
          <w:highlight w:val="green"/>
          <w:lang w:val="en-US"/>
        </w:rPr>
        <w:t xml:space="preserve">(Borgå </w:t>
      </w:r>
      <w:r w:rsidRPr="00B36DEC">
        <w:rPr>
          <w:rFonts w:ascii="Calibri" w:hAnsi="Calibri" w:cs="Calibri"/>
          <w:i/>
          <w:iCs/>
          <w:highlight w:val="green"/>
          <w:lang w:val="en-US"/>
        </w:rPr>
        <w:t>et al.</w:t>
      </w:r>
      <w:r w:rsidRPr="00B36DEC">
        <w:rPr>
          <w:rFonts w:ascii="Calibri" w:hAnsi="Calibri" w:cs="Calibri"/>
          <w:highlight w:val="green"/>
          <w:lang w:val="en-US"/>
        </w:rPr>
        <w:t>, 2012)</w:t>
      </w:r>
      <w:r w:rsidRPr="00B36DEC">
        <w:rPr>
          <w:highlight w:val="green"/>
          <w:lang w:val="en-GB"/>
        </w:rPr>
        <w:fldChar w:fldCharType="end"/>
      </w:r>
      <w:r w:rsidRPr="00B36DEC">
        <w:rPr>
          <w:color w:val="000000"/>
          <w:highlight w:val="green"/>
          <w:lang w:val="en-GB"/>
        </w:rPr>
        <w:t xml:space="preserve">. However, </w:t>
      </w:r>
      <w:r w:rsidR="00C104CD" w:rsidRPr="00B36DEC">
        <w:rPr>
          <w:color w:val="000000"/>
          <w:highlight w:val="green"/>
          <w:lang w:val="en-GB"/>
        </w:rPr>
        <w:t xml:space="preserve">this approach can introduce bias and </w:t>
      </w:r>
      <w:r w:rsidR="00DC28FF" w:rsidRPr="00B36DEC">
        <w:rPr>
          <w:color w:val="000000"/>
          <w:highlight w:val="green"/>
          <w:lang w:val="en-GB"/>
        </w:rPr>
        <w:t>uncertainty</w:t>
      </w:r>
      <w:r w:rsidR="00C104CD" w:rsidRPr="00B36DEC">
        <w:rPr>
          <w:color w:val="000000"/>
          <w:highlight w:val="green"/>
          <w:lang w:val="en-GB"/>
        </w:rPr>
        <w:t>. Therefore, current recommendations advocate for the evaluation of uncertainty associated with substitution methods and encourage the use of sta</w:t>
      </w:r>
      <w:r w:rsidRPr="00B36DEC">
        <w:rPr>
          <w:color w:val="000000"/>
          <w:highlight w:val="green"/>
          <w:lang w:val="en-GB"/>
        </w:rPr>
        <w:t>ti</w:t>
      </w:r>
      <w:r w:rsidR="00C104CD" w:rsidRPr="00B36DEC">
        <w:rPr>
          <w:color w:val="000000"/>
          <w:highlight w:val="green"/>
          <w:lang w:val="en-GB"/>
        </w:rPr>
        <w:t>sti</w:t>
      </w:r>
      <w:r w:rsidRPr="00B36DEC">
        <w:rPr>
          <w:color w:val="000000"/>
          <w:highlight w:val="green"/>
          <w:lang w:val="en-GB"/>
        </w:rPr>
        <w:t>cal</w:t>
      </w:r>
      <w:r w:rsidR="00C104CD" w:rsidRPr="00B36DEC">
        <w:rPr>
          <w:color w:val="000000"/>
          <w:highlight w:val="green"/>
          <w:lang w:val="en-GB"/>
        </w:rPr>
        <w:t>ly robust alternatives</w:t>
      </w:r>
      <w:r w:rsidRPr="00B36DEC">
        <w:rPr>
          <w:color w:val="000000"/>
          <w:highlight w:val="green"/>
          <w:lang w:val="en-GB"/>
        </w:rPr>
        <w:t xml:space="preserve"> </w:t>
      </w:r>
      <w:r w:rsidRPr="00B36DEC">
        <w:rPr>
          <w:color w:val="000000"/>
          <w:highlight w:val="green"/>
          <w:lang w:val="en-GB"/>
        </w:rPr>
        <w:fldChar w:fldCharType="begin"/>
      </w:r>
      <w:r w:rsidR="00DC28FF" w:rsidRPr="00B36DEC">
        <w:rPr>
          <w:color w:val="000000"/>
          <w:highlight w:val="green"/>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B36DEC">
        <w:rPr>
          <w:color w:val="000000"/>
          <w:highlight w:val="green"/>
          <w:lang w:val="en-GB"/>
        </w:rPr>
        <w:fldChar w:fldCharType="separate"/>
      </w:r>
      <w:r w:rsidR="00DC28FF" w:rsidRPr="00B36DEC">
        <w:rPr>
          <w:rFonts w:ascii="Calibri" w:hAnsi="Calibri" w:cs="Calibri"/>
          <w:highlight w:val="green"/>
          <w:lang w:val="en-US"/>
        </w:rPr>
        <w:t>(Helsel, 2006; Fremlin, Elliott and Gobas, 2025)</w:t>
      </w:r>
      <w:r w:rsidRPr="00B36DEC">
        <w:rPr>
          <w:color w:val="000000"/>
          <w:highlight w:val="green"/>
          <w:lang w:val="en-GB"/>
        </w:rPr>
        <w:fldChar w:fldCharType="end"/>
      </w:r>
      <w:r w:rsidR="00C104CD" w:rsidRPr="00B36DEC">
        <w:rPr>
          <w:color w:val="000000"/>
          <w:highlight w:val="green"/>
          <w:lang w:val="en-GB"/>
        </w:rPr>
        <w:t>. Tools</w:t>
      </w:r>
      <w:r w:rsidRPr="00B36DEC">
        <w:rPr>
          <w:color w:val="000000"/>
          <w:highlight w:val="green"/>
          <w:lang w:val="en-GB"/>
        </w:rPr>
        <w:t xml:space="preserve"> such as </w:t>
      </w:r>
      <w:r w:rsidRPr="00B36DEC">
        <w:rPr>
          <w:color w:val="000000"/>
          <w:highlight w:val="green"/>
          <w:lang w:val="en-GB"/>
        </w:rPr>
        <w:lastRenderedPageBreak/>
        <w:t xml:space="preserve">the NADA package </w:t>
      </w:r>
      <w:r w:rsidRPr="00B36DEC">
        <w:rPr>
          <w:color w:val="000000"/>
          <w:highlight w:val="green"/>
          <w:lang w:val="en-GB"/>
        </w:rPr>
        <w:fldChar w:fldCharType="begin"/>
      </w:r>
      <w:r w:rsidRPr="00B36DEC">
        <w:rPr>
          <w:color w:val="000000"/>
          <w:highlight w:val="green"/>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B36DEC">
        <w:rPr>
          <w:color w:val="000000"/>
          <w:highlight w:val="green"/>
          <w:lang w:val="en-GB"/>
        </w:rPr>
        <w:fldChar w:fldCharType="separate"/>
      </w:r>
      <w:r w:rsidRPr="00B36DEC">
        <w:rPr>
          <w:rFonts w:ascii="Calibri" w:hAnsi="Calibri" w:cs="Calibri"/>
          <w:highlight w:val="green"/>
          <w:lang w:val="en-US"/>
        </w:rPr>
        <w:t>(Julian and Helsel, 2021)</w:t>
      </w:r>
      <w:r w:rsidRPr="00B36DEC">
        <w:rPr>
          <w:color w:val="000000"/>
          <w:highlight w:val="green"/>
          <w:lang w:val="en-GB"/>
        </w:rPr>
        <w:fldChar w:fldCharType="end"/>
      </w:r>
      <w:r w:rsidRPr="00B36DEC">
        <w:rPr>
          <w:color w:val="000000"/>
          <w:highlight w:val="green"/>
          <w:lang w:val="en-GB"/>
        </w:rPr>
        <w:t xml:space="preserve"> </w:t>
      </w:r>
      <w:r w:rsidR="00C104CD" w:rsidRPr="00B36DEC">
        <w:rPr>
          <w:color w:val="000000"/>
          <w:highlight w:val="green"/>
          <w:lang w:val="en-GB"/>
        </w:rPr>
        <w:t xml:space="preserve">in R </w:t>
      </w:r>
      <w:r w:rsidR="00C104CD" w:rsidRPr="00B36DEC">
        <w:rPr>
          <w:highlight w:val="green"/>
          <w:lang w:val="en-GB"/>
        </w:rPr>
        <w:fldChar w:fldCharType="begin"/>
      </w:r>
      <w:r w:rsidR="00C104CD" w:rsidRPr="00B36DEC">
        <w:rPr>
          <w:highlight w:val="green"/>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B36DEC">
        <w:rPr>
          <w:highlight w:val="green"/>
          <w:lang w:val="en-GB"/>
        </w:rPr>
        <w:fldChar w:fldCharType="separate"/>
      </w:r>
      <w:r w:rsidR="00C104CD" w:rsidRPr="00B36DEC">
        <w:rPr>
          <w:rFonts w:ascii="Calibri" w:hAnsi="Calibri" w:cs="Calibri"/>
          <w:highlight w:val="green"/>
          <w:lang w:val="en-US"/>
        </w:rPr>
        <w:t>(R core team, 2025)</w:t>
      </w:r>
      <w:r w:rsidR="00C104CD" w:rsidRPr="00B36DEC">
        <w:rPr>
          <w:highlight w:val="green"/>
          <w:lang w:val="en-GB"/>
        </w:rPr>
        <w:fldChar w:fldCharType="end"/>
      </w:r>
      <w:r w:rsidR="00C104CD" w:rsidRPr="00B36DEC">
        <w:rPr>
          <w:highlight w:val="green"/>
          <w:lang w:val="en-GB"/>
        </w:rPr>
        <w:t xml:space="preserve"> are specifically designed for the analysis of </w:t>
      </w:r>
      <w:r w:rsidRPr="00B36DEC">
        <w:rPr>
          <w:color w:val="000000"/>
          <w:highlight w:val="green"/>
          <w:lang w:val="en-GB"/>
        </w:rPr>
        <w:t>censored environmental data</w:t>
      </w:r>
      <w:r w:rsidR="00C104CD" w:rsidRPr="00B36DEC">
        <w:rPr>
          <w:color w:val="000000"/>
          <w:highlight w:val="green"/>
          <w:lang w:val="en-GB"/>
        </w:rPr>
        <w:t xml:space="preserve"> are supposed to offer more reliable solutions</w:t>
      </w:r>
      <w:r w:rsidRPr="00B36DEC">
        <w:rPr>
          <w:highlight w:val="green"/>
          <w:lang w:val="en-GB"/>
        </w:rPr>
        <w:t xml:space="preserve">. </w:t>
      </w:r>
    </w:p>
    <w:p w14:paraId="3CC4D14F" w14:textId="5491C648" w:rsidR="00BC411A" w:rsidRPr="007E013F" w:rsidRDefault="00C104CD" w:rsidP="00035955">
      <w:pPr>
        <w:rPr>
          <w:lang w:val="en-GB"/>
        </w:rPr>
      </w:pPr>
      <w:r w:rsidRPr="00B36DEC">
        <w:rPr>
          <w:highlight w:val="green"/>
          <w:lang w:val="en-GB"/>
        </w:rPr>
        <w:t>In this study</w:t>
      </w:r>
      <w:r w:rsidR="00DC28FF" w:rsidRPr="00B36DEC">
        <w:rPr>
          <w:highlight w:val="green"/>
          <w:lang w:val="en-GB"/>
        </w:rPr>
        <w:t>, s</w:t>
      </w:r>
      <w:r w:rsidR="00035955" w:rsidRPr="00B36DEC">
        <w:rPr>
          <w:highlight w:val="green"/>
          <w:lang w:val="en-GB"/>
        </w:rPr>
        <w:t>everal methods for handling nondetects in PFAS concentration</w:t>
      </w:r>
      <w:r w:rsidRPr="00B36DEC">
        <w:rPr>
          <w:highlight w:val="green"/>
          <w:lang w:val="en-GB"/>
        </w:rPr>
        <w:t xml:space="preserve"> data</w:t>
      </w:r>
      <w:r w:rsidR="00035955" w:rsidRPr="00B36DEC">
        <w:rPr>
          <w:highlight w:val="green"/>
          <w:lang w:val="en-GB"/>
        </w:rPr>
        <w:t xml:space="preserve"> were compared</w:t>
      </w:r>
      <w:r w:rsidRPr="00B36DEC">
        <w:rPr>
          <w:highlight w:val="green"/>
          <w:lang w:val="en-GB"/>
        </w:rPr>
        <w:t xml:space="preserve"> in the calculation of diet-based BMFs</w:t>
      </w:r>
      <w:r w:rsidR="00B36DEC">
        <w:rPr>
          <w:highlight w:val="green"/>
          <w:lang w:val="en-GB"/>
        </w:rPr>
        <w:t xml:space="preserve"> (i.e., using the same methodology as </w:t>
      </w:r>
      <w:r w:rsidR="00FC5B38">
        <w:rPr>
          <w:highlight w:val="green"/>
          <w:lang w:val="en-GB"/>
        </w:rPr>
        <w:t>previously</w:t>
      </w:r>
      <w:r w:rsidR="00FC5B38">
        <w:rPr>
          <w:highlight w:val="green"/>
          <w:lang w:val="en-GB"/>
        </w:rPr>
        <w:t xml:space="preserve"> described</w:t>
      </w:r>
      <w:r w:rsidR="00B36DEC">
        <w:rPr>
          <w:highlight w:val="green"/>
          <w:lang w:val="en-GB"/>
        </w:rPr>
        <w:t xml:space="preserve"> for PCBs)</w:t>
      </w:r>
      <w:r w:rsidRPr="00B36DEC">
        <w:rPr>
          <w:highlight w:val="green"/>
          <w:lang w:val="en-GB"/>
        </w:rPr>
        <w:t xml:space="preserve">. Summary statistics for contamination levels within each dietary taxon </w:t>
      </w:r>
      <w:r w:rsidRPr="00B36DEC">
        <w:rPr>
          <w:highlight w:val="green"/>
          <w:lang w:val="en-GB"/>
        </w:rPr>
        <w:t>(</w:t>
      </w:r>
      <w:r w:rsidRPr="00B36DEC">
        <w:rPr>
          <w:highlight w:val="green"/>
          <w:lang w:val="en-GB"/>
        </w:rPr>
        <w:t xml:space="preserve">i.e., </w:t>
      </w:r>
      <w:r w:rsidRPr="00B36DEC">
        <w:rPr>
          <w:highlight w:val="green"/>
          <w:lang w:val="en-GB"/>
        </w:rPr>
        <w:t xml:space="preserve">first quartile, median, </w:t>
      </w:r>
      <w:r w:rsidRPr="00B36DEC">
        <w:rPr>
          <w:highlight w:val="green"/>
          <w:lang w:val="en-GB"/>
        </w:rPr>
        <w:t xml:space="preserve">and </w:t>
      </w:r>
      <w:r w:rsidRPr="00B36DEC">
        <w:rPr>
          <w:highlight w:val="green"/>
          <w:lang w:val="en-GB"/>
        </w:rPr>
        <w:t>third quartile)</w:t>
      </w:r>
      <w:r w:rsidRPr="00B36DEC">
        <w:rPr>
          <w:highlight w:val="green"/>
          <w:lang w:val="en-GB"/>
        </w:rPr>
        <w:t xml:space="preserve"> were estimated under the following scenarios</w:t>
      </w:r>
      <w:r w:rsidR="00B83CAC" w:rsidRPr="00B36DEC">
        <w:rPr>
          <w:highlight w:val="green"/>
          <w:lang w:val="en-GB"/>
        </w:rPr>
        <w:t xml:space="preserve">: </w:t>
      </w:r>
      <w:r w:rsidR="00BE6B5A" w:rsidRPr="00B36DEC">
        <w:rPr>
          <w:highlight w:val="green"/>
          <w:lang w:val="en-GB"/>
        </w:rPr>
        <w:t xml:space="preserve">(1) </w:t>
      </w:r>
      <w:r w:rsidR="00B36DEC" w:rsidRPr="00B36DEC">
        <w:rPr>
          <w:highlight w:val="green"/>
          <w:lang w:val="en-GB"/>
        </w:rPr>
        <w:t xml:space="preserve">“Uncensored” - </w:t>
      </w:r>
      <w:r w:rsidR="00DC28FF" w:rsidRPr="00B36DEC">
        <w:rPr>
          <w:highlight w:val="green"/>
          <w:lang w:val="en-GB"/>
        </w:rPr>
        <w:t>using only quantified values</w:t>
      </w:r>
      <w:r w:rsidR="00B36DEC" w:rsidRPr="00B36DEC">
        <w:rPr>
          <w:highlight w:val="green"/>
          <w:lang w:val="en-GB"/>
        </w:rPr>
        <w:t xml:space="preserve">; “Half-LOQ substitution” – replacing </w:t>
      </w:r>
      <w:r w:rsidR="00035955" w:rsidRPr="00B36DEC">
        <w:rPr>
          <w:highlight w:val="green"/>
          <w:lang w:val="en-GB"/>
        </w:rPr>
        <w:t xml:space="preserve">with </w:t>
      </w:r>
      <w:r w:rsidR="00B83CAC" w:rsidRPr="00B36DEC">
        <w:rPr>
          <w:highlight w:val="green"/>
          <w:lang w:val="en-GB"/>
        </w:rPr>
        <w:t xml:space="preserve">one-half the </w:t>
      </w:r>
      <w:r w:rsidR="00B46F09" w:rsidRPr="00B36DEC">
        <w:rPr>
          <w:highlight w:val="green"/>
          <w:lang w:val="en-GB"/>
        </w:rPr>
        <w:t>LOQ</w:t>
      </w:r>
      <w:r w:rsidR="00B36DEC" w:rsidRPr="00B36DEC">
        <w:rPr>
          <w:highlight w:val="green"/>
          <w:lang w:val="en-GB"/>
        </w:rPr>
        <w:t>;</w:t>
      </w:r>
      <w:r w:rsidR="00B83CAC" w:rsidRPr="00B36DEC">
        <w:rPr>
          <w:highlight w:val="green"/>
          <w:lang w:val="en-GB"/>
        </w:rPr>
        <w:t xml:space="preserve"> </w:t>
      </w:r>
      <w:r w:rsidR="00520DEB" w:rsidRPr="00B36DEC">
        <w:rPr>
          <w:highlight w:val="green"/>
          <w:lang w:val="en-GB"/>
        </w:rPr>
        <w:t xml:space="preserve">(3) </w:t>
      </w:r>
      <w:r w:rsidR="00B36DEC" w:rsidRPr="00B36DEC">
        <w:rPr>
          <w:highlight w:val="green"/>
          <w:lang w:val="en-GB"/>
        </w:rPr>
        <w:t xml:space="preserve">“Log-normal model” - </w:t>
      </w:r>
      <w:r w:rsidR="00B36DEC" w:rsidRPr="00B36DEC">
        <w:rPr>
          <w:highlight w:val="green"/>
          <w:lang w:val="en-US"/>
        </w:rPr>
        <w:t>fitting a log-normal distribution to the detected values and predicting censored values</w:t>
      </w:r>
      <w:r w:rsidR="00B36DEC" w:rsidRPr="00B36DEC">
        <w:rPr>
          <w:highlight w:val="green"/>
          <w:lang w:val="en-GB"/>
        </w:rPr>
        <w:t>;</w:t>
      </w:r>
      <w:r w:rsidR="00C958A2" w:rsidRPr="00B36DEC">
        <w:rPr>
          <w:highlight w:val="green"/>
          <w:lang w:val="en-GB"/>
        </w:rPr>
        <w:t xml:space="preserve"> </w:t>
      </w:r>
      <w:r w:rsidR="00520DEB" w:rsidRPr="00B36DEC">
        <w:rPr>
          <w:highlight w:val="green"/>
          <w:lang w:val="en-GB"/>
        </w:rPr>
        <w:t xml:space="preserve">(4) </w:t>
      </w:r>
      <w:r w:rsidR="00B36DEC" w:rsidRPr="00B36DEC">
        <w:rPr>
          <w:highlight w:val="green"/>
          <w:lang w:val="en-GB"/>
        </w:rPr>
        <w:t>“</w:t>
      </w:r>
      <w:r w:rsidR="00C958A2" w:rsidRPr="00B36DEC">
        <w:rPr>
          <w:highlight w:val="green"/>
          <w:lang w:val="en-GB"/>
        </w:rPr>
        <w:t>Kaplan-Meier method</w:t>
      </w:r>
      <w:r w:rsidR="00B36DEC" w:rsidRPr="00B36DEC">
        <w:rPr>
          <w:highlight w:val="green"/>
          <w:lang w:val="en-GB"/>
        </w:rPr>
        <w:t>”</w:t>
      </w:r>
      <w:r w:rsidR="00C958A2" w:rsidRPr="00B36DEC">
        <w:rPr>
          <w:highlight w:val="green"/>
          <w:lang w:val="en-GB"/>
        </w:rPr>
        <w:t xml:space="preserve"> </w:t>
      </w:r>
      <w:r w:rsidR="00B36DEC" w:rsidRPr="00B36DEC">
        <w:rPr>
          <w:highlight w:val="green"/>
          <w:lang w:val="en-GB"/>
        </w:rPr>
        <w:t xml:space="preserve">– using the </w:t>
      </w:r>
      <w:r w:rsidR="00BC411A" w:rsidRPr="00B36DEC">
        <w:rPr>
          <w:i/>
          <w:iCs/>
          <w:highlight w:val="green"/>
          <w:lang w:val="en-GB"/>
        </w:rPr>
        <w:t>cen</w:t>
      </w:r>
      <w:r w:rsidR="00C958A2" w:rsidRPr="00B36DEC">
        <w:rPr>
          <w:i/>
          <w:iCs/>
          <w:highlight w:val="green"/>
          <w:lang w:val="en-GB"/>
        </w:rPr>
        <w:t>fit</w:t>
      </w:r>
      <w:r w:rsidR="00BC411A" w:rsidRPr="00B36DEC">
        <w:rPr>
          <w:highlight w:val="green"/>
          <w:lang w:val="en-GB"/>
        </w:rPr>
        <w:t xml:space="preserve"> function in the NADA package</w:t>
      </w:r>
      <w:r w:rsidR="00B36DEC" w:rsidRPr="00B36DEC">
        <w:rPr>
          <w:highlight w:val="green"/>
          <w:lang w:val="en-GB"/>
        </w:rPr>
        <w:t>;</w:t>
      </w:r>
      <w:r w:rsidR="00520DEB" w:rsidRPr="00B36DEC">
        <w:rPr>
          <w:highlight w:val="green"/>
          <w:lang w:val="en-GB"/>
        </w:rPr>
        <w:t xml:space="preserve"> (5) </w:t>
      </w:r>
      <w:r w:rsidR="00B36DEC" w:rsidRPr="00B36DEC">
        <w:rPr>
          <w:highlight w:val="green"/>
          <w:lang w:val="en-GB"/>
        </w:rPr>
        <w:t>“</w:t>
      </w:r>
      <w:r w:rsidR="00520DEB" w:rsidRPr="00B36DEC">
        <w:rPr>
          <w:highlight w:val="green"/>
          <w:lang w:val="en-GB"/>
        </w:rPr>
        <w:t>Regression Order Statistic</w:t>
      </w:r>
      <w:r w:rsidR="00B36DEC" w:rsidRPr="00B36DEC">
        <w:rPr>
          <w:highlight w:val="green"/>
          <w:lang w:val="en-GB"/>
        </w:rPr>
        <w:t xml:space="preserve"> (ROS)”</w:t>
      </w:r>
      <w:r w:rsidR="00520DEB" w:rsidRPr="00B36DEC">
        <w:rPr>
          <w:highlight w:val="green"/>
          <w:lang w:val="en-GB"/>
        </w:rPr>
        <w:t xml:space="preserve"> </w:t>
      </w:r>
      <w:r w:rsidR="00B36DEC" w:rsidRPr="00B36DEC">
        <w:rPr>
          <w:highlight w:val="green"/>
          <w:lang w:val="en-GB"/>
        </w:rPr>
        <w:t xml:space="preserve">– using the </w:t>
      </w:r>
      <w:r w:rsidR="00520DEB" w:rsidRPr="00B36DEC">
        <w:rPr>
          <w:i/>
          <w:iCs/>
          <w:highlight w:val="green"/>
          <w:lang w:val="en-GB"/>
        </w:rPr>
        <w:t>ros</w:t>
      </w:r>
      <w:r w:rsidR="00520DEB" w:rsidRPr="00B36DEC">
        <w:rPr>
          <w:highlight w:val="green"/>
          <w:lang w:val="en-GB"/>
        </w:rPr>
        <w:t xml:space="preserve"> function in the NADA package).</w:t>
      </w:r>
      <w:r w:rsidR="00BC411A" w:rsidRPr="00B36DEC">
        <w:rPr>
          <w:highlight w:val="green"/>
          <w:lang w:val="en-GB"/>
        </w:rPr>
        <w:t xml:space="preserve"> Th</w:t>
      </w:r>
      <w:r w:rsidR="00520DEB" w:rsidRPr="00B36DEC">
        <w:rPr>
          <w:highlight w:val="green"/>
          <w:lang w:val="en-GB"/>
        </w:rPr>
        <w:t>ese</w:t>
      </w:r>
      <w:r w:rsidR="00BC411A" w:rsidRPr="00B36DEC">
        <w:rPr>
          <w:highlight w:val="green"/>
          <w:lang w:val="en-GB"/>
        </w:rPr>
        <w:t xml:space="preserve"> last </w:t>
      </w:r>
      <w:r w:rsidRPr="00B36DEC">
        <w:rPr>
          <w:highlight w:val="green"/>
          <w:lang w:val="en-GB"/>
        </w:rPr>
        <w:t xml:space="preserve">two </w:t>
      </w:r>
      <w:r w:rsidR="00DC28FF" w:rsidRPr="00B36DEC">
        <w:rPr>
          <w:highlight w:val="green"/>
          <w:lang w:val="en-GB"/>
        </w:rPr>
        <w:t>method</w:t>
      </w:r>
      <w:r w:rsidR="00520DEB" w:rsidRPr="00B36DEC">
        <w:rPr>
          <w:highlight w:val="green"/>
          <w:lang w:val="en-GB"/>
        </w:rPr>
        <w:t>s</w:t>
      </w:r>
      <w:r w:rsidR="00B36DEC" w:rsidRPr="00B36DEC">
        <w:rPr>
          <w:highlight w:val="green"/>
          <w:lang w:val="en-GB"/>
        </w:rPr>
        <w:t xml:space="preserve"> </w:t>
      </w:r>
      <w:r w:rsidR="00B36DEC" w:rsidRPr="00B36DEC">
        <w:rPr>
          <w:highlight w:val="green"/>
          <w:lang w:val="en-GB"/>
        </w:rPr>
        <w:t xml:space="preserve">directly </w:t>
      </w:r>
      <w:r w:rsidR="00B36DEC" w:rsidRPr="00B36DEC">
        <w:rPr>
          <w:highlight w:val="green"/>
          <w:lang w:val="en-GB"/>
        </w:rPr>
        <w:t>estimate</w:t>
      </w:r>
      <w:r w:rsidR="00B36DEC" w:rsidRPr="00B36DEC">
        <w:rPr>
          <w:highlight w:val="green"/>
          <w:lang w:val="en-GB"/>
        </w:rPr>
        <w:t xml:space="preserve"> </w:t>
      </w:r>
      <w:r w:rsidR="00B36DEC" w:rsidRPr="00B36DEC">
        <w:rPr>
          <w:highlight w:val="green"/>
          <w:lang w:val="en-GB"/>
        </w:rPr>
        <w:t>summary statistics for contaminant levels while explicitly</w:t>
      </w:r>
      <w:r w:rsidR="00B36DEC" w:rsidRPr="00B36DEC">
        <w:rPr>
          <w:highlight w:val="green"/>
          <w:lang w:val="en-GB"/>
        </w:rPr>
        <w:t xml:space="preserve"> account</w:t>
      </w:r>
      <w:r w:rsidR="00B36DEC" w:rsidRPr="00B36DEC">
        <w:rPr>
          <w:highlight w:val="green"/>
          <w:lang w:val="en-GB"/>
        </w:rPr>
        <w:t>ing for</w:t>
      </w:r>
      <w:r w:rsidR="00B36DEC" w:rsidRPr="00B36DEC">
        <w:rPr>
          <w:highlight w:val="green"/>
          <w:lang w:val="en-GB"/>
        </w:rPr>
        <w:t xml:space="preserve"> censored data</w:t>
      </w:r>
      <w:r w:rsidR="00B36DEC" w:rsidRPr="00B36DEC">
        <w:rPr>
          <w:highlight w:val="green"/>
          <w:lang w:val="en-GB"/>
        </w:rPr>
        <w:t>. They</w:t>
      </w:r>
      <w:r w:rsidR="00C958A2" w:rsidRPr="00B36DEC">
        <w:rPr>
          <w:highlight w:val="green"/>
          <w:lang w:val="en-GB"/>
        </w:rPr>
        <w:t xml:space="preserve"> w</w:t>
      </w:r>
      <w:r w:rsidR="00520DEB" w:rsidRPr="00B36DEC">
        <w:rPr>
          <w:highlight w:val="green"/>
          <w:lang w:val="en-GB"/>
        </w:rPr>
        <w:t xml:space="preserve">ere </w:t>
      </w:r>
      <w:r w:rsidR="00B36DEC" w:rsidRPr="00B36DEC">
        <w:rPr>
          <w:highlight w:val="green"/>
          <w:lang w:val="en-GB"/>
        </w:rPr>
        <w:t xml:space="preserve">particularly well-suited for the characteristics of our dataset, </w:t>
      </w:r>
      <w:r w:rsidR="00B36DEC" w:rsidRPr="00B36DEC">
        <w:rPr>
          <w:highlight w:val="green"/>
          <w:lang w:val="en-US"/>
        </w:rPr>
        <w:t>as they offer greater robustness in the context of small sample sizes and low detection frequencies</w:t>
      </w:r>
      <w:r w:rsidR="00BC411A" w:rsidRPr="00D56A27">
        <w:rPr>
          <w:highlight w:val="green"/>
          <w:lang w:val="en-GB"/>
        </w:rPr>
        <w:t xml:space="preserve">. </w:t>
      </w:r>
      <w:r w:rsidR="00FC5B38" w:rsidRPr="00D56A27">
        <w:rPr>
          <w:highlight w:val="green"/>
          <w:lang w:val="en-GB"/>
        </w:rPr>
        <w:t xml:space="preserve">The </w:t>
      </w:r>
      <w:r w:rsidR="00FC5B38" w:rsidRPr="00D56A27">
        <w:rPr>
          <w:highlight w:val="green"/>
          <w:lang w:val="en-GB"/>
        </w:rPr>
        <w:t>Kaplan-Meier method</w:t>
      </w:r>
      <w:r w:rsidR="00FC5B38" w:rsidRPr="00D56A27">
        <w:rPr>
          <w:highlight w:val="green"/>
          <w:lang w:val="en-GB"/>
        </w:rPr>
        <w:t xml:space="preserve"> is a non-parametric approach that doesn’t </w:t>
      </w:r>
      <w:r w:rsidR="00D56A27" w:rsidRPr="00D56A27">
        <w:rPr>
          <w:highlight w:val="green"/>
          <w:lang w:val="en-GB"/>
        </w:rPr>
        <w:t>require</w:t>
      </w:r>
      <w:r w:rsidR="00FC5B38" w:rsidRPr="00D56A27">
        <w:rPr>
          <w:highlight w:val="green"/>
          <w:lang w:val="en-GB"/>
        </w:rPr>
        <w:t xml:space="preserve"> assumption</w:t>
      </w:r>
      <w:r w:rsidR="00D56A27" w:rsidRPr="00D56A27">
        <w:rPr>
          <w:highlight w:val="green"/>
          <w:lang w:val="en-GB"/>
        </w:rPr>
        <w:t>s</w:t>
      </w:r>
      <w:r w:rsidR="00FC5B38" w:rsidRPr="00D56A27">
        <w:rPr>
          <w:highlight w:val="green"/>
          <w:lang w:val="en-GB"/>
        </w:rPr>
        <w:t xml:space="preserve"> about the </w:t>
      </w:r>
      <w:r w:rsidR="00D56A27" w:rsidRPr="00D56A27">
        <w:rPr>
          <w:highlight w:val="green"/>
          <w:lang w:val="en-GB"/>
        </w:rPr>
        <w:t xml:space="preserve">underlying </w:t>
      </w:r>
      <w:r w:rsidR="00FC5B38" w:rsidRPr="00D56A27">
        <w:rPr>
          <w:highlight w:val="green"/>
          <w:lang w:val="en-GB"/>
        </w:rPr>
        <w:t xml:space="preserve">data </w:t>
      </w:r>
      <w:r w:rsidR="00D56A27" w:rsidRPr="00D56A27">
        <w:rPr>
          <w:highlight w:val="green"/>
          <w:lang w:val="en-GB"/>
        </w:rPr>
        <w:t>distribution</w:t>
      </w:r>
      <w:r w:rsidR="00D56A27" w:rsidRPr="00D56A27">
        <w:rPr>
          <w:highlight w:val="green"/>
          <w:lang w:val="en-GB"/>
        </w:rPr>
        <w:t xml:space="preserve">, </w:t>
      </w:r>
      <w:r w:rsidR="00FC5B38" w:rsidRPr="00D56A27">
        <w:rPr>
          <w:highlight w:val="green"/>
          <w:lang w:val="en-GB"/>
        </w:rPr>
        <w:t xml:space="preserve">whereas the ROS method </w:t>
      </w:r>
      <w:r w:rsidR="00D56A27" w:rsidRPr="00D56A27">
        <w:rPr>
          <w:highlight w:val="green"/>
          <w:lang w:val="en-GB"/>
        </w:rPr>
        <w:t>assumes</w:t>
      </w:r>
      <w:r w:rsidR="00FC5B38" w:rsidRPr="00D56A27">
        <w:rPr>
          <w:highlight w:val="green"/>
          <w:lang w:val="en-GB"/>
        </w:rPr>
        <w:t xml:space="preserve"> a log-normal distribution</w:t>
      </w:r>
      <w:r w:rsidR="00D56A27" w:rsidRPr="00D56A27">
        <w:rPr>
          <w:highlight w:val="green"/>
          <w:lang w:val="en-GB"/>
        </w:rPr>
        <w:t xml:space="preserve"> </w:t>
      </w:r>
      <w:r w:rsidR="00D56A27" w:rsidRPr="00D56A27">
        <w:rPr>
          <w:highlight w:val="green"/>
          <w:lang w:val="en-GB"/>
        </w:rPr>
        <w:t xml:space="preserve">– </w:t>
      </w:r>
      <w:r w:rsidR="00D56A27" w:rsidRPr="00D56A27">
        <w:rPr>
          <w:highlight w:val="green"/>
          <w:lang w:val="en-US"/>
        </w:rPr>
        <w:t>a common characteristic of environmental contaminant concentrations</w:t>
      </w:r>
      <w:r w:rsidR="00FC5B38" w:rsidRPr="00D56A27">
        <w:rPr>
          <w:highlight w:val="green"/>
          <w:lang w:val="en-GB"/>
        </w:rPr>
        <w:t>.</w:t>
      </w:r>
    </w:p>
    <w:p w14:paraId="2879D455" w14:textId="092B893B" w:rsidR="0067577E" w:rsidRPr="00E00913" w:rsidRDefault="00FA23AA" w:rsidP="001A7ED5">
      <w:pPr>
        <w:pStyle w:val="Titre1"/>
        <w:rPr>
          <w:sz w:val="32"/>
          <w:szCs w:val="36"/>
          <w:lang w:val="en-US"/>
        </w:rPr>
      </w:pPr>
      <w:bookmarkStart w:id="23" w:name="_Toc199498302"/>
      <w:r w:rsidRPr="00E00913">
        <w:rPr>
          <w:sz w:val="32"/>
          <w:szCs w:val="36"/>
          <w:lang w:val="en-US"/>
        </w:rPr>
        <w:t>Results</w:t>
      </w:r>
      <w:bookmarkEnd w:id="23"/>
    </w:p>
    <w:p w14:paraId="7E4FD2EB" w14:textId="2A214D1E" w:rsidR="00300972" w:rsidRPr="00E00913" w:rsidRDefault="00300972" w:rsidP="001A7ED5">
      <w:pPr>
        <w:pStyle w:val="Titre2"/>
        <w:rPr>
          <w:sz w:val="32"/>
          <w:szCs w:val="36"/>
          <w:highlight w:val="green"/>
          <w:lang w:val="en-US"/>
        </w:rPr>
      </w:pPr>
      <w:bookmarkStart w:id="24" w:name="_Toc199498303"/>
      <w:r w:rsidRPr="00E00913">
        <w:rPr>
          <w:sz w:val="32"/>
          <w:szCs w:val="36"/>
          <w:highlight w:val="green"/>
          <w:lang w:val="en-US"/>
        </w:rPr>
        <w:t>Contamination data</w:t>
      </w:r>
      <w:bookmarkEnd w:id="24"/>
    </w:p>
    <w:p w14:paraId="008F6944" w14:textId="2B8C194B" w:rsidR="00300972" w:rsidRPr="00E00913" w:rsidRDefault="00300972" w:rsidP="00300972">
      <w:pPr>
        <w:pStyle w:val="Titre3"/>
        <w:rPr>
          <w:highlight w:val="green"/>
          <w:lang w:val="en-US"/>
        </w:rPr>
      </w:pPr>
      <w:bookmarkStart w:id="25" w:name="_Toc199498304"/>
      <w:r w:rsidRPr="00E00913">
        <w:rPr>
          <w:highlight w:val="green"/>
          <w:lang w:val="en-US"/>
        </w:rPr>
        <w:t>Total levels of contamination</w:t>
      </w:r>
      <w:bookmarkEnd w:id="25"/>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displays contaminant concentrations (ng/g dw),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lastRenderedPageBreak/>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5584565F"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DB2861">
        <w:rPr>
          <w:noProof/>
          <w:lang w:val="en-US"/>
        </w:rPr>
        <w:t>1</w:t>
      </w:r>
      <w:r>
        <w:fldChar w:fldCharType="end"/>
      </w:r>
      <w:bookmarkEnd w:id="26"/>
      <w:r w:rsidRPr="00941F23">
        <w:rPr>
          <w:lang w:val="en-US"/>
        </w:rPr>
        <w:t xml:space="preserve"> - </w:t>
      </w:r>
      <w:r w:rsidRPr="00941F23">
        <w:rPr>
          <w:highlight w:val="green"/>
          <w:lang w:val="en-US"/>
        </w:rPr>
        <w:t>Sum of contaminant families in soles and three benthic prey taxa (ng/g dw).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r w:rsidRPr="00B364F5">
        <w:rPr>
          <w:i/>
          <w:iCs/>
          <w:highlight w:val="green"/>
          <w:lang w:val="en-US"/>
        </w:rPr>
        <w:t>Limecola balthica</w:t>
      </w:r>
      <w:r w:rsidRPr="00B364F5">
        <w:rPr>
          <w:highlight w:val="green"/>
          <w:lang w:val="en-US"/>
        </w:rPr>
        <w:t xml:space="preserve">, which exhibits elevated PCB concentrations without any obvious explanatory factor. Interestingly, contamination levels in </w:t>
      </w:r>
      <w:r w:rsidRPr="00B364F5">
        <w:rPr>
          <w:i/>
          <w:iCs/>
          <w:highlight w:val="green"/>
          <w:lang w:val="en-US"/>
        </w:rPr>
        <w:t>Crangon crangon</w:t>
      </w:r>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E70B6E">
      <w:pPr>
        <w:pStyle w:val="Titre3"/>
        <w:numPr>
          <w:ilvl w:val="2"/>
          <w:numId w:val="8"/>
        </w:numPr>
        <w:rPr>
          <w:highlight w:val="green"/>
          <w:lang w:val="en-US"/>
        </w:rPr>
      </w:pPr>
      <w:bookmarkStart w:id="27" w:name="_Toc199498305"/>
      <w:r w:rsidRPr="00BB12AE">
        <w:rPr>
          <w:highlight w:val="green"/>
          <w:lang w:val="en-US"/>
        </w:rPr>
        <w:t xml:space="preserve">Relationship with lipid content </w:t>
      </w:r>
      <w:r>
        <w:rPr>
          <w:highlight w:val="green"/>
          <w:lang w:val="en-US"/>
        </w:rPr>
        <w:t>for PCB</w:t>
      </w:r>
      <w:bookmarkEnd w:id="27"/>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r w:rsidRPr="00B364F5">
        <w:rPr>
          <w:i/>
          <w:iCs/>
          <w:highlight w:val="green"/>
          <w:lang w:val="en-US"/>
        </w:rPr>
        <w:t>Crangon crangon</w:t>
      </w:r>
      <w:r w:rsidRPr="00B364F5">
        <w:rPr>
          <w:highlight w:val="green"/>
          <w:lang w:val="en-US"/>
        </w:rPr>
        <w:t xml:space="preserve"> exhibits highly variable lipid levels without corresponding increases in PCB contamination, whereas </w:t>
      </w:r>
      <w:r w:rsidRPr="00B364F5">
        <w:rPr>
          <w:i/>
          <w:iCs/>
          <w:highlight w:val="green"/>
          <w:lang w:val="en-US"/>
        </w:rPr>
        <w:t>Limecola balthica</w:t>
      </w:r>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28"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8"/>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r w:rsidRPr="0070114B">
        <w:rPr>
          <w:sz w:val="24"/>
          <w:szCs w:val="24"/>
          <w:highlight w:val="green"/>
          <w:lang w:val="en-US"/>
        </w:rPr>
        <w:t xml:space="preserve">oles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20FA12BA" w:rsidR="00E34D0C" w:rsidRPr="0070114B" w:rsidRDefault="00E34D0C" w:rsidP="00E34D0C">
      <w:pPr>
        <w:pStyle w:val="Lgende"/>
        <w:rPr>
          <w:sz w:val="20"/>
          <w:szCs w:val="20"/>
          <w:highlight w:val="green"/>
          <w:lang w:val="en-GB"/>
        </w:rPr>
      </w:pPr>
      <w:bookmarkStart w:id="29"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DB2861">
        <w:rPr>
          <w:noProof/>
          <w:sz w:val="20"/>
          <w:szCs w:val="20"/>
          <w:highlight w:val="green"/>
          <w:lang w:val="en-GB"/>
        </w:rPr>
        <w:t>2</w:t>
      </w:r>
      <w:r w:rsidR="00B012A9" w:rsidRPr="0070114B">
        <w:rPr>
          <w:sz w:val="20"/>
          <w:szCs w:val="20"/>
          <w:highlight w:val="green"/>
          <w:lang w:val="en-GB"/>
        </w:rPr>
        <w:fldChar w:fldCharType="end"/>
      </w:r>
      <w:bookmarkEnd w:id="29"/>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1A7ED5">
      <w:pPr>
        <w:pStyle w:val="Titre2"/>
        <w:rPr>
          <w:sz w:val="32"/>
          <w:szCs w:val="36"/>
          <w:highlight w:val="green"/>
        </w:rPr>
      </w:pPr>
      <w:bookmarkStart w:id="30" w:name="_Toc199498307"/>
      <w:r w:rsidRPr="00B233B1">
        <w:rPr>
          <w:sz w:val="32"/>
          <w:szCs w:val="36"/>
          <w:highlight w:val="green"/>
        </w:rPr>
        <w:t>BMFs</w:t>
      </w:r>
      <w:r w:rsidR="0092793B" w:rsidRPr="00B233B1">
        <w:rPr>
          <w:sz w:val="32"/>
          <w:szCs w:val="36"/>
          <w:highlight w:val="green"/>
        </w:rPr>
        <w:t xml:space="preserve"> for PCBs</w:t>
      </w:r>
      <w:bookmarkEnd w:id="30"/>
    </w:p>
    <w:p w14:paraId="4713078E" w14:textId="15201F20" w:rsidR="00292784" w:rsidRDefault="00E00913" w:rsidP="009A105D">
      <w:pPr>
        <w:pStyle w:val="Titre3"/>
        <w:rPr>
          <w:lang w:val="en-GB"/>
        </w:rPr>
      </w:pPr>
      <w:bookmarkStart w:id="31" w:name="_Hlk199258568"/>
      <w:bookmarkStart w:id="32" w:name="_Toc199498308"/>
      <w:r>
        <w:rPr>
          <w:highlight w:val="green"/>
          <w:lang w:val="en-GB"/>
        </w:rPr>
        <w:t>P</w:t>
      </w:r>
      <w:r w:rsidRPr="00E00913">
        <w:rPr>
          <w:highlight w:val="green"/>
          <w:lang w:val="en-GB"/>
        </w:rPr>
        <w:t xml:space="preserve">redator-prey BMF </w:t>
      </w:r>
      <w:bookmarkEnd w:id="31"/>
      <w:r w:rsidRPr="00E00913">
        <w:rPr>
          <w:highlight w:val="green"/>
          <w:lang w:val="en-GB"/>
        </w:rPr>
        <w:t>(BMF</w:t>
      </w:r>
      <w:r w:rsidRPr="00E00913">
        <w:rPr>
          <w:highlight w:val="green"/>
          <w:vertAlign w:val="subscript"/>
          <w:lang w:val="en-GB"/>
        </w:rPr>
        <w:t>PP</w:t>
      </w:r>
      <w:r w:rsidRPr="00E00913">
        <w:rPr>
          <w:highlight w:val="green"/>
          <w:lang w:val="en-GB"/>
        </w:rPr>
        <w:t>)</w:t>
      </w:r>
      <w:bookmarkEnd w:id="32"/>
      <w:r w:rsidRPr="00E00913">
        <w:rPr>
          <w:highlight w:val="green"/>
          <w:lang w:val="en-GB"/>
        </w:rPr>
        <w:t xml:space="preserve"> </w:t>
      </w:r>
    </w:p>
    <w:p w14:paraId="5BD8FDAD" w14:textId="7A3CEB19"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the sum of PCBs</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E00913" w:rsidRPr="002D207F">
        <w:rPr>
          <w:highlight w:val="green"/>
          <w:lang w:val="en-US"/>
        </w:rPr>
        <w:t xml:space="preserve">Figure </w:t>
      </w:r>
      <w:r w:rsidR="00E00913" w:rsidRPr="002D207F">
        <w:rPr>
          <w:noProof/>
          <w:highlight w:val="green"/>
          <w:lang w:val="en-US"/>
        </w:rPr>
        <w:t>3</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C. volutator</w:t>
      </w:r>
      <w:r w:rsidR="008F268E" w:rsidRPr="002D207F">
        <w:rPr>
          <w:highlight w:val="green"/>
          <w:lang w:val="en-US"/>
        </w:rPr>
        <w:t xml:space="preserve"> suggests strong biodilution </w:t>
      </w:r>
      <w:r w:rsidR="00417BF0">
        <w:rPr>
          <w:highlight w:val="green"/>
          <w:lang w:val="en-US"/>
        </w:rPr>
        <w:t>(0.34</w:t>
      </w:r>
      <w:r w:rsidR="008F268E" w:rsidRPr="002D207F">
        <w:rPr>
          <w:highlight w:val="green"/>
          <w:lang w:val="en-US"/>
        </w:rPr>
        <w:t>[</w:t>
      </w:r>
      <w:r w:rsidR="00417BF0">
        <w:rPr>
          <w:highlight w:val="green"/>
          <w:lang w:val="en-US"/>
        </w:rPr>
        <w:t>0.26</w:t>
      </w:r>
      <w:r w:rsidR="008F268E" w:rsidRPr="002D207F">
        <w:rPr>
          <w:highlight w:val="green"/>
          <w:lang w:val="en-US"/>
        </w:rPr>
        <w:t>-</w:t>
      </w:r>
      <w:r w:rsidR="00417BF0">
        <w:rPr>
          <w:highlight w:val="green"/>
          <w:lang w:val="en-US"/>
        </w:rPr>
        <w:t>0.37</w:t>
      </w:r>
      <w:r w:rsidR="008F268E" w:rsidRPr="002D207F">
        <w:rPr>
          <w:highlight w:val="green"/>
          <w:lang w:val="en-US"/>
        </w:rPr>
        <w:t xml:space="preserve">]), whereas the estimate based on </w:t>
      </w:r>
      <w:r w:rsidR="008F268E" w:rsidRPr="002D207F">
        <w:rPr>
          <w:i/>
          <w:iCs/>
          <w:highlight w:val="green"/>
          <w:lang w:val="en-US"/>
        </w:rPr>
        <w:t>C. crangon</w:t>
      </w:r>
      <w:r w:rsidR="008F268E" w:rsidRPr="002D207F">
        <w:rPr>
          <w:highlight w:val="green"/>
          <w:lang w:val="en-US"/>
        </w:rPr>
        <w:t xml:space="preserve"> indicates pronounced bioaccumulation</w:t>
      </w:r>
      <w:r w:rsidR="00417BF0">
        <w:rPr>
          <w:highlight w:val="green"/>
          <w:lang w:val="en-US"/>
        </w:rPr>
        <w:t xml:space="preserve"> (4.47[3.05-6.49])</w:t>
      </w:r>
      <w:r w:rsidR="008F268E" w:rsidRPr="002D207F">
        <w:rPr>
          <w:highlight w:val="green"/>
          <w:lang w:val="en-US"/>
        </w:rPr>
        <w:t>. 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biodilution and biomagnification. As a result, it is difficult to draw definitive conclusions regarding the overall bioaccumulation potential of PCBs based solely on these estimates.</w:t>
      </w:r>
    </w:p>
    <w:p w14:paraId="056D794D" w14:textId="069B101B"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elationship between logKow</w:t>
      </w:r>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logKow</w:t>
      </w:r>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biodilution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 xml:space="preserve">a benchmark compound for evaluating </w:t>
      </w:r>
      <w:r w:rsidR="007F4CF1" w:rsidRPr="00282519">
        <w:rPr>
          <w:highlight w:val="green"/>
          <w:lang w:val="en-US"/>
        </w:rPr>
        <w:lastRenderedPageBreak/>
        <w:t>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48590FC4">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4D313765" w:rsidR="00E00913" w:rsidRPr="002D207F" w:rsidRDefault="00E00913" w:rsidP="00E00913">
      <w:pPr>
        <w:pStyle w:val="Lgende"/>
        <w:rPr>
          <w:highlight w:val="green"/>
          <w:lang w:val="en-US"/>
        </w:rPr>
      </w:pPr>
      <w:bookmarkStart w:id="33"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DB2861">
        <w:rPr>
          <w:noProof/>
          <w:highlight w:val="green"/>
          <w:lang w:val="en-US"/>
        </w:rPr>
        <w:t>3</w:t>
      </w:r>
      <w:r w:rsidRPr="002D207F">
        <w:rPr>
          <w:highlight w:val="green"/>
        </w:rPr>
        <w:fldChar w:fldCharType="end"/>
      </w:r>
      <w:bookmarkEnd w:id="33"/>
      <w:r w:rsidRPr="002D207F">
        <w:rPr>
          <w:highlight w:val="green"/>
          <w:lang w:val="en-US"/>
        </w:rPr>
        <w:t xml:space="preserve"> – </w:t>
      </w:r>
      <w:bookmarkStart w:id="34"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4"/>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517B337F">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7322A02F" w:rsidR="008757EF" w:rsidRPr="00C76BC8" w:rsidRDefault="00E00913" w:rsidP="00E00913">
      <w:pPr>
        <w:pStyle w:val="Lgende"/>
        <w:rPr>
          <w:lang w:val="en-US"/>
        </w:rPr>
      </w:pPr>
      <w:bookmarkStart w:id="35"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DB2861">
        <w:rPr>
          <w:noProof/>
          <w:highlight w:val="green"/>
          <w:lang w:val="en-US"/>
        </w:rPr>
        <w:t>4</w:t>
      </w:r>
      <w:r w:rsidRPr="00C76BC8">
        <w:rPr>
          <w:highlight w:val="green"/>
        </w:rPr>
        <w:fldChar w:fldCharType="end"/>
      </w:r>
      <w:bookmarkEnd w:id="35"/>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r w:rsidR="00155DBF" w:rsidRPr="00C76BC8">
        <w:rPr>
          <w:highlight w:val="green"/>
          <w:lang w:val="en-US"/>
        </w:rPr>
        <w:t xml:space="preserve">logKow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6" w:name="_Toc199498309"/>
      <w:r w:rsidRPr="005B78BD">
        <w:rPr>
          <w:highlight w:val="green"/>
        </w:rPr>
        <w:t xml:space="preserve">Diet-based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6"/>
    </w:p>
    <w:p w14:paraId="41CEFCF4" w14:textId="6F37F8D2" w:rsidR="002D207F" w:rsidRPr="005B78BD" w:rsidRDefault="002D207F" w:rsidP="002D207F">
      <w:pPr>
        <w:rPr>
          <w:highlight w:val="green"/>
          <w:lang w:val="en-US"/>
        </w:rPr>
      </w:pPr>
      <w:r w:rsidRPr="005B78BD">
        <w:rPr>
          <w:highlight w:val="green"/>
          <w:lang w:val="en-US"/>
        </w:rPr>
        <w:t>The relationship between logKow,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logKow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and 6 of the 1</w:t>
      </w:r>
      <w:r w:rsidR="00D71188">
        <w:rPr>
          <w:highlight w:val="green"/>
          <w:lang w:val="en-US"/>
        </w:rPr>
        <w:t>7</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biodilution</w:t>
      </w:r>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lastRenderedPageBreak/>
        <w:drawing>
          <wp:inline distT="0" distB="0" distL="0" distR="0" wp14:anchorId="30812827" wp14:editId="493E1331">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5A3D3371" w:rsidR="005B78BD" w:rsidRPr="00C76BC8" w:rsidRDefault="002D207F" w:rsidP="005B78BD">
      <w:pPr>
        <w:pStyle w:val="Lgende"/>
        <w:rPr>
          <w:lang w:val="en-US"/>
        </w:rPr>
      </w:pPr>
      <w:bookmarkStart w:id="37"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DB2861">
        <w:rPr>
          <w:noProof/>
          <w:highlight w:val="green"/>
          <w:lang w:val="en-US"/>
        </w:rPr>
        <w:t>5</w:t>
      </w:r>
      <w:r w:rsidRPr="005B78BD">
        <w:rPr>
          <w:highlight w:val="green"/>
        </w:rPr>
        <w:fldChar w:fldCharType="end"/>
      </w:r>
      <w:bookmarkEnd w:id="37"/>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E70B6E">
      <w:pPr>
        <w:pStyle w:val="Titre3"/>
        <w:numPr>
          <w:ilvl w:val="2"/>
          <w:numId w:val="10"/>
        </w:numPr>
        <w:rPr>
          <w:highlight w:val="green"/>
          <w:lang w:val="en-GB"/>
        </w:rPr>
      </w:pPr>
      <w:bookmarkStart w:id="38" w:name="_Hlk199258597"/>
      <w:bookmarkStart w:id="39" w:name="_Toc199498310"/>
      <w:r w:rsidRPr="00B233B1">
        <w:rPr>
          <w:highlight w:val="green"/>
          <w:lang w:val="en-GB"/>
        </w:rPr>
        <w:t xml:space="preserve">Predator-prey trophic level–normalized BMF </w:t>
      </w:r>
      <w:bookmarkEnd w:id="38"/>
      <w:r w:rsidRPr="00B233B1">
        <w:rPr>
          <w:highlight w:val="green"/>
          <w:lang w:val="en-GB"/>
        </w:rPr>
        <w:t>(TL-BMF</w:t>
      </w:r>
      <w:r w:rsidRPr="00B233B1">
        <w:rPr>
          <w:highlight w:val="green"/>
          <w:vertAlign w:val="subscript"/>
          <w:lang w:val="en-GB"/>
        </w:rPr>
        <w:t>PP</w:t>
      </w:r>
      <w:r w:rsidRPr="00B233B1">
        <w:rPr>
          <w:highlight w:val="green"/>
          <w:lang w:val="en-GB"/>
        </w:rPr>
        <w:t>)</w:t>
      </w:r>
      <w:bookmarkEnd w:id="39"/>
    </w:p>
    <w:p w14:paraId="33FBECAF" w14:textId="01AC52CF" w:rsidR="005534FC" w:rsidRPr="00D44979"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0"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0"/>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sum of PCBs,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34FC" w:rsidRPr="00D44979">
        <w:rPr>
          <w:highlight w:val="green"/>
          <w:lang w:val="en-US"/>
        </w:rPr>
        <w:t xml:space="preserve">Figure </w:t>
      </w:r>
      <w:r w:rsidR="005534FC" w:rsidRPr="00D44979">
        <w:rPr>
          <w:noProof/>
          <w:highlight w:val="green"/>
          <w:lang w:val="en-US"/>
        </w:rPr>
        <w:t>6</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D. vittatus</w:t>
      </w:r>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C. crangon</w:t>
      </w:r>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482275" w:rsidRPr="00D44979">
        <w:rPr>
          <w:highlight w:val="green"/>
          <w:lang w:val="en-US"/>
        </w:rPr>
        <w:t>Only</w:t>
      </w:r>
      <w:r w:rsidR="00C80E98" w:rsidRPr="00D44979">
        <w:rPr>
          <w:highlight w:val="green"/>
          <w:lang w:val="en-US"/>
        </w:rPr>
        <w:t xml:space="preserve"> </w:t>
      </w:r>
      <w:r w:rsidR="00AF157F" w:rsidRPr="00D44979">
        <w:rPr>
          <w:highlight w:val="green"/>
          <w:lang w:val="en-US"/>
        </w:rPr>
        <w:t>two</w:t>
      </w:r>
      <w:r w:rsidR="00C80E98" w:rsidRPr="00D44979">
        <w:rPr>
          <w:highlight w:val="green"/>
          <w:lang w:val="en-US"/>
        </w:rPr>
        <w:t xml:space="preserve"> species </w:t>
      </w:r>
      <w:r w:rsidR="00AF157F" w:rsidRPr="00D44979">
        <w:rPr>
          <w:highlight w:val="green"/>
          <w:lang w:val="en-US"/>
        </w:rPr>
        <w:t xml:space="preserve">— </w:t>
      </w:r>
      <w:r w:rsidR="00C80E98" w:rsidRPr="00D44979">
        <w:rPr>
          <w:i/>
          <w:iCs/>
          <w:highlight w:val="green"/>
          <w:lang w:val="en-US"/>
        </w:rPr>
        <w:t>L. balthica</w:t>
      </w:r>
      <w:r w:rsidR="00C80E98" w:rsidRPr="00D44979">
        <w:rPr>
          <w:highlight w:val="green"/>
          <w:lang w:val="en-US"/>
        </w:rPr>
        <w:t xml:space="preserve"> and </w:t>
      </w:r>
      <w:r w:rsidR="00C80E98" w:rsidRPr="00D44979">
        <w:rPr>
          <w:i/>
          <w:iCs/>
          <w:highlight w:val="green"/>
          <w:lang w:val="en-US"/>
        </w:rPr>
        <w:t>N. nitidosa</w:t>
      </w:r>
      <w:r w:rsidR="00AF157F" w:rsidRPr="00D44979">
        <w:rPr>
          <w:highlight w:val="green"/>
          <w:lang w:val="en-US"/>
        </w:rPr>
        <w:t xml:space="preserve"> —</w:t>
      </w:r>
      <w:r w:rsidR="00C80E98" w:rsidRPr="00D44979">
        <w:rPr>
          <w:highlight w:val="green"/>
          <w:lang w:val="en-US"/>
        </w:rPr>
        <w:t xml:space="preserve"> </w:t>
      </w:r>
      <w:r w:rsidR="00482275" w:rsidRPr="00D44979">
        <w:rPr>
          <w:highlight w:val="green"/>
          <w:lang w:val="en-US"/>
        </w:rPr>
        <w:t>clearly</w:t>
      </w:r>
      <w:r w:rsidR="00AF157F" w:rsidRPr="00D44979">
        <w:rPr>
          <w:highlight w:val="green"/>
          <w:lang w:val="en-US"/>
        </w:rPr>
        <w:t xml:space="preserve"> showed evidence of </w:t>
      </w:r>
      <w:r w:rsidR="00C80E98" w:rsidRPr="00D44979">
        <w:rPr>
          <w:highlight w:val="green"/>
          <w:lang w:val="en-US"/>
        </w:rPr>
        <w:t xml:space="preserve">biodilution. </w:t>
      </w:r>
    </w:p>
    <w:p w14:paraId="19ECF60C" w14:textId="23F25402" w:rsidR="001E6E6A" w:rsidRPr="00D44979" w:rsidRDefault="001E6E6A" w:rsidP="001E6E6A">
      <w:pPr>
        <w:rPr>
          <w:lang w:val="en-US"/>
        </w:rPr>
      </w:pPr>
      <w:r w:rsidRPr="00D44979">
        <w:rPr>
          <w:highlight w:val="green"/>
          <w:lang w:val="en-US"/>
        </w:rPr>
        <w:t>The relationship between logKow,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B05BD8" w:rsidRPr="00D44979">
        <w:rPr>
          <w:highlight w:val="green"/>
          <w:lang w:val="en-US"/>
        </w:rPr>
        <w:t xml:space="preserve">Figure </w:t>
      </w:r>
      <w:r w:rsidR="00B05BD8" w:rsidRPr="00D44979">
        <w:rPr>
          <w:noProof/>
          <w:highlight w:val="green"/>
          <w:lang w:val="en-US"/>
        </w:rPr>
        <w:t>7</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logKow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11 out of 17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four</w:t>
      </w:r>
      <w:r w:rsidR="00D75DE7" w:rsidRPr="00D44979">
        <w:rPr>
          <w:highlight w:val="green"/>
          <w:lang w:val="en-US"/>
        </w:rPr>
        <w:t xml:space="preserve"> congeners whose variability clearly indicated biodilution </w:t>
      </w:r>
      <w:r w:rsidR="00482275" w:rsidRPr="00D44979">
        <w:rPr>
          <w:highlight w:val="green"/>
          <w:lang w:val="en-US"/>
        </w:rPr>
        <w:t xml:space="preserve">— </w:t>
      </w:r>
      <w:r w:rsidR="00D75DE7" w:rsidRPr="00D44979">
        <w:rPr>
          <w:highlight w:val="green"/>
          <w:lang w:val="en-US"/>
        </w:rPr>
        <w:t xml:space="preserve">CB28, CB31, CB132, and CB149 </w:t>
      </w:r>
      <w:r w:rsidR="00482275" w:rsidRPr="00D44979">
        <w:rPr>
          <w:highlight w:val="green"/>
          <w:lang w:val="en-US"/>
        </w:rPr>
        <w:t>(</w:t>
      </w:r>
      <w:r w:rsidR="00D75DE7" w:rsidRPr="00D44979">
        <w:rPr>
          <w:highlight w:val="green"/>
          <w:lang w:val="en-US"/>
        </w:rPr>
        <w:t>tri- and hexa-chlorinated biphenyls)</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48B40E7C" w14:textId="77777777" w:rsidR="00627231" w:rsidRDefault="00627231" w:rsidP="00627231">
      <w:pPr>
        <w:keepNext/>
      </w:pPr>
      <w:r>
        <w:rPr>
          <w:noProof/>
          <w:lang w:val="en-GB"/>
        </w:rPr>
        <w:lastRenderedPageBreak/>
        <w:drawing>
          <wp:inline distT="0" distB="0" distL="0" distR="0" wp14:anchorId="2EB92ADB" wp14:editId="75FD01DF">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172A7DA2" w14:textId="7AB22840" w:rsidR="00627231" w:rsidRDefault="00627231" w:rsidP="00627231">
      <w:pPr>
        <w:pStyle w:val="Lgende"/>
        <w:rPr>
          <w:lang w:val="en-US"/>
        </w:rPr>
      </w:pPr>
      <w:bookmarkStart w:id="41" w:name="_Ref199260500"/>
      <w:r w:rsidRPr="00627231">
        <w:rPr>
          <w:lang w:val="en-US"/>
        </w:rPr>
        <w:t xml:space="preserve">Figure </w:t>
      </w:r>
      <w:r>
        <w:fldChar w:fldCharType="begin"/>
      </w:r>
      <w:r w:rsidRPr="00627231">
        <w:rPr>
          <w:lang w:val="en-US"/>
        </w:rPr>
        <w:instrText xml:space="preserve"> SEQ Figure \* ARABIC </w:instrText>
      </w:r>
      <w:r>
        <w:fldChar w:fldCharType="separate"/>
      </w:r>
      <w:r w:rsidR="00DB2861">
        <w:rPr>
          <w:noProof/>
          <w:lang w:val="en-US"/>
        </w:rPr>
        <w:t>6</w:t>
      </w:r>
      <w:r>
        <w:fldChar w:fldCharType="end"/>
      </w:r>
      <w:bookmarkEnd w:id="41"/>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drawing>
          <wp:inline distT="0" distB="0" distL="0" distR="0" wp14:anchorId="3AAE284D" wp14:editId="076563B4">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3ACD60DF" w:rsidR="00627231" w:rsidRPr="00627231" w:rsidRDefault="00627231" w:rsidP="00627231">
      <w:pPr>
        <w:pStyle w:val="Lgende"/>
        <w:rPr>
          <w:lang w:val="en-US"/>
        </w:rPr>
      </w:pPr>
      <w:bookmarkStart w:id="42"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DB2861">
        <w:rPr>
          <w:noProof/>
          <w:lang w:val="en-US"/>
        </w:rPr>
        <w:t>7</w:t>
      </w:r>
      <w:r>
        <w:fldChar w:fldCharType="end"/>
      </w:r>
      <w:bookmarkEnd w:id="42"/>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logKow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3"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3"/>
    </w:p>
    <w:p w14:paraId="705DD3B2" w14:textId="6DC72292"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The relationship between logKow,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Pr="00B935AE">
        <w:rPr>
          <w:highlight w:val="green"/>
          <w:lang w:val="en-US"/>
        </w:rPr>
        <w:t xml:space="preserve">Figure </w:t>
      </w:r>
      <w:r w:rsidRPr="00B935AE">
        <w:rPr>
          <w:noProof/>
          <w:highlight w:val="green"/>
          <w:lang w:val="en-US"/>
        </w:rPr>
        <w:t>8</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logKow and BMF values (R² = 0.</w:t>
      </w:r>
      <w:r w:rsidR="003B38BA">
        <w:rPr>
          <w:highlight w:val="green"/>
          <w:lang w:val="en-US"/>
        </w:rPr>
        <w:t>42</w:t>
      </w:r>
      <w:r w:rsidRPr="00B935AE">
        <w:rPr>
          <w:highlight w:val="green"/>
          <w:lang w:val="en-US"/>
        </w:rPr>
        <w:t>, p-value = 0.0</w:t>
      </w:r>
      <w:r w:rsidR="003B38BA">
        <w:rPr>
          <w:highlight w:val="green"/>
          <w:lang w:val="en-US"/>
        </w:rPr>
        <w:t>14</w:t>
      </w:r>
      <w:r w:rsidRPr="00B935AE">
        <w:rPr>
          <w:highlight w:val="green"/>
          <w:lang w:val="en-US"/>
        </w:rPr>
        <w:t xml:space="preserve">). For most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those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[1.90–17.97])</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4.95</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13.23</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w:t>
      </w:r>
      <w:r w:rsidR="00B935AE" w:rsidRPr="00B935AE">
        <w:rPr>
          <w:highlight w:val="green"/>
          <w:lang w:val="en-US"/>
        </w:rPr>
        <w:lastRenderedPageBreak/>
        <w:t xml:space="preserve">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2FA7506B">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0B3D25B0" w:rsidR="009E2773" w:rsidRPr="009E2773" w:rsidRDefault="00FE78E2" w:rsidP="00FE78E2">
      <w:pPr>
        <w:pStyle w:val="Lgende"/>
        <w:rPr>
          <w:highlight w:val="green"/>
          <w:lang w:val="en-GB"/>
        </w:rPr>
      </w:pPr>
      <w:bookmarkStart w:id="44"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DB2861">
        <w:rPr>
          <w:noProof/>
          <w:lang w:val="en-US"/>
        </w:rPr>
        <w:t>8</w:t>
      </w:r>
      <w:r>
        <w:fldChar w:fldCharType="end"/>
      </w:r>
      <w:bookmarkEnd w:id="44"/>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logKow and chlorine substitution. The black curve represents a global quadratic regression (second-order polynomial) fitted across all chlorination classes.</w:t>
      </w:r>
    </w:p>
    <w:p w14:paraId="2192658F" w14:textId="10462A4F" w:rsidR="005B78BD" w:rsidRPr="005B78BD" w:rsidRDefault="006C09A9" w:rsidP="005B78BD">
      <w:pPr>
        <w:pStyle w:val="Titre3"/>
        <w:rPr>
          <w:highlight w:val="green"/>
          <w:lang w:val="en-GB"/>
        </w:rPr>
      </w:pPr>
      <w:bookmarkStart w:id="45" w:name="_Toc199498312"/>
      <w:r>
        <w:rPr>
          <w:highlight w:val="green"/>
        </w:rPr>
        <w:t>BMF methodological</w:t>
      </w:r>
      <w:r w:rsidR="005B78BD">
        <w:rPr>
          <w:highlight w:val="green"/>
        </w:rPr>
        <w:t xml:space="preserve"> comparison</w:t>
      </w:r>
      <w:bookmarkEnd w:id="45"/>
    </w:p>
    <w:p w14:paraId="3132BA58" w14:textId="77777777" w:rsidR="00DB2861" w:rsidRDefault="005B78BD" w:rsidP="00DB2861">
      <w:pPr>
        <w:pStyle w:val="Lgende"/>
        <w:keepNext/>
      </w:pPr>
      <w:r>
        <w:rPr>
          <w:noProof/>
        </w:rPr>
        <w:drawing>
          <wp:inline distT="0" distB="0" distL="0" distR="0" wp14:anchorId="0700F6C4" wp14:editId="3FE606A4">
            <wp:extent cx="5863905" cy="3517945"/>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730" cy="3520240"/>
                    </a:xfrm>
                    <a:prstGeom prst="rect">
                      <a:avLst/>
                    </a:prstGeom>
                  </pic:spPr>
                </pic:pic>
              </a:graphicData>
            </a:graphic>
          </wp:inline>
        </w:drawing>
      </w:r>
    </w:p>
    <w:p w14:paraId="1A26A0D0" w14:textId="7E5BC132" w:rsidR="00C61E81" w:rsidRPr="00DB2861" w:rsidRDefault="00DB2861" w:rsidP="00DB2861">
      <w:pPr>
        <w:pStyle w:val="Lgende"/>
        <w:rPr>
          <w:lang w:val="en-US"/>
        </w:rPr>
      </w:pPr>
      <w:bookmarkStart w:id="46" w:name="_Ref200638019"/>
      <w:r w:rsidRPr="00DB2861">
        <w:rPr>
          <w:lang w:val="en-US"/>
        </w:rPr>
        <w:t xml:space="preserve">Figure </w:t>
      </w:r>
      <w:r>
        <w:fldChar w:fldCharType="begin"/>
      </w:r>
      <w:r w:rsidRPr="00DB2861">
        <w:rPr>
          <w:lang w:val="en-US"/>
        </w:rPr>
        <w:instrText xml:space="preserve"> SEQ Figure \* ARABIC </w:instrText>
      </w:r>
      <w:r>
        <w:fldChar w:fldCharType="separate"/>
      </w:r>
      <w:r w:rsidRPr="00DB2861">
        <w:rPr>
          <w:noProof/>
          <w:lang w:val="en-US"/>
        </w:rPr>
        <w:t>9</w:t>
      </w:r>
      <w:r>
        <w:fldChar w:fldCharType="end"/>
      </w:r>
      <w:bookmarkEnd w:id="46"/>
      <w:r w:rsidRPr="00DB2861">
        <w:rPr>
          <w:lang w:val="en-US"/>
        </w:rPr>
        <w:t xml:space="preserve"> – Influence of BMF c</w:t>
      </w:r>
      <w:r>
        <w:rPr>
          <w:lang w:val="en-US"/>
        </w:rPr>
        <w:t>omputation method for PCB congeners.</w:t>
      </w:r>
    </w:p>
    <w:p w14:paraId="701AE39D" w14:textId="44B95D5C" w:rsidR="0092793B" w:rsidRPr="00DB2861" w:rsidRDefault="00DB2861" w:rsidP="00DB2861">
      <w:pPr>
        <w:rPr>
          <w:lang w:val="en-US"/>
        </w:rPr>
      </w:pPr>
      <w:bookmarkStart w:id="47" w:name="_Ref193382885"/>
      <w:r>
        <w:rPr>
          <w:lang w:val="en-US"/>
        </w:rPr>
        <w:t>S</w:t>
      </w:r>
      <w:r w:rsidRPr="00DB2861">
        <w:rPr>
          <w:lang w:val="en-US"/>
        </w:rPr>
        <w:t>ummary statistics of BMF estimates for PCBs for each computation method</w:t>
      </w:r>
      <w:r>
        <w:rPr>
          <w:lang w:val="en-US"/>
        </w:rPr>
        <w:t xml:space="preserve"> are presented in </w:t>
      </w:r>
      <w:r>
        <w:rPr>
          <w:lang w:val="en-US"/>
        </w:rPr>
        <w:fldChar w:fldCharType="begin"/>
      </w:r>
      <w:r>
        <w:rPr>
          <w:lang w:val="en-US"/>
        </w:rPr>
        <w:instrText xml:space="preserve"> REF _Ref200638019 \h </w:instrText>
      </w:r>
      <w:r>
        <w:rPr>
          <w:lang w:val="en-US"/>
        </w:rPr>
      </w:r>
      <w:r>
        <w:rPr>
          <w:lang w:val="en-US"/>
        </w:rPr>
        <w:fldChar w:fldCharType="separate"/>
      </w:r>
      <w:r w:rsidRPr="00DB2861">
        <w:rPr>
          <w:lang w:val="en-US"/>
        </w:rPr>
        <w:t xml:space="preserve">Figure </w:t>
      </w:r>
      <w:r w:rsidRPr="00DB2861">
        <w:rPr>
          <w:noProof/>
          <w:lang w:val="en-US"/>
        </w:rPr>
        <w:t>9</w:t>
      </w:r>
      <w:r>
        <w:rPr>
          <w:lang w:val="en-US"/>
        </w:rPr>
        <w:fldChar w:fldCharType="end"/>
      </w:r>
      <w:r>
        <w:rPr>
          <w:lang w:val="en-US"/>
        </w:rPr>
        <w:t xml:space="preserve"> and values can be found in SI section 3.4</w:t>
      </w:r>
      <w:r w:rsidRPr="00DB2861">
        <w:rPr>
          <w:lang w:val="en-US"/>
        </w:rPr>
        <w:t>.</w:t>
      </w:r>
    </w:p>
    <w:bookmarkEnd w:id="47"/>
    <w:p w14:paraId="529AED14" w14:textId="77777777" w:rsidR="0092793B" w:rsidRDefault="0092793B" w:rsidP="0092793B">
      <w:r>
        <w:t xml:space="preserve">Les résultats pour les PCBs montrent que la variabilité des BMFs species est 2 à 7 fois plus grande que celle des BMFs diet et englobe 1, ne permettant pas de statuer sur le caractère bioaccumulable des congénères. Pour certains congénères, les BMFs médians concluent même à des propriétés de </w:t>
      </w:r>
      <w:r>
        <w:lastRenderedPageBreak/>
        <w:t>bioaccumulation opposées (CB110, CB128, CB149, CB187 et CB44). Le CB153, utilisé comme référence de composé biomagnifié, a bien une distribution au dessus de 1 pour la méthode diet (1.69 [1.03-2.22]) mais sa forte variabilité rend difficile de conclure sur la base de la méthode species et indique un BMF median plus proche de 1 (1.10 [0.22-9.25]).</w:t>
      </w:r>
    </w:p>
    <w:p w14:paraId="1C85F99A" w14:textId="77777777" w:rsidR="0092793B" w:rsidRPr="008D1B2A" w:rsidRDefault="0092793B" w:rsidP="0092793B">
      <w:r>
        <w:t>Pour les PFASs, o</w:t>
      </w:r>
      <w:r w:rsidRPr="00AD07C2">
        <w:t>n retrouve la même d</w:t>
      </w:r>
      <w:r>
        <w:t>ifférence de variabilité entre les BMFs diet et species. L’interprétation des BMFs médian donne des conclusions opposées pour un seul composé (EtFOSAA) entre la méthode diet et species. Le L-PFOS, utilisé comme référence de composé biomagnifié parmi les PFAS, a bien une valeur médiane au dessus de 1 pour la méthode diet (1.48 [0.89-3.16]). Celle-ci est plus élevée pour la méthode species (4.94 [0.47-23.90]). Dans les deux cas la variabilité rend difficile de conclure sur des propriétés de bioaccumulation.</w:t>
      </w:r>
    </w:p>
    <w:p w14:paraId="5AC53A8C" w14:textId="77777777" w:rsidR="0092793B" w:rsidRPr="00F92A4A" w:rsidRDefault="0092793B" w:rsidP="0092793B">
      <w:pPr>
        <w:rPr>
          <w:sz w:val="24"/>
          <w:szCs w:val="24"/>
        </w:rPr>
      </w:pPr>
      <w:r w:rsidRPr="00F92A4A">
        <w:rPr>
          <w:sz w:val="24"/>
          <w:szCs w:val="24"/>
        </w:rPr>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w:t>
      </w:r>
    </w:p>
    <w:p w14:paraId="5B63F023" w14:textId="77777777" w:rsidR="0092793B" w:rsidRPr="00F92A4A" w:rsidRDefault="0092793B" w:rsidP="0092793B">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Lauzent, 2017). </w:t>
      </w:r>
    </w:p>
    <w:p w14:paraId="6EAFDDAD" w14:textId="77777777" w:rsidR="0092793B" w:rsidRPr="00F92A4A" w:rsidRDefault="0092793B" w:rsidP="0092793B">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49D49A0D" w14:textId="3C86441B" w:rsidR="00C54A24" w:rsidRPr="00165B63" w:rsidRDefault="00F70F0B" w:rsidP="0092793B">
      <w:pPr>
        <w:pStyle w:val="Titre2"/>
        <w:rPr>
          <w:highlight w:val="green"/>
          <w:lang w:val="en-GB"/>
        </w:rPr>
      </w:pPr>
      <w:bookmarkStart w:id="48" w:name="_Toc199498313"/>
      <w:r w:rsidRPr="00165B63">
        <w:rPr>
          <w:highlight w:val="green"/>
          <w:lang w:val="en-GB"/>
        </w:rPr>
        <w:t>Diet-based B</w:t>
      </w:r>
      <w:r w:rsidR="00C61E81" w:rsidRPr="00165B63">
        <w:rPr>
          <w:highlight w:val="green"/>
          <w:lang w:val="en-GB"/>
        </w:rPr>
        <w:t>MF</w:t>
      </w:r>
      <w:r w:rsidR="00D56A27" w:rsidRPr="00165B63">
        <w:rPr>
          <w:highlight w:val="green"/>
          <w:lang w:val="en-GB"/>
        </w:rPr>
        <w:t>s</w:t>
      </w:r>
      <w:r w:rsidRPr="00165B63">
        <w:rPr>
          <w:highlight w:val="green"/>
          <w:lang w:val="en-GB"/>
        </w:rPr>
        <w:t xml:space="preserve"> fo</w:t>
      </w:r>
      <w:r w:rsidR="00C61E81" w:rsidRPr="00165B63">
        <w:rPr>
          <w:highlight w:val="green"/>
          <w:lang w:val="en-GB"/>
        </w:rPr>
        <w:t>r PFASs</w:t>
      </w:r>
      <w:bookmarkEnd w:id="48"/>
    </w:p>
    <w:p w14:paraId="05EF97DA" w14:textId="7A07B85E" w:rsidR="00D8789F" w:rsidRPr="00165B63" w:rsidRDefault="00D8789F" w:rsidP="00D8789F">
      <w:pPr>
        <w:pStyle w:val="Titre3"/>
        <w:rPr>
          <w:highlight w:val="green"/>
          <w:lang w:val="en-GB"/>
        </w:rPr>
      </w:pPr>
      <w:r w:rsidRPr="00165B63">
        <w:rPr>
          <w:highlight w:val="green"/>
          <w:lang w:val="en-US"/>
        </w:rPr>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2769F1" w14:textId="371DDBC5" w:rsidR="00D56A27" w:rsidRDefault="003774E3" w:rsidP="00B543D7">
      <w:pPr>
        <w:rPr>
          <w:lang w:val="en-US"/>
        </w:rPr>
      </w:pPr>
      <w:r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Pr="00B543D7">
        <w:rPr>
          <w:highlight w:val="green"/>
          <w:lang w:val="en-US"/>
        </w:rPr>
        <w:t xml:space="preserve">for certain compounds, the “uncensored” scenario (based solely on detected values) yielded median BMF estimates that differed from those obtained with the other approaches. </w:t>
      </w:r>
      <w:r w:rsidRPr="00B543D7">
        <w:rPr>
          <w:highlight w:val="green"/>
          <w:lang w:val="en-US"/>
        </w:rPr>
        <w:t>Slight differences were observed for PFDA, PFTrDA, FOSA, EtFOSAA, and Br-PFOS</w:t>
      </w:r>
      <w:r w:rsidR="00B543D7" w:rsidRPr="00B543D7">
        <w:rPr>
          <w:highlight w:val="green"/>
          <w:lang w:val="en-US"/>
        </w:rPr>
        <w:t>. More</w:t>
      </w:r>
      <w:r w:rsidRPr="00B543D7">
        <w:rPr>
          <w:highlight w:val="green"/>
          <w:lang w:val="en-US"/>
        </w:rPr>
        <w:t xml:space="preserve"> substantial discrepancies occurred for PFUnDA, PFTeDA,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Pr="00B543D7">
        <w:rPr>
          <w:highlight w:val="green"/>
          <w:lang w:val="en-US"/>
        </w:rPr>
        <w:t xml:space="preserve">the uncensored scenario indicated biomagnification, whereas the other </w:t>
      </w:r>
      <w:r w:rsidR="00B543D7" w:rsidRPr="00B543D7">
        <w:rPr>
          <w:highlight w:val="green"/>
          <w:lang w:val="en-US"/>
        </w:rPr>
        <w:t>methods consistently</w:t>
      </w:r>
      <w:r w:rsidRPr="00B543D7">
        <w:rPr>
          <w:highlight w:val="green"/>
          <w:lang w:val="en-US"/>
        </w:rPr>
        <w:t xml:space="preserve"> suggested strong </w:t>
      </w:r>
      <w:r w:rsidRPr="00B543D7">
        <w:rPr>
          <w:highlight w:val="green"/>
          <w:lang w:val="en-US"/>
        </w:rPr>
        <w:lastRenderedPageBreak/>
        <w:t>biodilution.</w:t>
      </w:r>
      <w:r w:rsidR="00B543D7" w:rsidRPr="00B543D7">
        <w:rPr>
          <w:highlight w:val="green"/>
          <w:lang w:val="en-US"/>
        </w:rPr>
        <w:t xml:space="preserve"> </w:t>
      </w:r>
      <w:r w:rsidR="00A4580A" w:rsidRPr="00B543D7">
        <w:rPr>
          <w:highlight w:val="green"/>
          <w:lang w:val="en-US"/>
        </w:rPr>
        <w:t xml:space="preserve">The two </w:t>
      </w:r>
      <w:r w:rsidR="00B543D7" w:rsidRPr="00B543D7">
        <w:rPr>
          <w:highlight w:val="green"/>
          <w:lang w:val="en-US"/>
        </w:rPr>
        <w:t xml:space="preserve">substitution-based </w:t>
      </w:r>
      <w:r w:rsidR="00A4580A" w:rsidRPr="00B543D7">
        <w:rPr>
          <w:highlight w:val="green"/>
          <w:lang w:val="en-US"/>
        </w:rPr>
        <w:t xml:space="preserve">scenarios </w:t>
      </w:r>
      <w:r w:rsidR="00B543D7" w:rsidRPr="00B543D7">
        <w:rPr>
          <w:highlight w:val="green"/>
          <w:lang w:val="en-US"/>
        </w:rPr>
        <w:t>(i.e., half-LOQ and log-normal imputation) produced comparable results</w:t>
      </w:r>
      <w:r w:rsidR="00A4580A" w:rsidRPr="00B543D7">
        <w:rPr>
          <w:highlight w:val="green"/>
          <w:lang w:val="en-US"/>
        </w:rPr>
        <w:t xml:space="preserve">. </w:t>
      </w:r>
      <w:r w:rsidR="00B543D7" w:rsidRPr="00B543D7">
        <w:rPr>
          <w:highlight w:val="green"/>
          <w:lang w:val="en-US"/>
        </w:rPr>
        <w:t>Similarly, t</w:t>
      </w:r>
      <w:r w:rsidR="00A4580A" w:rsidRPr="00B543D7">
        <w:rPr>
          <w:highlight w:val="green"/>
          <w:lang w:val="en-US"/>
        </w:rPr>
        <w:t xml:space="preserve">he Kaplan-Meier </w:t>
      </w:r>
      <w:r w:rsidR="00B543D7" w:rsidRPr="00B543D7">
        <w:rPr>
          <w:highlight w:val="green"/>
          <w:lang w:val="en-US"/>
        </w:rPr>
        <w:t>method yielded results consistent with the substitution approaches, except</w:t>
      </w:r>
      <w:r w:rsidR="00A4580A" w:rsidRPr="00B543D7">
        <w:rPr>
          <w:highlight w:val="green"/>
          <w:lang w:val="en-US"/>
        </w:rPr>
        <w:t xml:space="preserve"> for eight compound</w:t>
      </w:r>
      <w:r w:rsidR="00B543D7" w:rsidRPr="00B543D7">
        <w:rPr>
          <w:highlight w:val="green"/>
          <w:lang w:val="en-US"/>
        </w:rPr>
        <w:t>s</w:t>
      </w:r>
      <w:r w:rsidR="00A4580A"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00A4580A" w:rsidRPr="00B543D7">
        <w:rPr>
          <w:highlight w:val="green"/>
          <w:lang w:val="en-US"/>
        </w:rPr>
        <w:t>summary statistics</w:t>
      </w:r>
      <w:r w:rsidR="00B543D7" w:rsidRPr="00B543D7">
        <w:rPr>
          <w:highlight w:val="green"/>
          <w:lang w:val="en-US"/>
        </w:rPr>
        <w:t xml:space="preserve"> could not be estimated</w:t>
      </w:r>
      <w:r w:rsidR="00A4580A"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00A4580A" w:rsidRPr="00B543D7">
        <w:rPr>
          <w:highlight w:val="green"/>
          <w:lang w:val="en-US"/>
        </w:rPr>
        <w:t>, except for PFU</w:t>
      </w:r>
      <w:r w:rsidR="008032F3" w:rsidRPr="00B543D7">
        <w:rPr>
          <w:highlight w:val="green"/>
          <w:lang w:val="en-US"/>
        </w:rPr>
        <w:t>nDA, PFTeDA, Br-PFOS, and 2:2 FTSA</w:t>
      </w:r>
      <w:r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r w:rsidR="008032F3" w:rsidRPr="00B543D7">
        <w:rPr>
          <w:highlight w:val="green"/>
          <w:lang w:val="en-US"/>
        </w:rPr>
        <w:t>biodilution or biomagnification</w:t>
      </w:r>
      <w:r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0E0B30" w:rsidR="003774E3" w:rsidRDefault="003774E3" w:rsidP="003774E3">
      <w:pPr>
        <w:pStyle w:val="Lgende"/>
        <w:rPr>
          <w:lang w:val="en-US"/>
        </w:rPr>
      </w:pPr>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DB2861">
        <w:rPr>
          <w:noProof/>
          <w:highlight w:val="green"/>
          <w:lang w:val="en-US"/>
        </w:rPr>
        <w:t>10</w:t>
      </w:r>
      <w:r w:rsidRPr="007B167E">
        <w:rPr>
          <w:highlight w:val="green"/>
        </w:rPr>
        <w:fldChar w:fldCharType="end"/>
      </w:r>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E70B6E">
      <w:pPr>
        <w:pStyle w:val="Titre3"/>
        <w:numPr>
          <w:ilvl w:val="2"/>
          <w:numId w:val="11"/>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5E43FA1C" w:rsidR="00D8789F" w:rsidRPr="00165B63" w:rsidRDefault="00165B63" w:rsidP="00D8789F">
      <w:pPr>
        <w:rPr>
          <w:highlight w:val="green"/>
          <w:lang w:val="en-US"/>
        </w:rPr>
      </w:pPr>
      <w:r w:rsidRPr="00165B63">
        <w:rPr>
          <w:highlight w:val="green"/>
          <w:lang w:val="en-US"/>
        </w:rPr>
        <w:t>For a given perfluorinated chain length of eight carbon atoms, perfluoroalkyl sulfonates (PFSAs) exhibit higher median BMF estimates, indicating biomagnification, whereas the other sub-families show patterns consistent with biodilution. In contrast, within the perfluoroalkyl carboxylic acids (PFCAs) sub-family, BMF estimates show no clear trend with increasing chain length.</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48615D4B"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DB2861">
        <w:rPr>
          <w:noProof/>
          <w:highlight w:val="green"/>
          <w:lang w:val="en-US"/>
        </w:rPr>
        <w:t>11</w:t>
      </w:r>
      <w:r w:rsidRPr="00165B63">
        <w:rPr>
          <w:highlight w:val="green"/>
        </w:rPr>
        <w:fldChar w:fldCharType="end"/>
      </w:r>
      <w:r w:rsidRPr="00165B63">
        <w:rPr>
          <w:highlight w:val="green"/>
          <w:lang w:val="en-US"/>
        </w:rPr>
        <w:t xml:space="preserve"> – Comparison of diet-based BMFs for PFASs estimated using the ROS method, by perfluorinated chain length and sub-family.</w:t>
      </w:r>
    </w:p>
    <w:p w14:paraId="234BEA00" w14:textId="5397F323" w:rsidR="00E61956" w:rsidRPr="00F92A4A" w:rsidRDefault="00FA23AA" w:rsidP="001A7ED5">
      <w:pPr>
        <w:pStyle w:val="Titre1"/>
        <w:rPr>
          <w:sz w:val="32"/>
          <w:szCs w:val="36"/>
        </w:rPr>
      </w:pPr>
      <w:bookmarkStart w:id="49" w:name="_Toc199498314"/>
      <w:r w:rsidRPr="00F92A4A">
        <w:rPr>
          <w:sz w:val="32"/>
          <w:szCs w:val="36"/>
        </w:rPr>
        <w:t>Discussion</w:t>
      </w:r>
      <w:bookmarkEnd w:id="49"/>
    </w:p>
    <w:p w14:paraId="430FCA36" w14:textId="77777777" w:rsidR="00B4059B" w:rsidRPr="00F92A4A" w:rsidRDefault="00B4059B" w:rsidP="001A7ED5">
      <w:pPr>
        <w:pStyle w:val="Titre2"/>
        <w:rPr>
          <w:sz w:val="32"/>
          <w:szCs w:val="36"/>
        </w:rPr>
      </w:pPr>
      <w:bookmarkStart w:id="50" w:name="_Toc199498315"/>
      <w:r w:rsidRPr="00F92A4A">
        <w:rPr>
          <w:sz w:val="32"/>
          <w:szCs w:val="36"/>
        </w:rPr>
        <w:t>Niveaux et profiles de contamination</w:t>
      </w:r>
      <w:bookmarkEnd w:id="50"/>
    </w:p>
    <w:p w14:paraId="0F8A1285" w14:textId="342869D0" w:rsidR="002048AC"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D700DEF" w14:textId="12463C08" w:rsidR="00F70F0B" w:rsidRPr="00F70F0B" w:rsidRDefault="00F70F0B" w:rsidP="002048AC">
      <w:r w:rsidRPr="004B42DB">
        <w:rPr>
          <w:highlight w:val="yellow"/>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r w:rsidRPr="004B42DB">
        <w:rPr>
          <w:i/>
          <w:iCs/>
          <w:highlight w:val="yellow"/>
        </w:rPr>
        <w:t>Limecola balthica</w:t>
      </w:r>
      <w:r w:rsidRPr="004B42DB">
        <w:rPr>
          <w:highlight w:val="yellow"/>
        </w:rPr>
        <w:t xml:space="preserve"> semble également avoir une bioaccumulation des PCBs différente des autres bivalves, sans facteur explicatif.</w:t>
      </w:r>
    </w:p>
    <w:p w14:paraId="0551BE09" w14:textId="753BE395" w:rsidR="00282AFB" w:rsidRPr="00F92A4A" w:rsidRDefault="00A1179E" w:rsidP="001A7ED5">
      <w:pPr>
        <w:pStyle w:val="Titre3"/>
        <w:rPr>
          <w:sz w:val="28"/>
          <w:szCs w:val="32"/>
        </w:rPr>
      </w:pPr>
      <w:bookmarkStart w:id="51" w:name="_Toc199498316"/>
      <w:r w:rsidRPr="00F92A4A">
        <w:rPr>
          <w:sz w:val="28"/>
          <w:szCs w:val="32"/>
        </w:rPr>
        <w:t>Niveaux généraux entre les familles</w:t>
      </w:r>
      <w:bookmarkEnd w:id="51"/>
    </w:p>
    <w:p w14:paraId="4DC24318" w14:textId="76E384D3" w:rsidR="00282AFB" w:rsidRPr="00F92A4A" w:rsidRDefault="00282AFB" w:rsidP="00E70B6E">
      <w:pPr>
        <w:pStyle w:val="Paragraphedeliste"/>
        <w:numPr>
          <w:ilvl w:val="0"/>
          <w:numId w:val="5"/>
        </w:numPr>
        <w:rPr>
          <w:sz w:val="24"/>
          <w:szCs w:val="24"/>
          <w:highlight w:val="yellow"/>
        </w:rPr>
      </w:pPr>
      <w:r w:rsidRPr="00F92A4A">
        <w:rPr>
          <w:sz w:val="24"/>
          <w:szCs w:val="24"/>
          <w:highlight w:val="yellow"/>
        </w:rPr>
        <w:t xml:space="preserve">Comparaison PCB et PFASs même zone + TMF Olifants River Basin, </w:t>
      </w:r>
      <w:r w:rsidR="00C935EF" w:rsidRPr="00F92A4A">
        <w:rPr>
          <w:sz w:val="24"/>
          <w:szCs w:val="24"/>
          <w:highlight w:val="yellow"/>
        </w:rPr>
        <w:t xml:space="preserve">subtropical, </w:t>
      </w:r>
      <w:r w:rsidRPr="00F92A4A">
        <w:rPr>
          <w:sz w:val="24"/>
          <w:szCs w:val="24"/>
          <w:highlight w:val="yellow"/>
        </w:rPr>
        <w:t>South Africa</w:t>
      </w:r>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 xml:space="preserve">(Verhaert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Solea solea</w:t>
      </w:r>
      <w:r w:rsidRPr="00F92A4A">
        <w:rPr>
          <w:sz w:val="24"/>
          <w:szCs w:val="24"/>
        </w:rPr>
        <w:t xml:space="preserve"> et leurs proies révèlent une prédominance des PCBs par rapport aux PFASs et HBCDDs. Ces résultats sont cohérents avec des études antérieures menées en milieux estuariens où les PCBs restent les contaminants organohalogénés les plus abondants, notamment en raison de leur persistance et de leur </w:t>
      </w:r>
      <w:r w:rsidRPr="00F92A4A">
        <w:rPr>
          <w:sz w:val="24"/>
          <w:szCs w:val="24"/>
        </w:rPr>
        <w:lastRenderedPageBreak/>
        <w:t>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PFASs et HBCDDs,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PCBs et PFASs,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(fonction de la conductivité de l’eau et clay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Ael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2" w:name="_Toc199498317"/>
      <w:r w:rsidRPr="00F92A4A">
        <w:rPr>
          <w:sz w:val="28"/>
          <w:szCs w:val="32"/>
        </w:rPr>
        <w:t>Niveaux et profils pour les PCB</w:t>
      </w:r>
      <w:bookmarkEnd w:id="52"/>
    </w:p>
    <w:p w14:paraId="528C70F4" w14:textId="46DBB709" w:rsidR="00282AFB" w:rsidRPr="00F92A4A" w:rsidRDefault="00282AFB" w:rsidP="00E70B6E">
      <w:pPr>
        <w:pStyle w:val="Paragraphedeliste"/>
        <w:numPr>
          <w:ilvl w:val="0"/>
          <w:numId w:val="4"/>
        </w:numPr>
        <w:rPr>
          <w:rFonts w:ascii="Calibri" w:eastAsiaTheme="majorEastAsia" w:hAnsi="Calibri" w:cstheme="majorBidi"/>
          <w:b/>
          <w:bCs/>
          <w:iCs/>
          <w:sz w:val="28"/>
          <w:szCs w:val="32"/>
          <w:highlight w:val="yellow"/>
        </w:rPr>
      </w:pPr>
      <w:r w:rsidRPr="00F92A4A">
        <w:rPr>
          <w:color w:val="000000"/>
          <w:sz w:val="24"/>
          <w:szCs w:val="24"/>
          <w:highlight w:val="yellow"/>
        </w:rPr>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384AFD" w:rsidRDefault="00282AFB" w:rsidP="00E70B6E">
      <w:pPr>
        <w:pStyle w:val="Paragraphedeliste"/>
        <w:numPr>
          <w:ilvl w:val="0"/>
          <w:numId w:val="4"/>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Scheldt,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384AFD">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384AFD">
        <w:rPr>
          <w:rFonts w:ascii="Calibri" w:hAnsi="Calibri" w:cs="Calibri"/>
          <w:sz w:val="24"/>
          <w:szCs w:val="24"/>
        </w:rPr>
        <w:t xml:space="preserve">(Van Ael </w:t>
      </w:r>
      <w:r w:rsidR="005637C5" w:rsidRPr="00384AFD">
        <w:rPr>
          <w:rFonts w:ascii="Calibri" w:hAnsi="Calibri" w:cs="Calibri"/>
          <w:i/>
          <w:iCs/>
          <w:sz w:val="24"/>
          <w:szCs w:val="24"/>
        </w:rPr>
        <w:t>et al.</w:t>
      </w:r>
      <w:r w:rsidR="005637C5" w:rsidRPr="00384AFD">
        <w:rPr>
          <w:rFonts w:ascii="Calibri" w:hAnsi="Calibri" w:cs="Calibri"/>
          <w:sz w:val="24"/>
          <w:szCs w:val="24"/>
        </w:rPr>
        <w:t>, 2012)</w:t>
      </w:r>
      <w:r w:rsidR="005637C5">
        <w:rPr>
          <w:color w:val="000000"/>
          <w:sz w:val="24"/>
          <w:szCs w:val="24"/>
          <w:highlight w:val="yellow"/>
        </w:rPr>
        <w:fldChar w:fldCharType="end"/>
      </w:r>
      <w:r w:rsidR="00E37600" w:rsidRPr="00384AFD">
        <w:rPr>
          <w:color w:val="000000"/>
          <w:sz w:val="24"/>
          <w:szCs w:val="24"/>
          <w:highlight w:val="yellow"/>
        </w:rPr>
        <w:t xml:space="preserve"> (check : intro, </w:t>
      </w:r>
      <w:r w:rsidR="00C04FDB" w:rsidRPr="00384AFD">
        <w:rPr>
          <w:color w:val="000000"/>
          <w:sz w:val="24"/>
          <w:szCs w:val="24"/>
          <w:highlight w:val="yellow"/>
        </w:rPr>
        <w:t>results – reste : 2 derniers paragraphes discussion)</w:t>
      </w:r>
    </w:p>
    <w:p w14:paraId="2D6612ED" w14:textId="01B62F45" w:rsidR="00136EA7" w:rsidRPr="005637C5" w:rsidRDefault="006E4E1A" w:rsidP="00E70B6E">
      <w:pPr>
        <w:pStyle w:val="Paragraphedeliste"/>
        <w:numPr>
          <w:ilvl w:val="0"/>
          <w:numId w:val="4"/>
        </w:numPr>
        <w:rPr>
          <w:rFonts w:ascii="Calibri" w:eastAsiaTheme="majorEastAsia" w:hAnsi="Calibri" w:cstheme="majorBidi"/>
          <w:b/>
          <w:bCs/>
          <w:iCs/>
          <w:sz w:val="24"/>
          <w:szCs w:val="28"/>
          <w:highlight w:val="yellow"/>
          <w:lang w:val="en-US"/>
        </w:rPr>
      </w:pPr>
      <w:r w:rsidRPr="00BE6B5A">
        <w:rPr>
          <w:rFonts w:ascii="Calibri" w:eastAsiaTheme="majorEastAsia" w:hAnsi="Calibri" w:cstheme="majorBidi"/>
          <w:bCs/>
          <w:iCs/>
          <w:color w:val="000000"/>
          <w:sz w:val="24"/>
          <w:szCs w:val="28"/>
          <w:highlight w:val="yellow"/>
          <w:lang w:val="en-US"/>
        </w:rPr>
        <w:t>Belgian north sea western Scheldt estuary</w:t>
      </w:r>
      <w:r w:rsidR="005637C5" w:rsidRPr="00BE6B5A">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BE6B5A">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 xml:space="preserve">(Voorspoels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Une corrélation au taux de lipides peu  marquée</w:t>
      </w:r>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r w:rsidR="00D051F8" w:rsidRPr="00B7035B">
        <w:rPr>
          <w:color w:val="000000"/>
          <w:sz w:val="24"/>
          <w:szCs w:val="24"/>
          <w:lang w:val="en-US"/>
        </w:rPr>
        <w:t>uence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E70B6E">
      <w:pPr>
        <w:pStyle w:val="Paragraphedeliste"/>
        <w:numPr>
          <w:ilvl w:val="0"/>
          <w:numId w:val="4"/>
        </w:numPr>
        <w:rPr>
          <w:color w:val="000000"/>
          <w:sz w:val="24"/>
          <w:szCs w:val="24"/>
        </w:rPr>
      </w:pPr>
      <w:r w:rsidRPr="00F92A4A">
        <w:rPr>
          <w:sz w:val="24"/>
          <w:szCs w:val="24"/>
        </w:rPr>
        <w:t xml:space="preserve">Les profils de contamination en PCBs étaient similaires entre soles et benthos, comme observé dans le Scheldt estuary in Belgium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E70B6E">
      <w:pPr>
        <w:pStyle w:val="Paragraphedeliste"/>
        <w:numPr>
          <w:ilvl w:val="0"/>
          <w:numId w:val="4"/>
        </w:numPr>
        <w:rPr>
          <w:color w:val="000000"/>
          <w:sz w:val="24"/>
          <w:szCs w:val="24"/>
        </w:rPr>
      </w:pPr>
      <w:r w:rsidRPr="00F92A4A">
        <w:rPr>
          <w:sz w:val="24"/>
          <w:szCs w:val="24"/>
        </w:rPr>
        <w:t>Au sein des PCBs,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dans les soles, ce qui est cohérent avec la littérature</w:t>
      </w:r>
      <w:r w:rsidR="00B8740F" w:rsidRPr="00F92A4A">
        <w:rPr>
          <w:sz w:val="24"/>
          <w:szCs w:val="24"/>
        </w:rPr>
        <w:t> :</w:t>
      </w:r>
    </w:p>
    <w:p w14:paraId="198DD4BB" w14:textId="0F2A3162" w:rsidR="00B8740F" w:rsidRPr="00F92A4A" w:rsidRDefault="00B4059B" w:rsidP="00E70B6E">
      <w:pPr>
        <w:pStyle w:val="Paragraphedeliste"/>
        <w:numPr>
          <w:ilvl w:val="1"/>
          <w:numId w:val="4"/>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E70B6E">
      <w:pPr>
        <w:pStyle w:val="Paragraphedeliste"/>
        <w:numPr>
          <w:ilvl w:val="1"/>
          <w:numId w:val="4"/>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E70B6E">
      <w:pPr>
        <w:pStyle w:val="Paragraphedeliste"/>
        <w:numPr>
          <w:ilvl w:val="1"/>
          <w:numId w:val="4"/>
        </w:numPr>
        <w:rPr>
          <w:color w:val="000000"/>
          <w:sz w:val="24"/>
          <w:szCs w:val="24"/>
        </w:rPr>
      </w:pPr>
      <w:r w:rsidRPr="00F92A4A">
        <w:rPr>
          <w:sz w:val="24"/>
          <w:szCs w:val="24"/>
        </w:rPr>
        <w:t xml:space="preserve">pour l’estuaire </w:t>
      </w:r>
      <w:r w:rsidR="00A1179E" w:rsidRPr="00F92A4A">
        <w:rPr>
          <w:color w:val="000000"/>
          <w:sz w:val="24"/>
          <w:szCs w:val="24"/>
        </w:rPr>
        <w:t xml:space="preserve">du Scheldt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E70B6E">
      <w:pPr>
        <w:pStyle w:val="Paragraphedeliste"/>
        <w:numPr>
          <w:ilvl w:val="1"/>
          <w:numId w:val="4"/>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3"/>
      <w:r w:rsidR="00BF4C1C" w:rsidRPr="00F92A4A">
        <w:rPr>
          <w:color w:val="000000"/>
          <w:sz w:val="24"/>
          <w:szCs w:val="24"/>
        </w:rPr>
        <w:t xml:space="preserve">qui </w:t>
      </w:r>
      <w:r w:rsidR="00A52AEA" w:rsidRPr="00F92A4A">
        <w:rPr>
          <w:color w:val="000000"/>
          <w:sz w:val="24"/>
          <w:szCs w:val="24"/>
        </w:rPr>
        <w:t xml:space="preserve">était le plus abondant </w:t>
      </w:r>
      <w:commentRangeEnd w:id="53"/>
      <w:r w:rsidR="00BF4C1C" w:rsidRPr="00F92A4A">
        <w:rPr>
          <w:rStyle w:val="Marquedecommentaire"/>
          <w:rFonts w:eastAsia="Batang" w:cs="Arial"/>
          <w:color w:val="000000"/>
          <w:sz w:val="18"/>
          <w:szCs w:val="18"/>
          <w:lang w:eastAsia="fr-FR"/>
        </w:rPr>
        <w:commentReference w:id="53"/>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du Scheldt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E70B6E">
      <w:pPr>
        <w:pStyle w:val="Paragraphedeliste"/>
        <w:numPr>
          <w:ilvl w:val="0"/>
          <w:numId w:val="4"/>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lastRenderedPageBreak/>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E70B6E">
      <w:pPr>
        <w:pStyle w:val="Paragraphedeliste"/>
        <w:numPr>
          <w:ilvl w:val="0"/>
          <w:numId w:val="4"/>
        </w:numPr>
        <w:rPr>
          <w:color w:val="000000"/>
          <w:sz w:val="24"/>
          <w:szCs w:val="24"/>
          <w:highlight w:val="yellow"/>
          <w:lang w:val="en-US"/>
        </w:rPr>
      </w:pPr>
      <w:r w:rsidRPr="00BE6B5A">
        <w:rPr>
          <w:color w:val="000000"/>
          <w:sz w:val="24"/>
          <w:szCs w:val="24"/>
          <w:highlight w:val="yellow"/>
          <w:lang w:val="en-US"/>
        </w:rPr>
        <w:t>Comparaison PCB poisson (European sea bass) en estuaires Européens</w:t>
      </w:r>
      <w:r w:rsidR="00B7035B" w:rsidRPr="00BE6B5A">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BE6B5A">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BE6B5A">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Each region presented their speci</w:t>
      </w:r>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r w:rsidRPr="00BB1C11">
        <w:rPr>
          <w:color w:val="000000"/>
          <w:sz w:val="24"/>
          <w:szCs w:val="24"/>
          <w:lang w:val="en-US"/>
        </w:rPr>
        <w:t>ecting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On retrouve le pattern Bivalves &gt; Polychaete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E70B6E">
      <w:pPr>
        <w:pStyle w:val="Paragraphedeliste"/>
        <w:numPr>
          <w:ilvl w:val="0"/>
          <w:numId w:val="4"/>
        </w:numPr>
        <w:rPr>
          <w:color w:val="000000"/>
          <w:sz w:val="24"/>
          <w:szCs w:val="24"/>
          <w:lang w:val="en-US"/>
        </w:rPr>
      </w:pPr>
      <w:r w:rsidRPr="00B7035B">
        <w:rPr>
          <w:color w:val="000000"/>
          <w:sz w:val="24"/>
          <w:szCs w:val="24"/>
          <w:lang w:val="en-US"/>
        </w:rPr>
        <w:t xml:space="preserve">Bivalves are known for their ability to concentrate lipophilic substances. They exhibit a low bio-transformation capacity and as </w:t>
      </w:r>
      <w:r w:rsidRPr="00F92A4A">
        <w:rPr>
          <w:color w:val="000000"/>
          <w:sz w:val="24"/>
          <w:szCs w:val="24"/>
        </w:rPr>
        <w:t>ﬁ</w:t>
      </w:r>
      <w:r w:rsidRPr="00B7035B">
        <w:rPr>
          <w:color w:val="000000"/>
          <w:sz w:val="24"/>
          <w:szCs w:val="24"/>
          <w:lang w:val="en-US"/>
        </w:rPr>
        <w:t xml:space="preserve">lter feeders, they achieve high </w:t>
      </w:r>
      <w:r w:rsidRPr="00F92A4A">
        <w:rPr>
          <w:color w:val="000000"/>
          <w:sz w:val="24"/>
          <w:szCs w:val="24"/>
        </w:rPr>
        <w:t>ﬁ</w:t>
      </w:r>
      <w:r w:rsidRPr="00B7035B">
        <w:rPr>
          <w:color w:val="000000"/>
          <w:sz w:val="24"/>
          <w:szCs w:val="24"/>
          <w:lang w:val="en-US"/>
        </w:rPr>
        <w:t>ltration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E70B6E">
      <w:pPr>
        <w:pStyle w:val="Paragraphedeliste"/>
        <w:numPr>
          <w:ilvl w:val="0"/>
          <w:numId w:val="4"/>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r w:rsidR="0059730C" w:rsidRPr="00F92A4A">
        <w:rPr>
          <w:color w:val="000000"/>
        </w:rPr>
        <w:t>bristle worms et</w:t>
      </w:r>
    </w:p>
    <w:p w14:paraId="194078A5" w14:textId="5F82478F" w:rsidR="00784BF4" w:rsidRPr="00F92A4A" w:rsidRDefault="00784BF4" w:rsidP="00784BF4">
      <w:pPr>
        <w:rPr>
          <w:color w:val="000000"/>
          <w:sz w:val="24"/>
          <w:szCs w:val="24"/>
        </w:rPr>
      </w:pPr>
      <w:r w:rsidRPr="00F92A4A">
        <w:rPr>
          <w:color w:val="000000"/>
          <w:sz w:val="24"/>
          <w:szCs w:val="24"/>
        </w:rPr>
        <w:t xml:space="preserve">la moule bleue (Mytilus edulis)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r w:rsidRPr="00F92A4A">
              <w:t>Present study</w:t>
            </w:r>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r w:rsidR="001B3911" w:rsidRPr="00F92A4A">
              <w:rPr>
                <w:color w:val="000000"/>
              </w:rPr>
              <w:t>ng/gww</w:t>
            </w:r>
          </w:p>
          <w:p w14:paraId="6A61440B" w14:textId="1EEBD788" w:rsidR="001B3911" w:rsidRPr="00F92A4A" w:rsidRDefault="001B3911" w:rsidP="00784BF4">
            <w:pPr>
              <w:spacing w:after="0" w:line="240" w:lineRule="auto"/>
              <w:rPr>
                <w:i/>
                <w:iCs/>
              </w:rPr>
            </w:pPr>
            <w:r w:rsidRPr="00F92A4A">
              <w:rPr>
                <w:i/>
                <w:iCs/>
              </w:rPr>
              <w:t>Lipid %</w:t>
            </w:r>
          </w:p>
        </w:tc>
        <w:tc>
          <w:tcPr>
            <w:tcW w:w="1304" w:type="dxa"/>
          </w:tcPr>
          <w:p w14:paraId="307C4FEF" w14:textId="02D0DC5A" w:rsidR="00423E2F" w:rsidRPr="00F92A4A" w:rsidRDefault="00423E2F" w:rsidP="00784BF4">
            <w:pPr>
              <w:spacing w:after="0" w:line="240" w:lineRule="auto"/>
            </w:pPr>
            <w:r w:rsidRPr="00F92A4A">
              <w:t>Other studies</w:t>
            </w:r>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ng/gww</w:t>
            </w:r>
          </w:p>
          <w:p w14:paraId="2C1359EB" w14:textId="6D5D27D4" w:rsidR="001B3911" w:rsidRPr="00F92A4A" w:rsidRDefault="001B3911" w:rsidP="00784BF4">
            <w:pPr>
              <w:spacing w:after="0" w:line="240" w:lineRule="auto"/>
              <w:rPr>
                <w:i/>
                <w:iCs/>
              </w:rPr>
            </w:pPr>
            <w:r w:rsidRPr="00F92A4A">
              <w:rPr>
                <w:i/>
                <w:iCs/>
              </w:rPr>
              <w:t>Lipid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r w:rsidRPr="00F92A4A">
              <w:t>Ref</w:t>
            </w:r>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r w:rsidRPr="00F92A4A">
              <w:t xml:space="preserve">Scheldt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Crangon crangon</w:t>
            </w:r>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Crangon crangon</w:t>
            </w:r>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Crangon crangon</w:t>
            </w:r>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r w:rsidRPr="00F92A4A">
              <w:t xml:space="preserve">Scheldt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r w:rsidRPr="00F92A4A">
              <w:rPr>
                <w:color w:val="000000"/>
              </w:rPr>
              <w:t>crevette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r w:rsidRPr="00F92A4A">
              <w:t>Polychaete</w:t>
            </w:r>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lastRenderedPageBreak/>
              <w:t>1.5%</w:t>
            </w:r>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r w:rsidRPr="00F92A4A">
              <w:rPr>
                <w:color w:val="000000"/>
              </w:rPr>
              <w:lastRenderedPageBreak/>
              <w:t>Nereis</w:t>
            </w:r>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r w:rsidRPr="00F92A4A">
              <w:rPr>
                <w:color w:val="000000"/>
              </w:rPr>
              <w:t>bristle worms</w:t>
            </w:r>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1.3[1.0 -1.6]%</w:t>
            </w:r>
          </w:p>
        </w:tc>
        <w:tc>
          <w:tcPr>
            <w:tcW w:w="1186" w:type="dxa"/>
          </w:tcPr>
          <w:p w14:paraId="2E253AE1" w14:textId="6D42C6B6" w:rsidR="00985A76" w:rsidRPr="00F92A4A" w:rsidRDefault="00985A76" w:rsidP="00784BF4">
            <w:pPr>
              <w:spacing w:after="0" w:line="240" w:lineRule="auto"/>
            </w:pPr>
            <w:r w:rsidRPr="00F92A4A">
              <w:t xml:space="preserve">Scheldt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r w:rsidR="004C3110" w:rsidRPr="00F92A4A">
              <w:rPr>
                <w:color w:val="000000"/>
              </w:rPr>
              <w:t xml:space="preserve">VS </w:t>
            </w:r>
            <w:r w:rsidRPr="00F92A4A">
              <w:rPr>
                <w:color w:val="000000"/>
              </w:rPr>
              <w:t xml:space="preserve"> </w:t>
            </w:r>
            <w:r w:rsidRPr="00F92A4A">
              <w:rPr>
                <w:i/>
                <w:iCs/>
                <w:color w:val="000000"/>
              </w:rPr>
              <w:t>max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r w:rsidRPr="00F92A4A">
              <w:rPr>
                <w:i/>
                <w:iCs/>
                <w:color w:val="000000"/>
              </w:rPr>
              <w:t>Scrobicularia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r w:rsidRPr="00F92A4A">
              <w:rPr>
                <w:i/>
                <w:iCs/>
                <w:color w:val="000000"/>
              </w:rPr>
              <w:t>Scrobicularia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r w:rsidRPr="00F92A4A">
              <w:rPr>
                <w:i/>
                <w:iCs/>
                <w:color w:val="000000"/>
              </w:rPr>
              <w:t>Mytilus edulis</w:t>
            </w:r>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r w:rsidRPr="00F92A4A">
              <w:t xml:space="preserve">Scheldt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r w:rsidRPr="00F92A4A">
              <w:rPr>
                <w:color w:val="000000"/>
              </w:rPr>
              <w:t>Present study</w:t>
            </w:r>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%lipid</w:t>
            </w:r>
          </w:p>
        </w:tc>
        <w:tc>
          <w:tcPr>
            <w:tcW w:w="1134" w:type="dxa"/>
          </w:tcPr>
          <w:p w14:paraId="5AA81B6C" w14:textId="624D6992" w:rsidR="004C3110" w:rsidRPr="00F92A4A" w:rsidRDefault="00784BF4" w:rsidP="00784BF4">
            <w:pPr>
              <w:spacing w:after="0" w:line="240" w:lineRule="auto"/>
              <w:rPr>
                <w:color w:val="000000"/>
              </w:rPr>
            </w:pPr>
            <w:r w:rsidRPr="00F92A4A">
              <w:rPr>
                <w:color w:val="000000"/>
              </w:rPr>
              <w:t>Other studies</w:t>
            </w:r>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%lipid</w:t>
            </w:r>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r w:rsidRPr="00F92A4A">
              <w:rPr>
                <w:color w:val="000000"/>
              </w:rPr>
              <w:t>Ref</w:t>
            </w:r>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[55-211] ng/gww</w:t>
            </w:r>
          </w:p>
          <w:p w14:paraId="05EFB29B" w14:textId="273468BB" w:rsidR="00BD653C" w:rsidRPr="00F92A4A" w:rsidRDefault="00784BF4" w:rsidP="00784BF4">
            <w:pPr>
              <w:spacing w:after="0" w:line="240" w:lineRule="auto"/>
              <w:rPr>
                <w:i/>
                <w:iCs/>
                <w:color w:val="000000"/>
              </w:rPr>
            </w:pPr>
            <w:r w:rsidRPr="00F92A4A">
              <w:rPr>
                <w:i/>
                <w:iCs/>
                <w:color w:val="000000"/>
              </w:rPr>
              <w:t>4%[2-7]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39[9-213] ng/gww</w:t>
            </w:r>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r w:rsidRPr="00F92A4A">
              <w:t xml:space="preserve">Scheldt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13 ng/gww</w:t>
            </w:r>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r w:rsidRPr="00F92A4A">
              <w:rPr>
                <w:color w:val="000000"/>
              </w:rPr>
              <w:t>filet</w:t>
            </w:r>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513 ng/gww</w:t>
            </w:r>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ng/g dw</w:t>
            </w:r>
          </w:p>
          <w:p w14:paraId="43AE8ADE" w14:textId="191CBED9" w:rsidR="00784BF4" w:rsidRPr="00F92A4A" w:rsidRDefault="00784BF4" w:rsidP="00784BF4">
            <w:pPr>
              <w:spacing w:after="0" w:line="240" w:lineRule="auto"/>
              <w:rPr>
                <w:color w:val="000000"/>
              </w:rPr>
            </w:pPr>
            <w:r w:rsidRPr="00F92A4A">
              <w:rPr>
                <w:i/>
                <w:iCs/>
                <w:color w:val="000000"/>
              </w:rPr>
              <w:t>4%[2-7]</w:t>
            </w:r>
          </w:p>
        </w:tc>
        <w:tc>
          <w:tcPr>
            <w:tcW w:w="1134" w:type="dxa"/>
          </w:tcPr>
          <w:p w14:paraId="1A124D01" w14:textId="4536D381" w:rsidR="00784BF4" w:rsidRPr="00F92A4A" w:rsidRDefault="00784BF4" w:rsidP="00784BF4">
            <w:pPr>
              <w:spacing w:after="0" w:line="240" w:lineRule="auto"/>
              <w:rPr>
                <w:color w:val="000000"/>
              </w:rPr>
            </w:pPr>
            <w:r w:rsidRPr="00F92A4A">
              <w:rPr>
                <w:color w:val="000000"/>
              </w:rPr>
              <w:t>filet</w:t>
            </w:r>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75 ng/gdw</w:t>
            </w:r>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r w:rsidRPr="00F92A4A">
              <w:rPr>
                <w:color w:val="000000"/>
              </w:rPr>
              <w:t>foie</w:t>
            </w:r>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1177 ng/gdw</w:t>
            </w:r>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E70B6E"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r w:rsidRPr="00F92A4A">
              <w:rPr>
                <w:color w:val="000000"/>
              </w:rPr>
              <w:t>individu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[31-123] ng/gww</w:t>
            </w:r>
          </w:p>
        </w:tc>
        <w:tc>
          <w:tcPr>
            <w:tcW w:w="1134" w:type="dxa"/>
          </w:tcPr>
          <w:p w14:paraId="1DF58D4A" w14:textId="0112B9CB" w:rsidR="004C3110" w:rsidRPr="00F92A4A" w:rsidRDefault="00E70B6E"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17[4-97] ng/gww</w:t>
            </w:r>
          </w:p>
        </w:tc>
        <w:tc>
          <w:tcPr>
            <w:tcW w:w="992" w:type="dxa"/>
          </w:tcPr>
          <w:p w14:paraId="7D0CED2D" w14:textId="212E44A6" w:rsidR="004C3110" w:rsidRPr="00F92A4A" w:rsidRDefault="004C3110" w:rsidP="00784BF4">
            <w:pPr>
              <w:spacing w:after="0" w:line="240" w:lineRule="auto"/>
              <w:rPr>
                <w:color w:val="000000"/>
              </w:rPr>
            </w:pPr>
            <w:r w:rsidRPr="00F92A4A">
              <w:t xml:space="preserve">Scheldt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E70B6E"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filet</w:t>
            </w:r>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75 ng/gww</w:t>
            </w:r>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r w:rsidR="00DD574C" w:rsidRPr="00F92A4A">
              <w:rPr>
                <w:color w:val="000000"/>
              </w:rPr>
              <w:t>/!\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 3 à 4 fois plus élevés qu’en estuaire de Scheldt</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Ael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w:t>
      </w:r>
      <w:r w:rsidR="00711642" w:rsidRPr="00F92A4A">
        <w:rPr>
          <w:color w:val="000000"/>
          <w:sz w:val="24"/>
          <w:szCs w:val="24"/>
        </w:rPr>
        <w:lastRenderedPageBreak/>
        <w:t>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concentrations en poids frais dans les soles</w:t>
      </w:r>
      <w:r w:rsidRPr="00F92A4A">
        <w:rPr>
          <w:color w:val="000000"/>
          <w:sz w:val="24"/>
          <w:szCs w:val="24"/>
        </w:rPr>
        <w:t xml:space="preserve"> </w:t>
      </w:r>
      <w:r w:rsidR="007F552D" w:rsidRPr="00F92A4A">
        <w:rPr>
          <w:color w:val="000000"/>
          <w:sz w:val="24"/>
          <w:szCs w:val="24"/>
        </w:rPr>
        <w:t xml:space="preserve">(107[55-211 ng/gww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r w:rsidRPr="00F92A4A">
        <w:rPr>
          <w:color w:val="000000"/>
          <w:sz w:val="24"/>
          <w:szCs w:val="24"/>
        </w:rPr>
        <w:t>sont</w:t>
      </w:r>
      <w:r w:rsidR="007F552D" w:rsidRPr="00F92A4A">
        <w:rPr>
          <w:color w:val="000000"/>
          <w:sz w:val="24"/>
          <w:szCs w:val="24"/>
        </w:rPr>
        <w:t>:</w:t>
      </w:r>
    </w:p>
    <w:p w14:paraId="37A8F281" w14:textId="676BFE53" w:rsidR="00BF4C1C" w:rsidRPr="00F92A4A" w:rsidRDefault="00BF4C1C" w:rsidP="00E61956">
      <w:pPr>
        <w:rPr>
          <w:color w:val="000000"/>
          <w:sz w:val="24"/>
          <w:szCs w:val="24"/>
        </w:rPr>
      </w:pPr>
      <w:r w:rsidRPr="00F92A4A">
        <w:rPr>
          <w:color w:val="000000"/>
          <w:sz w:val="24"/>
          <w:szCs w:val="24"/>
        </w:rPr>
        <w:t>et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r w:rsidR="00DA488B" w:rsidRPr="00F92A4A">
        <w:rPr>
          <w:color w:val="000000"/>
          <w:sz w:val="24"/>
          <w:szCs w:val="24"/>
        </w:rPr>
        <w:t>PCBs</w:t>
      </w:r>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ng/g dw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75 ng/gdw</w:t>
      </w:r>
      <w:r w:rsidR="006258F4" w:rsidRPr="00F92A4A">
        <w:rPr>
          <w:color w:val="000000"/>
          <w:sz w:val="24"/>
          <w:szCs w:val="24"/>
        </w:rPr>
        <w:t>) et dans le foie (</w:t>
      </w:r>
      <w:r w:rsidR="00DA488B" w:rsidRPr="00F92A4A">
        <w:rPr>
          <w:color w:val="000000"/>
          <w:sz w:val="24"/>
          <w:szCs w:val="24"/>
        </w:rPr>
        <w:t>1177 ng/gdw</w:t>
      </w:r>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(4[2-7]%).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ng/g lw de notre étude est deux fois plus élevée que la contamination du foie en estuaire de la Gironde (5201 +/- 1922</w:t>
      </w:r>
      <w:r w:rsidR="00A1179E" w:rsidRPr="00F92A4A">
        <w:rPr>
          <w:color w:val="000000"/>
          <w:sz w:val="24"/>
          <w:szCs w:val="24"/>
        </w:rPr>
        <w:t xml:space="preserve"> ng/g lw</w:t>
      </w:r>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Scheldt</w:t>
      </w:r>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De plus faibles concentrations chez les jeune adultes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The PCB family is by far the most predominant in soles, with an average total PCBs concentration of 465.20 ng/g dw, compared to 22.34 ng/g dw for PFASs and 0.15 ng/g dw for HBCDD isomers. This hierarchy is also observed in prey; however, PCB levels are lower at 292.50 ng/g dw, PFAS levels are similar at 23.55 ng/g dw, and HBCDD isomer concentrations are higher at 9.57 ng/g dw.</w:t>
      </w:r>
    </w:p>
    <w:p w14:paraId="577422CB" w14:textId="77777777" w:rsidR="00EE227D" w:rsidRPr="00F92A4A" w:rsidRDefault="00B4059B" w:rsidP="001A7ED5">
      <w:pPr>
        <w:pStyle w:val="Titre2"/>
        <w:rPr>
          <w:sz w:val="32"/>
          <w:szCs w:val="36"/>
        </w:rPr>
      </w:pPr>
      <w:bookmarkStart w:id="54" w:name="_Toc199498318"/>
      <w:r w:rsidRPr="00F92A4A">
        <w:rPr>
          <w:sz w:val="32"/>
          <w:szCs w:val="36"/>
        </w:rPr>
        <w:t>Biomagnification des contaminants</w:t>
      </w:r>
      <w:bookmarkEnd w:id="54"/>
    </w:p>
    <w:p w14:paraId="327598C4" w14:textId="74A95600" w:rsidR="00EE227D" w:rsidRPr="00F92A4A" w:rsidRDefault="00EE227D" w:rsidP="00EE227D">
      <w:pPr>
        <w:pStyle w:val="Titre3"/>
        <w:rPr>
          <w:sz w:val="28"/>
          <w:szCs w:val="32"/>
        </w:rPr>
      </w:pPr>
      <w:bookmarkStart w:id="55" w:name="_Toc199498319"/>
      <w:r w:rsidRPr="00F92A4A">
        <w:rPr>
          <w:sz w:val="28"/>
          <w:szCs w:val="32"/>
        </w:rPr>
        <w:t>Des différences entre familles</w:t>
      </w:r>
      <w:bookmarkEnd w:id="55"/>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PCBs, bien qu’accumulés par les soles, présentent des BMFs relativement faibles (~1.8), ce qui est conforme à d'autres études sur des poissons benthiques démontrant une </w:t>
      </w:r>
      <w:r w:rsidRPr="00F92A4A">
        <w:rPr>
          <w:sz w:val="24"/>
          <w:szCs w:val="24"/>
        </w:rPr>
        <w:lastRenderedPageBreak/>
        <w:t>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En revanche, les PFASs présentent des BMFs plus élevés (jusqu’à 7.5 pour certains composés), indiquant une forte capacité de transfert trophique. Ce résultat est en accord avec les observations récentes sur la bioaccumulation des PFASs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Pour une meilleure estimation des BMFs, la normalisation des concentrations par le taux de protéine aurait pû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BMFs et TMFs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L’analyse des isomères d’HBCDD met en évidence une différence marquée entre les proies et les soles,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6" w:name="_Toc199498320"/>
      <w:r w:rsidRPr="00F92A4A">
        <w:rPr>
          <w:sz w:val="28"/>
          <w:szCs w:val="32"/>
        </w:rPr>
        <w:t>U</w:t>
      </w:r>
      <w:r w:rsidR="00B4059B" w:rsidRPr="00F92A4A">
        <w:rPr>
          <w:sz w:val="28"/>
          <w:szCs w:val="32"/>
        </w:rPr>
        <w:t>ne variabilité inter-spécifique marquée</w:t>
      </w:r>
      <w:r w:rsidRPr="00F92A4A">
        <w:rPr>
          <w:sz w:val="28"/>
          <w:szCs w:val="32"/>
        </w:rPr>
        <w:t xml:space="preserve"> des BMFs prédateur-proie</w:t>
      </w:r>
      <w:bookmarkEnd w:id="56"/>
    </w:p>
    <w:p w14:paraId="73FD00C6" w14:textId="24D64ADA" w:rsidR="007945AD" w:rsidRPr="00F92A4A" w:rsidRDefault="00E61956" w:rsidP="00585374">
      <w:pPr>
        <w:rPr>
          <w:sz w:val="24"/>
          <w:szCs w:val="24"/>
        </w:rPr>
      </w:pPr>
      <w:r w:rsidRPr="00F92A4A">
        <w:rPr>
          <w:sz w:val="24"/>
          <w:szCs w:val="24"/>
        </w:rPr>
        <w:t xml:space="preserve">Nos résultats montrent des variations significatives des facteurs de biomagnification (BMFs)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Le choix des espèces étudiées pour le calcul de ces BMFs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L’âge et les conditions physiologiques peuvent également faire varier la bioaccumulation et expliquer une partie de la variabilité intra-spécifique</w:t>
      </w:r>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r w:rsidR="001476B4" w:rsidRPr="00F92A4A">
        <w:rPr>
          <w:i/>
          <w:iCs/>
          <w:sz w:val="24"/>
          <w:szCs w:val="24"/>
        </w:rPr>
        <w:t>Limecola balthica</w:t>
      </w:r>
      <w:r w:rsidR="001476B4" w:rsidRPr="00F92A4A">
        <w:rPr>
          <w:sz w:val="24"/>
          <w:szCs w:val="24"/>
        </w:rPr>
        <w:t xml:space="preserve"> en comparaison des autres bivalves</w:t>
      </w:r>
      <w:r w:rsidRPr="00F92A4A">
        <w:rPr>
          <w:sz w:val="24"/>
          <w:szCs w:val="24"/>
        </w:rPr>
        <w:t xml:space="preserve"> déposivores</w:t>
      </w:r>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 xml:space="preserve">Le transfert du sédiment vers le benthos peut également être lié à des </w:t>
      </w:r>
      <w:r w:rsidR="00A1179E" w:rsidRPr="00F92A4A">
        <w:rPr>
          <w:sz w:val="24"/>
          <w:szCs w:val="24"/>
        </w:rPr>
        <w:lastRenderedPageBreak/>
        <w:t>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endobenthic Nereis diversicolor,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inter-spécifiques sont grandes entre les proies. L’utilisation des contenus stomacaux pour estimer le régime alimentaire des soles dans l’estimation des BMFs semble donc nécessaire.</w:t>
      </w:r>
    </w:p>
    <w:p w14:paraId="10EFD44C" w14:textId="32225D9D" w:rsidR="00B4059B" w:rsidRPr="00F92A4A" w:rsidRDefault="00EE227D" w:rsidP="00EE227D">
      <w:pPr>
        <w:pStyle w:val="Titre3"/>
        <w:rPr>
          <w:sz w:val="28"/>
          <w:szCs w:val="32"/>
        </w:rPr>
      </w:pPr>
      <w:bookmarkStart w:id="57" w:name="_Toc199498321"/>
      <w:r w:rsidRPr="00F92A4A">
        <w:rPr>
          <w:sz w:val="28"/>
          <w:szCs w:val="32"/>
        </w:rPr>
        <w:t>Influence</w:t>
      </w:r>
      <w:r w:rsidR="00B4059B" w:rsidRPr="00F92A4A">
        <w:rPr>
          <w:sz w:val="28"/>
          <w:szCs w:val="32"/>
        </w:rPr>
        <w:t xml:space="preserve"> de l’intégration du régime alimentaire dans l’estimation des BMFs</w:t>
      </w:r>
      <w:bookmarkEnd w:id="57"/>
    </w:p>
    <w:p w14:paraId="453400BA" w14:textId="2D95370F" w:rsidR="003D1F8B" w:rsidRPr="00F92A4A" w:rsidRDefault="00E61956" w:rsidP="00E61956">
      <w:pPr>
        <w:rPr>
          <w:sz w:val="24"/>
          <w:szCs w:val="24"/>
        </w:rPr>
      </w:pPr>
      <w:r w:rsidRPr="00F92A4A">
        <w:rPr>
          <w:sz w:val="24"/>
          <w:szCs w:val="24"/>
        </w:rPr>
        <w:t>L’une des contributions majeures de cette étude est la mise en évidence de l’impact de la méthodologie sur l’estimation des BMFs. En effet, la prise en compte de la composition du régime alimentaire des soles</w:t>
      </w:r>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BMFs plus élevés pour les PFASs et HBCDDs</w:t>
      </w:r>
      <w:r w:rsidR="00B573D7" w:rsidRPr="00F92A4A">
        <w:rPr>
          <w:sz w:val="24"/>
          <w:szCs w:val="24"/>
        </w:rPr>
        <w:t>. Ceci</w:t>
      </w:r>
      <w:r w:rsidRPr="00F92A4A">
        <w:rPr>
          <w:sz w:val="24"/>
          <w:szCs w:val="24"/>
        </w:rPr>
        <w:t xml:space="preserve"> suggère 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PFASs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écotoxicologiques. De plus, ils confirment que les PFASs,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BE6B5A" w:rsidRDefault="009A420D" w:rsidP="002F51CB">
      <w:pPr>
        <w:rPr>
          <w:color w:val="000000"/>
          <w:sz w:val="24"/>
          <w:szCs w:val="24"/>
          <w:lang w:val="en-US"/>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 xml:space="preserve">Furthermore, </w:t>
      </w:r>
      <w:r w:rsidR="00EF2B0A" w:rsidRPr="00F92A4A">
        <w:rPr>
          <w:color w:val="000000"/>
          <w:sz w:val="24"/>
          <w:szCs w:val="24"/>
          <w:lang w:val="en-GB"/>
        </w:rPr>
        <w:lastRenderedPageBreak/>
        <w:t>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FE1121" w:rsidRPr="00BE6B5A">
        <w:rPr>
          <w:color w:val="000000"/>
          <w:sz w:val="24"/>
          <w:szCs w:val="24"/>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BE6B5A">
        <w:rPr>
          <w:rFonts w:ascii="Calibri" w:hAnsi="Calibri" w:cs="Calibri"/>
          <w:sz w:val="24"/>
          <w:szCs w:val="24"/>
          <w:lang w:val="en-US"/>
        </w:rPr>
        <w:t xml:space="preserve">(Borgå </w:t>
      </w:r>
      <w:r w:rsidR="00FE1121" w:rsidRPr="00BE6B5A">
        <w:rPr>
          <w:rFonts w:ascii="Calibri" w:hAnsi="Calibri" w:cs="Calibri"/>
          <w:i/>
          <w:iCs/>
          <w:sz w:val="24"/>
          <w:szCs w:val="24"/>
          <w:lang w:val="en-US"/>
        </w:rPr>
        <w:t>et al.</w:t>
      </w:r>
      <w:r w:rsidR="00FE1121" w:rsidRPr="00BE6B5A">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BE6B5A" w:rsidRDefault="001D624F" w:rsidP="00EE227D">
      <w:pPr>
        <w:pStyle w:val="Titre3"/>
        <w:rPr>
          <w:sz w:val="28"/>
          <w:szCs w:val="32"/>
          <w:lang w:val="en-US"/>
        </w:rPr>
      </w:pPr>
      <w:bookmarkStart w:id="58" w:name="_Toc199498322"/>
      <w:r w:rsidRPr="00BE6B5A">
        <w:rPr>
          <w:sz w:val="28"/>
          <w:szCs w:val="32"/>
          <w:lang w:val="en-US"/>
        </w:rPr>
        <w:t>BMF vs TMF</w:t>
      </w:r>
      <w:bookmarkEnd w:id="58"/>
    </w:p>
    <w:p w14:paraId="2EA786DF" w14:textId="5DF841EA" w:rsidR="00DC46DA" w:rsidRPr="00F92A4A" w:rsidRDefault="001D624F" w:rsidP="00DC46DA">
      <w:pPr>
        <w:rPr>
          <w:color w:val="000000"/>
          <w:sz w:val="24"/>
          <w:szCs w:val="24"/>
          <w:lang w:val="en-GB"/>
        </w:rPr>
      </w:pPr>
      <w:r w:rsidRPr="00BE6B5A">
        <w:rPr>
          <w:sz w:val="24"/>
          <w:szCs w:val="24"/>
          <w:lang w:val="en-US"/>
        </w:rPr>
        <w:t>Field- and laboratory-derived BAFs and bioconcentration factors are generally less accurate in predicting biomagni</w:t>
      </w:r>
      <w:r w:rsidRPr="00F92A4A">
        <w:rPr>
          <w:sz w:val="24"/>
          <w:szCs w:val="24"/>
        </w:rPr>
        <w:t>ﬁ</w:t>
      </w:r>
      <w:r w:rsidRPr="00BE6B5A">
        <w:rPr>
          <w:sz w:val="24"/>
          <w:szCs w:val="24"/>
          <w:lang w:val="en-US"/>
        </w:rPr>
        <w:t>cation</w:t>
      </w:r>
      <w:r w:rsidR="00FE1121" w:rsidRPr="00BE6B5A">
        <w:rPr>
          <w:sz w:val="24"/>
          <w:szCs w:val="24"/>
          <w:lang w:val="en-US"/>
        </w:rPr>
        <w:t xml:space="preserve"> </w:t>
      </w:r>
      <w:r w:rsidR="00FE1121">
        <w:rPr>
          <w:sz w:val="24"/>
          <w:szCs w:val="24"/>
          <w:lang w:val="en-GB"/>
        </w:rPr>
        <w:fldChar w:fldCharType="begin"/>
      </w:r>
      <w:r w:rsidR="00FE1121" w:rsidRPr="00BE6B5A">
        <w:rPr>
          <w:sz w:val="24"/>
          <w:szCs w:val="24"/>
          <w:lang w:val="en-US"/>
        </w:rPr>
        <w:instrText xml:space="preserve"> ADDIN ZOTERO_ITEM CSL_CITATION {"citationID":"Bs9SGoLf"</w:instrText>
      </w:r>
      <w:r w:rsidR="00FE1121">
        <w:rPr>
          <w:sz w:val="24"/>
          <w:szCs w:val="24"/>
          <w:lang w:val="en-GB"/>
        </w:rPr>
        <w:instrText xml:space="preserve">,"properties":{"formattedCitation":"(Conder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E70B6E">
      <w:pPr>
        <w:pStyle w:val="Paragraphedeliste"/>
        <w:numPr>
          <w:ilvl w:val="0"/>
          <w:numId w:val="4"/>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E70B6E">
      <w:pPr>
        <w:pStyle w:val="Paragraphedeliste"/>
        <w:numPr>
          <w:ilvl w:val="0"/>
          <w:numId w:val="4"/>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biblio TMF et BMFTL PFOS (Houde et al., 2006</w:t>
      </w:r>
      <w:r w:rsidR="00C935EF" w:rsidRPr="00F92A4A">
        <w:rPr>
          <w:color w:val="000000"/>
          <w:sz w:val="24"/>
          <w:szCs w:val="24"/>
          <w:highlight w:val="yellow"/>
          <w:lang w:val="en-GB"/>
        </w:rPr>
        <w:t xml:space="preserve"> </w:t>
      </w:r>
      <w:r w:rsidRPr="00F92A4A">
        <w:rPr>
          <w:color w:val="000000"/>
          <w:sz w:val="24"/>
          <w:szCs w:val="24"/>
          <w:highlight w:val="yellow"/>
          <w:lang w:val="en-GB"/>
        </w:rPr>
        <w:t>Sarasota Bay + Tomy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xml:space="preserve">) PCB 52(Houde et al., 2008 Wollaston, Thunder, Superior, Simcoe, Seneca, Sandybeach, Reindeer, Paguchi, Opeongo, Namur, La Ronge, Kingsmere, Grist, Eva, Cold, Champlain, Athabasca) ; PCB 153 (Hoekstra et al., 2003 Beaufort-Chukchi Sea Arctic + Fisk et al., 2001 Baffin Bay Arctic + Hop et al., 2002 </w:t>
      </w:r>
      <w:r w:rsidRPr="00F92A4A">
        <w:rPr>
          <w:color w:val="000000"/>
          <w:sz w:val="24"/>
          <w:szCs w:val="24"/>
          <w:highlight w:val="yellow"/>
          <w:lang w:val="en-GB"/>
        </w:rPr>
        <w:lastRenderedPageBreak/>
        <w:t>Barents Sea + Houde et al., 2008 same locations as PCB 52), 209 (Mackintosh et al., 2004 Vancover, BC)</w:t>
      </w:r>
    </w:p>
    <w:p w14:paraId="439E4AA1" w14:textId="4D3AF6E6" w:rsidR="00984A4A" w:rsidRDefault="00984A4A" w:rsidP="00984A4A">
      <w:pPr>
        <w:rPr>
          <w:color w:val="000000"/>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6A1EA427" w14:textId="50D4F1CE" w:rsidR="0065333F" w:rsidRPr="0065333F" w:rsidRDefault="0065333F" w:rsidP="00984A4A">
      <w:r w:rsidRPr="00F92A4A">
        <w:t>Le calcul du TMF est basé sur l’examen de la relation statistique entre le niveau moyen de contamination des espèces et leur niveau trophique moyen le long d’une chaine trophique</w:t>
      </w:r>
      <w:r>
        <w:t xml:space="preserve"> </w:t>
      </w:r>
      <w:r>
        <w:fldChar w:fldCharType="begin"/>
      </w:r>
      <w: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2012)</w:t>
      </w:r>
      <w:r>
        <w:fldChar w:fldCharType="end"/>
      </w:r>
      <w:r w:rsidRPr="00F92A4A">
        <w:t xml:space="preserve">. Récemment, </w:t>
      </w:r>
      <w:r>
        <w:rPr>
          <w:lang w:val="en-GB"/>
        </w:rPr>
        <w:fldChar w:fldCharType="begin"/>
      </w:r>
      <w: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lang w:val="en-GB"/>
        </w:rPr>
        <w:fldChar w:fldCharType="separate"/>
      </w:r>
      <w:r w:rsidRPr="00577E7B">
        <w:rPr>
          <w:rFonts w:ascii="Calibri" w:hAnsi="Calibri" w:cs="Calibri"/>
        </w:rPr>
        <w:t xml:space="preserve">(Munoz </w:t>
      </w:r>
      <w:r w:rsidRPr="00577E7B">
        <w:rPr>
          <w:rFonts w:ascii="Calibri" w:hAnsi="Calibri" w:cs="Calibri"/>
          <w:i/>
          <w:iCs/>
        </w:rPr>
        <w:t>et al.</w:t>
      </w:r>
      <w:r w:rsidRPr="00577E7B">
        <w:rPr>
          <w:rFonts w:ascii="Calibri" w:hAnsi="Calibri" w:cs="Calibri"/>
        </w:rPr>
        <w:t>, 2017)</w:t>
      </w:r>
      <w:r>
        <w:rPr>
          <w:lang w:val="en-GB"/>
        </w:rPr>
        <w:fldChar w:fldCharType="end"/>
      </w:r>
      <w:r w:rsidRPr="00F92A4A">
        <w:t xml:space="preserve"> ont listé et évalués différentes méthodes statistiques pour estimer de façon pertinente les TMF compte-tenu des différents biais statistiques potentiels</w:t>
      </w:r>
      <w:r>
        <w:t xml:space="preserve"> </w:t>
      </w:r>
      <w:r>
        <w:fldChar w:fldCharType="begin"/>
      </w:r>
      <w: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xml:space="preserve">, 2012; Mackay </w:t>
      </w:r>
      <w:r w:rsidRPr="00755593">
        <w:rPr>
          <w:rFonts w:ascii="Calibri" w:hAnsi="Calibri" w:cs="Calibri"/>
          <w:i/>
          <w:iCs/>
        </w:rPr>
        <w:t>et al.</w:t>
      </w:r>
      <w:r w:rsidRPr="00755593">
        <w:rPr>
          <w:rFonts w:ascii="Calibri" w:hAnsi="Calibri" w:cs="Calibri"/>
        </w:rPr>
        <w:t>, 2016)</w:t>
      </w:r>
      <w:r>
        <w:fldChar w:fldCharType="end"/>
      </w:r>
      <w:r w:rsidRPr="00F92A4A">
        <w:t>. Parmi ces méthodes, le package R « LMEC »</w:t>
      </w:r>
      <w:r>
        <w:t xml:space="preserve"> </w:t>
      </w:r>
      <w:r>
        <w:fldChar w:fldCharType="begin"/>
      </w:r>
      <w: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fldChar w:fldCharType="separate"/>
      </w:r>
      <w:r w:rsidRPr="00755593">
        <w:rPr>
          <w:rFonts w:ascii="Calibri" w:hAnsi="Calibri" w:cs="Calibri"/>
        </w:rPr>
        <w:t>(Vaida and Liu, 2009)</w:t>
      </w:r>
      <w:r>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3F055868" w14:textId="5016776A" w:rsidR="00EF2B0A" w:rsidRPr="00F92A4A" w:rsidRDefault="00EE227D" w:rsidP="00EE227D">
      <w:pPr>
        <w:pStyle w:val="Titre3"/>
        <w:rPr>
          <w:sz w:val="28"/>
          <w:szCs w:val="32"/>
        </w:rPr>
      </w:pPr>
      <w:bookmarkStart w:id="59" w:name="_Toc199498323"/>
      <w:r w:rsidRPr="00F92A4A">
        <w:rPr>
          <w:sz w:val="28"/>
          <w:szCs w:val="32"/>
        </w:rPr>
        <w:t>Influence</w:t>
      </w:r>
      <w:r w:rsidR="00EF2B0A" w:rsidRPr="00F92A4A">
        <w:rPr>
          <w:sz w:val="28"/>
          <w:szCs w:val="32"/>
        </w:rPr>
        <w:t xml:space="preserve"> de la prise en compte des valeurs manquantes</w:t>
      </w:r>
      <w:bookmarkEnd w:id="59"/>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60" w:name="_Toc199498324"/>
      <w:r w:rsidRPr="00F92A4A">
        <w:rPr>
          <w:sz w:val="32"/>
          <w:szCs w:val="36"/>
        </w:rPr>
        <w:t>Conclusions et perspectives</w:t>
      </w:r>
      <w:bookmarkEnd w:id="60"/>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Solea solea</w:t>
      </w:r>
      <w:r w:rsidRPr="00F92A4A">
        <w:rPr>
          <w:sz w:val="24"/>
          <w:szCs w:val="24"/>
        </w:rPr>
        <w:t>, avec des implications pour la compréhension des dynamiques trophiques des contaminants. Les résultats confirment que les PCBs, bien que persistants, ne présentent qu’une biomagnification limitée par rapport aux PFASs,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70B6E">
      <w:pPr>
        <w:numPr>
          <w:ilvl w:val="0"/>
          <w:numId w:val="3"/>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E70B6E">
      <w:pPr>
        <w:numPr>
          <w:ilvl w:val="0"/>
          <w:numId w:val="3"/>
        </w:numPr>
        <w:rPr>
          <w:sz w:val="24"/>
          <w:szCs w:val="24"/>
        </w:rPr>
      </w:pPr>
      <w:r w:rsidRPr="00F92A4A">
        <w:rPr>
          <w:sz w:val="24"/>
          <w:szCs w:val="24"/>
        </w:rPr>
        <w:t>L’analyse des métabolites de PFASs et PCBs pour mieux comprendre leur devenir dans l’organisme.</w:t>
      </w:r>
    </w:p>
    <w:p w14:paraId="0696D989" w14:textId="77777777" w:rsidR="00E61956" w:rsidRPr="00F92A4A" w:rsidRDefault="00E61956" w:rsidP="00E70B6E">
      <w:pPr>
        <w:numPr>
          <w:ilvl w:val="0"/>
          <w:numId w:val="3"/>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En intégrant ces dimensions, il sera possible d’améliorer les modèles de prédiction de la bioaccumulation et de mieux évaluer les risques écotoxicologiques associés aux contaminants émergents dans les écosystèmes estuariens.</w:t>
      </w:r>
    </w:p>
    <w:p w14:paraId="569B920A" w14:textId="38D13E21" w:rsidR="00E61956" w:rsidRDefault="00E70B6E"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61" w:name="_Toc199498325"/>
      <w:r>
        <w:rPr>
          <w:sz w:val="32"/>
          <w:szCs w:val="36"/>
        </w:rPr>
        <w:t>References</w:t>
      </w:r>
      <w:bookmarkEnd w:id="61"/>
    </w:p>
    <w:p w14:paraId="0221484C" w14:textId="77777777" w:rsidR="00DC28FF" w:rsidRDefault="00ED2F3F" w:rsidP="00DC28FF">
      <w:pPr>
        <w:pStyle w:val="Bibliographie"/>
      </w:pPr>
      <w:r>
        <w:lastRenderedPageBreak/>
        <w:fldChar w:fldCharType="begin"/>
      </w:r>
      <w:r w:rsidR="003A1EBE">
        <w:rPr>
          <w:lang w:val="en-US"/>
        </w:rPr>
        <w:instrText xml:space="preserve"> ADDIN ZOTERO_BIBL {"uncited":[],"omitted":[],"custom":[]} CSL_BIBLIOGRAPHY </w:instrText>
      </w:r>
      <w:r>
        <w:fldChar w:fldCharType="separate"/>
      </w:r>
      <w:r w:rsidR="00DC28FF" w:rsidRPr="00DC28FF">
        <w:rPr>
          <w:lang w:val="en-US"/>
        </w:rPr>
        <w:t xml:space="preserve">Amara, R. </w:t>
      </w:r>
      <w:r w:rsidR="00DC28FF" w:rsidRPr="00DC28FF">
        <w:rPr>
          <w:i/>
          <w:iCs/>
          <w:lang w:val="en-US"/>
        </w:rPr>
        <w:t>et al.</w:t>
      </w:r>
      <w:r w:rsidR="00DC28FF" w:rsidRPr="00DC28FF">
        <w:rPr>
          <w:lang w:val="en-US"/>
        </w:rPr>
        <w:t xml:space="preserve"> (2007) ‘Growth and condition indices in juvenile sole Solea solea measured to assess the quality of essential fish habitat’, </w:t>
      </w:r>
      <w:r w:rsidR="00DC28FF" w:rsidRPr="00DC28FF">
        <w:rPr>
          <w:i/>
          <w:iCs/>
          <w:lang w:val="en-US"/>
        </w:rPr>
        <w:t>Marine Ecology Progress Series</w:t>
      </w:r>
      <w:r w:rsidR="00DC28FF" w:rsidRPr="00DC28FF">
        <w:rPr>
          <w:lang w:val="en-US"/>
        </w:rPr>
        <w:t xml:space="preserve">, 351, pp. 201–208. </w:t>
      </w:r>
      <w:r w:rsidR="00DC28FF">
        <w:t>Available at: https://doi.org/10.3354/meps07154.</w:t>
      </w:r>
    </w:p>
    <w:p w14:paraId="51DF3D96" w14:textId="77777777" w:rsidR="00DC28FF" w:rsidRPr="00DC28FF" w:rsidRDefault="00DC28FF" w:rsidP="00DC28FF">
      <w:pPr>
        <w:pStyle w:val="Bibliographie"/>
        <w:rPr>
          <w:lang w:val="en-US"/>
        </w:rPr>
      </w:pPr>
      <w:r>
        <w:t xml:space="preserve">Arnot, J.A. </w:t>
      </w:r>
      <w:r>
        <w:rPr>
          <w:i/>
          <w:iCs/>
        </w:rPr>
        <w:t>et al.</w:t>
      </w:r>
      <w:r>
        <w:t xml:space="preserve"> </w:t>
      </w:r>
      <w:r w:rsidRPr="00DC28FF">
        <w:rPr>
          <w:lang w:val="en-US"/>
        </w:rPr>
        <w:t xml:space="preserve">(2023) ‘A weight of evidence approach for bioaccumulation assessment’, </w:t>
      </w:r>
      <w:r w:rsidRPr="00DC28FF">
        <w:rPr>
          <w:i/>
          <w:iCs/>
          <w:lang w:val="en-US"/>
        </w:rPr>
        <w:t>Integrated Environmental Assessment and Management</w:t>
      </w:r>
      <w:r w:rsidRPr="00DC28FF">
        <w:rPr>
          <w:lang w:val="en-US"/>
        </w:rPr>
        <w:t>, 19(5), pp. 1235–1253. Available at: https://doi.org/10.1002/ieam.4583.</w:t>
      </w:r>
    </w:p>
    <w:p w14:paraId="7C4A8340" w14:textId="77777777" w:rsidR="00DC28FF" w:rsidRPr="00DC28FF" w:rsidRDefault="00DC28FF" w:rsidP="00DC28FF">
      <w:pPr>
        <w:pStyle w:val="Bibliographie"/>
        <w:rPr>
          <w:lang w:val="en-US"/>
        </w:rPr>
      </w:pPr>
      <w:r w:rsidRPr="00DC28FF">
        <w:rPr>
          <w:lang w:val="en-US"/>
        </w:rPr>
        <w:t xml:space="preserve">Arnot, J.A. and Gobas, F.A. (2006) ‘A review of bioconcentration factor (BCF) and bioaccumulation factor (BAF) assessments for organic chemicals in aquatic organisms’, </w:t>
      </w:r>
      <w:r w:rsidRPr="00DC28FF">
        <w:rPr>
          <w:i/>
          <w:iCs/>
          <w:lang w:val="en-US"/>
        </w:rPr>
        <w:t>Environmental Reviews</w:t>
      </w:r>
      <w:r w:rsidRPr="00DC28FF">
        <w:rPr>
          <w:lang w:val="en-US"/>
        </w:rPr>
        <w:t>, 14(4), pp. 257–297. Available at: https://doi.org/10.1139/a06-005.</w:t>
      </w:r>
    </w:p>
    <w:p w14:paraId="519A2456" w14:textId="77777777" w:rsidR="00DC28FF" w:rsidRDefault="00DC28FF" w:rsidP="00DC28FF">
      <w:pPr>
        <w:pStyle w:val="Bibliographie"/>
      </w:pPr>
      <w:r w:rsidRPr="00DC28FF">
        <w:rPr>
          <w:lang w:val="en-US"/>
        </w:rPr>
        <w:t xml:space="preserve">Beck, M.W. </w:t>
      </w:r>
      <w:r w:rsidRPr="00DC28FF">
        <w:rPr>
          <w:i/>
          <w:iCs/>
          <w:lang w:val="en-US"/>
        </w:rPr>
        <w:t>et al.</w:t>
      </w:r>
      <w:r w:rsidRPr="00DC28FF">
        <w:rPr>
          <w:lang w:val="en-US"/>
        </w:rPr>
        <w:t xml:space="preserve"> (2001) ‘The identification, conservation, and management of estuarine and marine nurseries for fish and invertebrates’, </w:t>
      </w:r>
      <w:r w:rsidRPr="00DC28FF">
        <w:rPr>
          <w:i/>
          <w:iCs/>
          <w:lang w:val="en-US"/>
        </w:rPr>
        <w:t>BioScience</w:t>
      </w:r>
      <w:r w:rsidRPr="00DC28FF">
        <w:rPr>
          <w:lang w:val="en-US"/>
        </w:rPr>
        <w:t xml:space="preserve">, 51, pp. 633–641. </w:t>
      </w:r>
      <w:r>
        <w:t>Available at: https://doi.org/10.1641/0006-3568(2001)051[0633:TICAMO]2.0.CO;2.</w:t>
      </w:r>
    </w:p>
    <w:p w14:paraId="2170DB46" w14:textId="77777777" w:rsidR="00DC28FF" w:rsidRDefault="00DC28FF" w:rsidP="00DC28FF">
      <w:pPr>
        <w:pStyle w:val="Bibliographie"/>
      </w:pPr>
      <w:r>
        <w:t xml:space="preserve">Bodin, N. </w:t>
      </w:r>
      <w:r>
        <w:rPr>
          <w:i/>
          <w:iCs/>
        </w:rPr>
        <w:t>et al.</w:t>
      </w:r>
      <w:r>
        <w:t xml:space="preserve"> </w:t>
      </w:r>
      <w:r w:rsidRPr="00DC28FF">
        <w:rPr>
          <w:lang w:val="en-US"/>
        </w:rPr>
        <w:t xml:space="preserve">(2014) ‘PCB contamination in fish community from the Gironde Estuary (France): blast from the past.’, </w:t>
      </w:r>
      <w:r w:rsidRPr="00DC28FF">
        <w:rPr>
          <w:i/>
          <w:iCs/>
          <w:lang w:val="en-US"/>
        </w:rPr>
        <w:t>Chemosphere</w:t>
      </w:r>
      <w:r w:rsidRPr="00DC28FF">
        <w:rPr>
          <w:lang w:val="en-US"/>
        </w:rPr>
        <w:t xml:space="preserve">, 98, pp. 66–72. </w:t>
      </w:r>
      <w:r>
        <w:t>Available at: https://doi.org/10.1016/j.chemosphere.2013.10.003.</w:t>
      </w:r>
    </w:p>
    <w:p w14:paraId="0198D2B7" w14:textId="77777777" w:rsidR="00DC28FF" w:rsidRPr="00DC28FF" w:rsidRDefault="00DC28FF" w:rsidP="00DC28FF">
      <w:pPr>
        <w:pStyle w:val="Bibliographie"/>
        <w:rPr>
          <w:lang w:val="en-US"/>
        </w:rPr>
      </w:pPr>
      <w:r>
        <w:t xml:space="preserve">Borgå, K. </w:t>
      </w:r>
      <w:r>
        <w:rPr>
          <w:i/>
          <w:iCs/>
        </w:rPr>
        <w:t>et al.</w:t>
      </w:r>
      <w:r>
        <w:t xml:space="preserve"> </w:t>
      </w:r>
      <w:r w:rsidRPr="00DC28FF">
        <w:rPr>
          <w:lang w:val="en-US"/>
        </w:rPr>
        <w:t xml:space="preserve">(2004) ‘Biological and chemical factors of importance in the bioaccumulation and trophic transfer of persistent organochlorine contaminants in arctic marine food webs’, </w:t>
      </w:r>
      <w:r w:rsidRPr="00DC28FF">
        <w:rPr>
          <w:i/>
          <w:iCs/>
          <w:lang w:val="en-US"/>
        </w:rPr>
        <w:t>Environmental Toxicology and Chemistry</w:t>
      </w:r>
      <w:r w:rsidRPr="00DC28FF">
        <w:rPr>
          <w:lang w:val="en-US"/>
        </w:rPr>
        <w:t>, 23(10), pp. 2367–2385.</w:t>
      </w:r>
    </w:p>
    <w:p w14:paraId="5ED8787E" w14:textId="77777777" w:rsidR="00DC28FF" w:rsidRPr="00DC28FF" w:rsidRDefault="00DC28FF" w:rsidP="00DC28FF">
      <w:pPr>
        <w:pStyle w:val="Bibliographie"/>
        <w:rPr>
          <w:lang w:val="en-US"/>
        </w:rPr>
      </w:pPr>
      <w:r w:rsidRPr="00DC28FF">
        <w:rPr>
          <w:lang w:val="en-US"/>
        </w:rPr>
        <w:t xml:space="preserve">Borgå, K. </w:t>
      </w:r>
      <w:r w:rsidRPr="00DC28FF">
        <w:rPr>
          <w:i/>
          <w:iCs/>
          <w:lang w:val="en-US"/>
        </w:rPr>
        <w:t>et al.</w:t>
      </w:r>
      <w:r w:rsidRPr="00DC28FF">
        <w:rPr>
          <w:lang w:val="en-US"/>
        </w:rPr>
        <w:t xml:space="preserve"> (2005) ‘Bioaccumulation Factors for PCBs Revisited’, </w:t>
      </w:r>
      <w:r w:rsidRPr="00DC28FF">
        <w:rPr>
          <w:i/>
          <w:iCs/>
          <w:lang w:val="en-US"/>
        </w:rPr>
        <w:t>Environmental science &amp; technology</w:t>
      </w:r>
      <w:r w:rsidRPr="00DC28FF">
        <w:rPr>
          <w:lang w:val="en-US"/>
        </w:rPr>
        <w:t>, 39, pp. 4523–4532. Available at: https://doi.org/10.1021/ES050376I.</w:t>
      </w:r>
    </w:p>
    <w:p w14:paraId="31935497" w14:textId="77777777" w:rsidR="00DC28FF" w:rsidRDefault="00DC28FF" w:rsidP="00DC28FF">
      <w:pPr>
        <w:pStyle w:val="Bibliographie"/>
      </w:pPr>
      <w:r w:rsidRPr="00DC28FF">
        <w:rPr>
          <w:lang w:val="en-US"/>
        </w:rPr>
        <w:t xml:space="preserve">Borgå, K. </w:t>
      </w:r>
      <w:r w:rsidRPr="00DC28FF">
        <w:rPr>
          <w:i/>
          <w:iCs/>
          <w:lang w:val="en-US"/>
        </w:rPr>
        <w:t>et al.</w:t>
      </w:r>
      <w:r w:rsidRPr="00DC28FF">
        <w:rPr>
          <w:lang w:val="en-US"/>
        </w:rPr>
        <w:t xml:space="preserve"> (2012) ‘Trophic magnification factors: Considerations of ecology, ecosystems, and study design’, </w:t>
      </w:r>
      <w:r w:rsidRPr="00DC28FF">
        <w:rPr>
          <w:i/>
          <w:iCs/>
          <w:lang w:val="en-US"/>
        </w:rPr>
        <w:t>Integrated Environmental Assessment and Management</w:t>
      </w:r>
      <w:r w:rsidRPr="00DC28FF">
        <w:rPr>
          <w:lang w:val="en-US"/>
        </w:rPr>
        <w:t xml:space="preserve">, 8(1), pp. 64–84. </w:t>
      </w:r>
      <w:r>
        <w:t>Available at: https://doi.org/10.1002/ieam.244.</w:t>
      </w:r>
    </w:p>
    <w:p w14:paraId="7C20E97D" w14:textId="77777777" w:rsidR="00DC28FF" w:rsidRDefault="00DC28FF" w:rsidP="00DC28FF">
      <w:pPr>
        <w:pStyle w:val="Bibliographie"/>
      </w:pPr>
      <w:r>
        <w:t xml:space="preserve">Cara, B. </w:t>
      </w:r>
      <w:r>
        <w:rPr>
          <w:i/>
          <w:iCs/>
        </w:rPr>
        <w:t>et al.</w:t>
      </w:r>
      <w:r>
        <w:t xml:space="preserve"> </w:t>
      </w:r>
      <w:r w:rsidRPr="00DC28FF">
        <w:rPr>
          <w:lang w:val="en-US"/>
        </w:rPr>
        <w:t xml:space="preserve">(2022) ‘Bioaccumulation and trophic transfer of perfluorinated alkyl substances (PFAS) in marine biota from the Belgian North Sea: Distribution and human health risk implications’, </w:t>
      </w:r>
      <w:r w:rsidRPr="00DC28FF">
        <w:rPr>
          <w:i/>
          <w:iCs/>
          <w:lang w:val="en-US"/>
        </w:rPr>
        <w:t>Environmental Pollution</w:t>
      </w:r>
      <w:r w:rsidRPr="00DC28FF">
        <w:rPr>
          <w:lang w:val="en-US"/>
        </w:rPr>
        <w:t xml:space="preserve">, 311, p. 119907. </w:t>
      </w:r>
      <w:r>
        <w:t>Available at: https://doi.org/10.1016/j.envpol.2022.119907.</w:t>
      </w:r>
    </w:p>
    <w:p w14:paraId="15AA48F0" w14:textId="77777777" w:rsidR="00DC28FF" w:rsidRDefault="00DC28FF" w:rsidP="00DC28FF">
      <w:pPr>
        <w:pStyle w:val="Bibliographie"/>
      </w:pPr>
      <w:r>
        <w:t xml:space="preserve">Conder, J.M. </w:t>
      </w:r>
      <w:r>
        <w:rPr>
          <w:i/>
          <w:iCs/>
        </w:rPr>
        <w:t>et al.</w:t>
      </w:r>
      <w:r>
        <w:t xml:space="preserve"> </w:t>
      </w:r>
      <w:r w:rsidRPr="00DC28FF">
        <w:rPr>
          <w:lang w:val="en-US"/>
        </w:rPr>
        <w:t xml:space="preserve">(2008) ‘Are PFCAs Bioaccumulative? A Critical Review and Comparison with Regulatory Criteria and Persistent Lipophilic Compounds’, </w:t>
      </w:r>
      <w:r w:rsidRPr="00DC28FF">
        <w:rPr>
          <w:i/>
          <w:iCs/>
          <w:lang w:val="en-US"/>
        </w:rPr>
        <w:t>Environmental Science &amp; Technology</w:t>
      </w:r>
      <w:r w:rsidRPr="00DC28FF">
        <w:rPr>
          <w:lang w:val="en-US"/>
        </w:rPr>
        <w:t xml:space="preserve">, 42(4), pp. 995–1003. </w:t>
      </w:r>
      <w:r>
        <w:t>Available at: https://doi.org/10.1021/es070895g.</w:t>
      </w:r>
    </w:p>
    <w:p w14:paraId="40BCE1A6" w14:textId="77777777" w:rsidR="00DC28FF" w:rsidRDefault="00DC28FF" w:rsidP="00DC28FF">
      <w:pPr>
        <w:pStyle w:val="Bibliographie"/>
      </w:pPr>
      <w:r>
        <w:t xml:space="preserve">Conder, J.M. </w:t>
      </w:r>
      <w:r>
        <w:rPr>
          <w:i/>
          <w:iCs/>
        </w:rPr>
        <w:t>et al.</w:t>
      </w:r>
      <w:r>
        <w:t xml:space="preserve"> </w:t>
      </w:r>
      <w:r w:rsidRPr="00DC28FF">
        <w:rPr>
          <w:lang w:val="en-US"/>
        </w:rPr>
        <w:t xml:space="preserve">(2012) ‘Use of trophic magnification factors and related measures to characterize bioaccumulation potential of chemicals’, </w:t>
      </w:r>
      <w:r w:rsidRPr="00DC28FF">
        <w:rPr>
          <w:i/>
          <w:iCs/>
          <w:lang w:val="en-US"/>
        </w:rPr>
        <w:t>Integrated Environmental Assessment and Management</w:t>
      </w:r>
      <w:r w:rsidRPr="00DC28FF">
        <w:rPr>
          <w:lang w:val="en-US"/>
        </w:rPr>
        <w:t xml:space="preserve">, 8(1), pp. 85–97. </w:t>
      </w:r>
      <w:r>
        <w:t>Available at: https://doi.org/10.1002/ieam.216.</w:t>
      </w:r>
    </w:p>
    <w:p w14:paraId="29297B91" w14:textId="77777777" w:rsidR="00DC28FF" w:rsidRDefault="00DC28FF" w:rsidP="00DC28FF">
      <w:pPr>
        <w:pStyle w:val="Bibliographie"/>
      </w:pPr>
      <w:r>
        <w:t xml:space="preserve">Covaci, A. </w:t>
      </w:r>
      <w:r>
        <w:rPr>
          <w:i/>
          <w:iCs/>
        </w:rPr>
        <w:t>et al.</w:t>
      </w:r>
      <w:r>
        <w:t xml:space="preserve"> </w:t>
      </w:r>
      <w:r w:rsidRPr="00DC28FF">
        <w:rPr>
          <w:lang w:val="en-US"/>
        </w:rPr>
        <w:t xml:space="preserve">(2011) ‘Novel brominated flame retardants: a review of their analysis, environmental fate and behaviour’, </w:t>
      </w:r>
      <w:r w:rsidRPr="00DC28FF">
        <w:rPr>
          <w:i/>
          <w:iCs/>
          <w:lang w:val="en-US"/>
        </w:rPr>
        <w:t>Environment International</w:t>
      </w:r>
      <w:r w:rsidRPr="00DC28FF">
        <w:rPr>
          <w:lang w:val="en-US"/>
        </w:rPr>
        <w:t xml:space="preserve">, 37(2), pp. 532–556. </w:t>
      </w:r>
      <w:r>
        <w:t>Available at: https://doi.org/10.1016/j.envint.2010.11.007.</w:t>
      </w:r>
    </w:p>
    <w:p w14:paraId="3776307C" w14:textId="77777777" w:rsidR="00DC28FF" w:rsidRDefault="00DC28FF" w:rsidP="00DC28FF">
      <w:pPr>
        <w:pStyle w:val="Bibliographie"/>
      </w:pPr>
      <w:r>
        <w:t xml:space="preserve">Dargnat, C. and Fisson, C. (2010) </w:t>
      </w:r>
      <w:r>
        <w:rPr>
          <w:i/>
          <w:iCs/>
        </w:rPr>
        <w:t>Les PolyChrloroBiphényles (PCB) dans le bassin de la Seine et son estuaire.</w:t>
      </w:r>
    </w:p>
    <w:p w14:paraId="4C2ED179" w14:textId="77777777" w:rsidR="00DC28FF" w:rsidRPr="00DC28FF" w:rsidRDefault="00DC28FF" w:rsidP="00DC28FF">
      <w:pPr>
        <w:pStyle w:val="Bibliographie"/>
        <w:rPr>
          <w:lang w:val="en-US"/>
        </w:rPr>
      </w:pPr>
      <w:r w:rsidRPr="00DC28FF">
        <w:rPr>
          <w:lang w:val="en-US"/>
        </w:rPr>
        <w:t>Daughton, C.G. (2005) ‘“Emerging” Chemicals as Pollutants in the Environment: a 21st Century Perspective’.</w:t>
      </w:r>
    </w:p>
    <w:p w14:paraId="3B26F349" w14:textId="77777777" w:rsidR="00DC28FF" w:rsidRPr="00DC28FF" w:rsidRDefault="00DC28FF" w:rsidP="00DC28FF">
      <w:pPr>
        <w:pStyle w:val="Bibliographie"/>
        <w:rPr>
          <w:lang w:val="en-US"/>
        </w:rPr>
      </w:pPr>
      <w:r w:rsidRPr="00DC28FF">
        <w:rPr>
          <w:lang w:val="en-US"/>
        </w:rPr>
        <w:lastRenderedPageBreak/>
        <w:t xml:space="preserve">Deribe, E. </w:t>
      </w:r>
      <w:r w:rsidRPr="00DC28FF">
        <w:rPr>
          <w:i/>
          <w:iCs/>
          <w:lang w:val="en-US"/>
        </w:rPr>
        <w:t>et al.</w:t>
      </w:r>
      <w:r w:rsidRPr="00DC28FF">
        <w:rPr>
          <w:lang w:val="en-US"/>
        </w:rPr>
        <w:t xml:space="preserve"> (2011) ‘Bioaccumulation of persistent organic pollutants (POPs) in fish species from Lake Koka, Ethiopia: The influence of lipid content and trophic position’, </w:t>
      </w:r>
      <w:r w:rsidRPr="00DC28FF">
        <w:rPr>
          <w:i/>
          <w:iCs/>
          <w:lang w:val="en-US"/>
        </w:rPr>
        <w:t>Science of The Total Environment</w:t>
      </w:r>
      <w:r w:rsidRPr="00DC28FF">
        <w:rPr>
          <w:lang w:val="en-US"/>
        </w:rPr>
        <w:t>, 410–411, pp. 136–145. Available at: https://doi.org/10.1016/j.scitotenv.2011.09.008.</w:t>
      </w:r>
    </w:p>
    <w:p w14:paraId="605019AD" w14:textId="77777777" w:rsidR="00DC28FF" w:rsidRDefault="00DC28FF" w:rsidP="00DC28FF">
      <w:pPr>
        <w:pStyle w:val="Bibliographie"/>
      </w:pPr>
      <w:r w:rsidRPr="00DC28FF">
        <w:rPr>
          <w:lang w:val="en-US"/>
        </w:rPr>
        <w:t xml:space="preserve">Dörr, B. and Liebezeit, G. (2009) ‘Organochlorine Compounds in Blue Mussels, Mytilusedulis, and Pacific Oysters, Crassostrea gigas, from Seven Sites in the Lower Saxonian Wadden Sea, Southern North Sea’, </w:t>
      </w:r>
      <w:r w:rsidRPr="00DC28FF">
        <w:rPr>
          <w:i/>
          <w:iCs/>
          <w:lang w:val="en-US"/>
        </w:rPr>
        <w:t>Bulletin of Environmental Contamination and Toxicology</w:t>
      </w:r>
      <w:r w:rsidRPr="00DC28FF">
        <w:rPr>
          <w:lang w:val="en-US"/>
        </w:rPr>
        <w:t xml:space="preserve">, 83(6), pp. 874–879. </w:t>
      </w:r>
      <w:r>
        <w:t>Available at: https://doi.org/10.1007/s00128-009-9825-2.</w:t>
      </w:r>
    </w:p>
    <w:p w14:paraId="7BF5D9BC" w14:textId="77777777" w:rsidR="00DC28FF" w:rsidRPr="00DC28FF" w:rsidRDefault="00DC28FF" w:rsidP="00DC28FF">
      <w:pPr>
        <w:pStyle w:val="Bibliographie"/>
        <w:rPr>
          <w:lang w:val="en-US"/>
        </w:rPr>
      </w:pPr>
      <w:r>
        <w:t xml:space="preserve">Durou, C. </w:t>
      </w:r>
      <w:r>
        <w:rPr>
          <w:i/>
          <w:iCs/>
        </w:rPr>
        <w:t>et al.</w:t>
      </w:r>
      <w:r>
        <w:t xml:space="preserve"> </w:t>
      </w:r>
      <w:r w:rsidRPr="00DC28FF">
        <w:rPr>
          <w:lang w:val="en-US"/>
        </w:rPr>
        <w:t xml:space="preserve">(2007) ‘Biomonitoring in a clean and a multi-contaminated estuary based on biomarkers and chemical analyses in the endobenthic worm </w:t>
      </w:r>
      <w:r w:rsidRPr="00DC28FF">
        <w:rPr>
          <w:i/>
          <w:iCs/>
          <w:lang w:val="en-US"/>
        </w:rPr>
        <w:t>Nereis diversicolor</w:t>
      </w:r>
      <w:r w:rsidRPr="00DC28FF">
        <w:rPr>
          <w:lang w:val="en-US"/>
        </w:rPr>
        <w:t xml:space="preserve">’, </w:t>
      </w:r>
      <w:r w:rsidRPr="00DC28FF">
        <w:rPr>
          <w:i/>
          <w:iCs/>
          <w:lang w:val="en-US"/>
        </w:rPr>
        <w:t>Environmental Pollution</w:t>
      </w:r>
      <w:r w:rsidRPr="00DC28FF">
        <w:rPr>
          <w:lang w:val="en-US"/>
        </w:rPr>
        <w:t>, 148(2), pp. 445–458. Available at: https://doi.org/10.1016/j.envpol.2006.12.022.</w:t>
      </w:r>
    </w:p>
    <w:p w14:paraId="21AF03F9" w14:textId="77777777" w:rsidR="00DC28FF" w:rsidRPr="00DC28FF" w:rsidRDefault="00DC28FF" w:rsidP="00DC28FF">
      <w:pPr>
        <w:pStyle w:val="Bibliographie"/>
        <w:rPr>
          <w:lang w:val="en-US"/>
        </w:rPr>
      </w:pPr>
      <w:r w:rsidRPr="00DC28FF">
        <w:rPr>
          <w:lang w:val="en-US"/>
        </w:rPr>
        <w:t xml:space="preserve">European Commission (2022) ‘Commission regulation EU 2022/2002 of 21 October 2022 Amending Regulation (EC) No 1881/2006 as Regards Maximum Levels of Dioxins and Polychlorinated Biphenyls in Certain Foodstuffs.’, </w:t>
      </w:r>
      <w:r w:rsidRPr="00DC28FF">
        <w:rPr>
          <w:i/>
          <w:iCs/>
          <w:lang w:val="en-US"/>
        </w:rPr>
        <w:t>Official Journal of the European Union</w:t>
      </w:r>
      <w:r w:rsidRPr="00DC28FF">
        <w:rPr>
          <w:lang w:val="en-US"/>
        </w:rPr>
        <w:t>. L 272, 1-18.</w:t>
      </w:r>
    </w:p>
    <w:p w14:paraId="523838E7" w14:textId="77777777" w:rsidR="00DC28FF" w:rsidRPr="00DC28FF" w:rsidRDefault="00DC28FF" w:rsidP="00DC28FF">
      <w:pPr>
        <w:pStyle w:val="Bibliographie"/>
        <w:rPr>
          <w:lang w:val="en-US"/>
        </w:rPr>
      </w:pPr>
      <w:r w:rsidRPr="00DC28FF">
        <w:rPr>
          <w:lang w:val="en-US"/>
        </w:rPr>
        <w:t xml:space="preserve">Fremlin, K.M., Elliott, J.E. and Gobas, F.A.P.C. (2025) ‘Guidance for measuring and evaluating biomagnification factors and trophic magnification factors of difficult substances: application to decabromodiphenylethane’, </w:t>
      </w:r>
      <w:r w:rsidRPr="00DC28FF">
        <w:rPr>
          <w:i/>
          <w:iCs/>
          <w:lang w:val="en-US"/>
        </w:rPr>
        <w:t>Integrated Environmental Assessment and Management</w:t>
      </w:r>
      <w:r w:rsidRPr="00DC28FF">
        <w:rPr>
          <w:lang w:val="en-US"/>
        </w:rPr>
        <w:t>, 21(2), pp. 263–278. Available at: https://doi.org/10.1093/inteam/vjae025.</w:t>
      </w:r>
    </w:p>
    <w:p w14:paraId="51EBE0C4" w14:textId="77777777" w:rsidR="00DC28FF" w:rsidRDefault="00DC28FF" w:rsidP="00DC28FF">
      <w:pPr>
        <w:pStyle w:val="Bibliographie"/>
      </w:pPr>
      <w:r w:rsidRPr="00DC28FF">
        <w:rPr>
          <w:lang w:val="en-US"/>
        </w:rPr>
        <w:t xml:space="preserve">Gewurtz, S.B. </w:t>
      </w:r>
      <w:r w:rsidRPr="00DC28FF">
        <w:rPr>
          <w:i/>
          <w:iCs/>
          <w:lang w:val="en-US"/>
        </w:rPr>
        <w:t>et al.</w:t>
      </w:r>
      <w:r w:rsidRPr="00DC28FF">
        <w:rPr>
          <w:lang w:val="en-US"/>
        </w:rPr>
        <w:t xml:space="preserve"> (2006) ‘A comparison of contaminant dynamics in arctic and temperate fish: a modeling approach’, </w:t>
      </w:r>
      <w:r w:rsidRPr="00DC28FF">
        <w:rPr>
          <w:i/>
          <w:iCs/>
          <w:lang w:val="en-US"/>
        </w:rPr>
        <w:t>Chemosphere</w:t>
      </w:r>
      <w:r w:rsidRPr="00DC28FF">
        <w:rPr>
          <w:lang w:val="en-US"/>
        </w:rPr>
        <w:t xml:space="preserve">, 63, pp. 1328–1341. </w:t>
      </w:r>
      <w:r>
        <w:t>Available at: https://doi.org/10.1016/j.chemosphere.2005.09.031.</w:t>
      </w:r>
    </w:p>
    <w:p w14:paraId="611A99CA" w14:textId="77777777" w:rsidR="00DC28FF" w:rsidRDefault="00DC28FF" w:rsidP="00DC28FF">
      <w:pPr>
        <w:pStyle w:val="Bibliographie"/>
      </w:pPr>
      <w:r>
        <w:t xml:space="preserve">Gilliers, C. </w:t>
      </w:r>
      <w:r>
        <w:rPr>
          <w:i/>
          <w:iCs/>
        </w:rPr>
        <w:t>et al.</w:t>
      </w:r>
      <w:r>
        <w:t xml:space="preserve"> </w:t>
      </w:r>
      <w:r w:rsidRPr="00DC28FF">
        <w:rPr>
          <w:lang w:val="en-US"/>
        </w:rPr>
        <w:t xml:space="preserve">(2006) ‘Are growth and density quantitative indicators of essential fish habitat quality? An application to the common sole Solea solea nursery grounds’, </w:t>
      </w:r>
      <w:r w:rsidRPr="00DC28FF">
        <w:rPr>
          <w:i/>
          <w:iCs/>
          <w:lang w:val="en-US"/>
        </w:rPr>
        <w:t>Estuarine, Coastal and Shelf Science</w:t>
      </w:r>
      <w:r w:rsidRPr="00DC28FF">
        <w:rPr>
          <w:lang w:val="en-US"/>
        </w:rPr>
        <w:t xml:space="preserve">, 69(1–2), pp. 96–106. </w:t>
      </w:r>
      <w:r>
        <w:t>Available at: https://doi.org/10.1016/j.ecss.2006.02.006.</w:t>
      </w:r>
    </w:p>
    <w:p w14:paraId="548ACB60" w14:textId="77777777" w:rsidR="00DC28FF" w:rsidRPr="00DC28FF" w:rsidRDefault="00DC28FF" w:rsidP="00DC28FF">
      <w:pPr>
        <w:pStyle w:val="Bibliographie"/>
        <w:rPr>
          <w:lang w:val="en-US"/>
        </w:rPr>
      </w:pPr>
      <w:r>
        <w:t xml:space="preserve">GIP Seine-aval (2024) ‘Un estuaire en pleine évolution - GIP Seine-Aval’, </w:t>
      </w:r>
      <w:r>
        <w:rPr>
          <w:i/>
          <w:iCs/>
        </w:rPr>
        <w:t>Tout s’explique !</w:t>
      </w:r>
      <w:r>
        <w:t xml:space="preserve"> </w:t>
      </w:r>
      <w:r w:rsidRPr="00DC28FF">
        <w:rPr>
          <w:lang w:val="en-US"/>
        </w:rPr>
        <w:t>Available at: https://www.seine-aval.fr/tout-s-explique4/ (Accessed: 16 May 2025).</w:t>
      </w:r>
    </w:p>
    <w:p w14:paraId="6BA8F86A" w14:textId="77777777" w:rsidR="00DC28FF" w:rsidRPr="00DC28FF" w:rsidRDefault="00DC28FF" w:rsidP="00DC28FF">
      <w:pPr>
        <w:pStyle w:val="Bibliographie"/>
        <w:rPr>
          <w:lang w:val="en-US"/>
        </w:rPr>
      </w:pPr>
      <w:r>
        <w:t xml:space="preserve">Gobas, F. a P.C. </w:t>
      </w:r>
      <w:r>
        <w:rPr>
          <w:i/>
          <w:iCs/>
        </w:rPr>
        <w:t>et al.</w:t>
      </w:r>
      <w:r>
        <w:t xml:space="preserve"> </w:t>
      </w:r>
      <w:r w:rsidRPr="00DC28FF">
        <w:rPr>
          <w:lang w:val="en-US"/>
        </w:rPr>
        <w:t xml:space="preserve">(1999) ‘Mechanism of biomagnification in fish under laboratory and field conditions’, </w:t>
      </w:r>
      <w:r w:rsidRPr="00DC28FF">
        <w:rPr>
          <w:i/>
          <w:iCs/>
          <w:lang w:val="en-US"/>
        </w:rPr>
        <w:t>Environmental Science and Technology</w:t>
      </w:r>
      <w:r w:rsidRPr="00DC28FF">
        <w:rPr>
          <w:lang w:val="en-US"/>
        </w:rPr>
        <w:t>, 33(1), pp. 133–141. Available at: https://doi.org/10.1021/es980681m.</w:t>
      </w:r>
    </w:p>
    <w:p w14:paraId="4C4EF2D8" w14:textId="77777777" w:rsidR="00DC28FF" w:rsidRPr="00DC28FF" w:rsidRDefault="00DC28FF" w:rsidP="00DC28FF">
      <w:pPr>
        <w:pStyle w:val="Bibliographie"/>
        <w:rPr>
          <w:lang w:val="en-US"/>
        </w:rPr>
      </w:pPr>
      <w:r w:rsidRPr="00DC28FF">
        <w:rPr>
          <w:lang w:val="en-US"/>
        </w:rPr>
        <w:t xml:space="preserve">Gobas, F.A. </w:t>
      </w:r>
      <w:r w:rsidRPr="00DC28FF">
        <w:rPr>
          <w:i/>
          <w:iCs/>
          <w:lang w:val="en-US"/>
        </w:rPr>
        <w:t>et al.</w:t>
      </w:r>
      <w:r w:rsidRPr="00DC28FF">
        <w:rPr>
          <w:lang w:val="en-US"/>
        </w:rPr>
        <w:t xml:space="preserve"> (2009) ‘Revisiting Bioaccumulation Criteria for POPs and PBT Assessments’, </w:t>
      </w:r>
      <w:r w:rsidRPr="00DC28FF">
        <w:rPr>
          <w:i/>
          <w:iCs/>
          <w:lang w:val="en-US"/>
        </w:rPr>
        <w:t>Integrated Environmental Assessment and Management</w:t>
      </w:r>
      <w:r w:rsidRPr="00DC28FF">
        <w:rPr>
          <w:lang w:val="en-US"/>
        </w:rPr>
        <w:t>, 5(4), pp. 624–637. Available at: https://doi.org/10.1897/IEAM_2008-089.1.</w:t>
      </w:r>
    </w:p>
    <w:p w14:paraId="0BC71786" w14:textId="77777777" w:rsidR="00DC28FF" w:rsidRPr="00DC28FF" w:rsidRDefault="00DC28FF" w:rsidP="00DC28FF">
      <w:pPr>
        <w:pStyle w:val="Bibliographie"/>
        <w:rPr>
          <w:lang w:val="en-US"/>
        </w:rPr>
      </w:pPr>
      <w:r w:rsidRPr="00DC28FF">
        <w:rPr>
          <w:lang w:val="en-US"/>
        </w:rPr>
        <w:t xml:space="preserve">Gobas, F.A.P.C. and Morrison, J.B. (2000) ‘Bioconcentration and Biomagnification in the Aquatic Environment’, in </w:t>
      </w:r>
      <w:r w:rsidRPr="00DC28FF">
        <w:rPr>
          <w:i/>
          <w:iCs/>
          <w:lang w:val="en-US"/>
        </w:rPr>
        <w:t>Handbook of Property Estimation Methods for Chemicals</w:t>
      </w:r>
      <w:r w:rsidRPr="00DC28FF">
        <w:rPr>
          <w:lang w:val="en-US"/>
        </w:rPr>
        <w:t>. CRC Press.</w:t>
      </w:r>
    </w:p>
    <w:p w14:paraId="6FDE14FE" w14:textId="77777777" w:rsidR="00DC28FF" w:rsidRPr="00DC28FF" w:rsidRDefault="00DC28FF" w:rsidP="00DC28FF">
      <w:pPr>
        <w:pStyle w:val="Bibliographie"/>
        <w:rPr>
          <w:lang w:val="en-US"/>
        </w:rPr>
      </w:pPr>
      <w:r w:rsidRPr="00DC28FF">
        <w:rPr>
          <w:lang w:val="en-US"/>
        </w:rPr>
        <w:t xml:space="preserve">Gobas, F.A.P.C., Zhang, X. and Wells, R. (1993) ‘Gastrointestinal magnification: The mechanism of biomagnification and food chain accumulation of organic chemicals’, </w:t>
      </w:r>
      <w:r w:rsidRPr="00DC28FF">
        <w:rPr>
          <w:i/>
          <w:iCs/>
          <w:lang w:val="en-US"/>
        </w:rPr>
        <w:t>Environmental Science and Technology</w:t>
      </w:r>
      <w:r w:rsidRPr="00DC28FF">
        <w:rPr>
          <w:lang w:val="en-US"/>
        </w:rPr>
        <w:t>, 27(13), pp. 2855–2863. Available at: https://doi.org/10.1021/es00049a028.</w:t>
      </w:r>
    </w:p>
    <w:p w14:paraId="35D83FA6"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(2008) ‘A Global Map of Human Impact on Marine Ecosystems’, </w:t>
      </w:r>
      <w:r w:rsidRPr="00DC28FF">
        <w:rPr>
          <w:i/>
          <w:iCs/>
          <w:lang w:val="en-US"/>
        </w:rPr>
        <w:t>Science</w:t>
      </w:r>
      <w:r w:rsidRPr="00DC28FF">
        <w:rPr>
          <w:lang w:val="en-US"/>
        </w:rPr>
        <w:t>, 319(5865), pp. 948–952. Available at: https://doi.org/10.1126/science.1149345.</w:t>
      </w:r>
    </w:p>
    <w:p w14:paraId="440E8205"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(2012) ‘An index to assess the health and benefits of the global ocean’, </w:t>
      </w:r>
      <w:r w:rsidRPr="00DC28FF">
        <w:rPr>
          <w:i/>
          <w:iCs/>
          <w:lang w:val="en-US"/>
        </w:rPr>
        <w:t>Nature</w:t>
      </w:r>
      <w:r w:rsidRPr="00DC28FF">
        <w:rPr>
          <w:lang w:val="en-US"/>
        </w:rPr>
        <w:t>, 488(7413), pp. 615–620. Available at: https://doi.org/10.1038/nature11397.</w:t>
      </w:r>
    </w:p>
    <w:p w14:paraId="7B9ED4ED" w14:textId="77777777" w:rsidR="00DC28FF" w:rsidRDefault="00DC28FF" w:rsidP="00DC28FF">
      <w:pPr>
        <w:pStyle w:val="Bibliographie"/>
      </w:pPr>
      <w:r w:rsidRPr="00DC28FF">
        <w:rPr>
          <w:lang w:val="en-US"/>
        </w:rPr>
        <w:lastRenderedPageBreak/>
        <w:t xml:space="preserve">Helsel, D.R. (2006) ‘Fabricating data: How substituting values for nondetects can ruin results, and what can be done about it’, </w:t>
      </w:r>
      <w:r w:rsidRPr="00DC28FF">
        <w:rPr>
          <w:i/>
          <w:iCs/>
          <w:lang w:val="en-US"/>
        </w:rPr>
        <w:t>Chemosphere</w:t>
      </w:r>
      <w:r w:rsidRPr="00DC28FF">
        <w:rPr>
          <w:lang w:val="en-US"/>
        </w:rPr>
        <w:t xml:space="preserve">, 65(11), pp. 2434–2439. </w:t>
      </w:r>
      <w:r>
        <w:t>Available at: https://doi.org/10.1016/j.chemosphere.2006.04.051.</w:t>
      </w:r>
    </w:p>
    <w:p w14:paraId="175B8382" w14:textId="77777777" w:rsidR="00DC28FF" w:rsidRPr="00DC28FF" w:rsidRDefault="00DC28FF" w:rsidP="00DC28FF">
      <w:pPr>
        <w:pStyle w:val="Bibliographie"/>
        <w:rPr>
          <w:lang w:val="en-US"/>
        </w:rPr>
      </w:pPr>
      <w:r>
        <w:t xml:space="preserve">Houde, M. </w:t>
      </w:r>
      <w:r>
        <w:rPr>
          <w:i/>
          <w:iCs/>
        </w:rPr>
        <w:t>et al.</w:t>
      </w:r>
      <w:r>
        <w:t xml:space="preserve"> </w:t>
      </w:r>
      <w:r w:rsidRPr="00DC28FF">
        <w:rPr>
          <w:lang w:val="en-US"/>
        </w:rPr>
        <w:t xml:space="preserve">(2006) ‘Biological monitoring of polyfluoroalkyl substances: A review’, </w:t>
      </w:r>
      <w:r w:rsidRPr="00DC28FF">
        <w:rPr>
          <w:i/>
          <w:iCs/>
          <w:lang w:val="en-US"/>
        </w:rPr>
        <w:t>Environmental Science and Technology</w:t>
      </w:r>
      <w:r w:rsidRPr="00DC28FF">
        <w:rPr>
          <w:lang w:val="en-US"/>
        </w:rPr>
        <w:t>, 40(11), pp. 3463–3473. Available at: https://doi.org/10.1021/es052580b.</w:t>
      </w:r>
    </w:p>
    <w:p w14:paraId="2CD0CBFF" w14:textId="77777777" w:rsidR="00DC28FF" w:rsidRPr="00DC28FF" w:rsidRDefault="00DC28FF" w:rsidP="00DC28FF">
      <w:pPr>
        <w:pStyle w:val="Bibliographie"/>
        <w:rPr>
          <w:lang w:val="en-US"/>
        </w:rPr>
      </w:pPr>
      <w:r w:rsidRPr="00DC28FF">
        <w:rPr>
          <w:lang w:val="en-US"/>
        </w:rPr>
        <w:t>Julian, P. and Helsel, D. (2021) ‘NADA2: Data Analysis for Censored Environmental Data.’ Available at: https://github.com/SwampThingPaul/NADA2.</w:t>
      </w:r>
    </w:p>
    <w:p w14:paraId="612ED133" w14:textId="77777777" w:rsidR="00DC28FF" w:rsidRDefault="00DC28FF" w:rsidP="00DC28FF">
      <w:pPr>
        <w:pStyle w:val="Bibliographie"/>
      </w:pPr>
      <w:r w:rsidRPr="00DC28FF">
        <w:rPr>
          <w:lang w:val="en-US"/>
        </w:rPr>
        <w:t xml:space="preserve">Kelly, B.C. </w:t>
      </w:r>
      <w:r w:rsidRPr="00DC28FF">
        <w:rPr>
          <w:i/>
          <w:iCs/>
          <w:lang w:val="en-US"/>
        </w:rPr>
        <w:t>et al.</w:t>
      </w:r>
      <w:r w:rsidRPr="00DC28FF">
        <w:rPr>
          <w:lang w:val="en-US"/>
        </w:rPr>
        <w:t xml:space="preserve"> (2009) ‘Perfluoroalkyl Contaminants in an Arctic Marine Food Web : Trophic Magnification and Wildlife Exposure’, </w:t>
      </w:r>
      <w:r w:rsidRPr="00DC28FF">
        <w:rPr>
          <w:i/>
          <w:iCs/>
          <w:lang w:val="en-US"/>
        </w:rPr>
        <w:t>Environmental Science &amp; Technology</w:t>
      </w:r>
      <w:r w:rsidRPr="00DC28FF">
        <w:rPr>
          <w:lang w:val="en-US"/>
        </w:rPr>
        <w:t xml:space="preserve">, 43, pp. 4037–4043. </w:t>
      </w:r>
      <w:r>
        <w:t>Available at: https://doi.org/10.1021/es9003894.</w:t>
      </w:r>
    </w:p>
    <w:p w14:paraId="5C1C6A04" w14:textId="77777777" w:rsidR="00DC28FF" w:rsidRPr="00DC28FF" w:rsidRDefault="00DC28FF" w:rsidP="00DC28FF">
      <w:pPr>
        <w:pStyle w:val="Bibliographie"/>
        <w:rPr>
          <w:lang w:val="en-US"/>
        </w:rPr>
      </w:pPr>
      <w:r>
        <w:t xml:space="preserve">Kim, J. </w:t>
      </w:r>
      <w:r>
        <w:rPr>
          <w:i/>
          <w:iCs/>
        </w:rPr>
        <w:t>et al.</w:t>
      </w:r>
      <w:r>
        <w:t xml:space="preserve"> </w:t>
      </w:r>
      <w:r w:rsidRPr="00DC28FF">
        <w:rPr>
          <w:lang w:val="en-US"/>
        </w:rPr>
        <w:t xml:space="preserve">(2016) ‘Evaluating the roles of biotransformation, spatial concentration differences, organism home range, and field sampling design on trophic magnification factors’, </w:t>
      </w:r>
      <w:r w:rsidRPr="00DC28FF">
        <w:rPr>
          <w:i/>
          <w:iCs/>
          <w:lang w:val="en-US"/>
        </w:rPr>
        <w:t>Science of the Total Environment</w:t>
      </w:r>
      <w:r w:rsidRPr="00DC28FF">
        <w:rPr>
          <w:lang w:val="en-US"/>
        </w:rPr>
        <w:t>, 551–552, pp. 438–451. Available at: https://doi.org/10.1016/j.scitotenv.2016.02.013.</w:t>
      </w:r>
    </w:p>
    <w:p w14:paraId="491C0926" w14:textId="77777777" w:rsidR="00DC28FF" w:rsidRDefault="00DC28FF" w:rsidP="00DC28FF">
      <w:pPr>
        <w:pStyle w:val="Bibliographie"/>
      </w:pPr>
      <w:r w:rsidRPr="00DC28FF">
        <w:rPr>
          <w:lang w:val="en-US"/>
        </w:rPr>
        <w:t xml:space="preserve">Labadie, P. and Chevreuil, M. (2011) ‘Partitioning behaviour of perfluorinated alkyl contaminants between water, sediment and fish in the Orge River (nearby Paris, France)’, </w:t>
      </w:r>
      <w:r w:rsidRPr="00DC28FF">
        <w:rPr>
          <w:i/>
          <w:iCs/>
          <w:lang w:val="en-US"/>
        </w:rPr>
        <w:t>Environmental Pollution</w:t>
      </w:r>
      <w:r w:rsidRPr="00DC28FF">
        <w:rPr>
          <w:lang w:val="en-US"/>
        </w:rPr>
        <w:t xml:space="preserve">, 159(2), pp. 391–397. </w:t>
      </w:r>
      <w:r>
        <w:t>Available at: https://doi.org/10.1016/J.ENVPOL.2010.10.039.</w:t>
      </w:r>
    </w:p>
    <w:p w14:paraId="5397CDA5" w14:textId="77777777" w:rsidR="00DC28FF" w:rsidRDefault="00DC28FF" w:rsidP="00DC28FF">
      <w:pPr>
        <w:pStyle w:val="Bibliographie"/>
      </w:pPr>
      <w:r>
        <w:t>Lauzent, M. (2018) ‘Etude de l’écodynamique des polluants organiques persistants et des micropolluants halogénés d’intérêt émergent dans les milieux aquatiques’.</w:t>
      </w:r>
    </w:p>
    <w:p w14:paraId="01B920CA" w14:textId="77777777" w:rsidR="00DC28FF" w:rsidRDefault="00DC28FF" w:rsidP="00DC28FF">
      <w:pPr>
        <w:pStyle w:val="Bibliographie"/>
      </w:pPr>
      <w:r>
        <w:t xml:space="preserve">Le Pape, O. </w:t>
      </w:r>
      <w:r>
        <w:rPr>
          <w:i/>
          <w:iCs/>
        </w:rPr>
        <w:t>et al.</w:t>
      </w:r>
      <w:r>
        <w:t xml:space="preserve"> </w:t>
      </w:r>
      <w:r w:rsidRPr="00DC28FF">
        <w:rPr>
          <w:lang w:val="en-US"/>
        </w:rPr>
        <w:t xml:space="preserve">(2003) ‘Quantitative description of habitat suitability for the juvenile common sole (Solea solea, L.) in the Bay of Biscay (France) and the contribution of different habitats to the adult population’, </w:t>
      </w:r>
      <w:r w:rsidRPr="00DC28FF">
        <w:rPr>
          <w:i/>
          <w:iCs/>
          <w:lang w:val="en-US"/>
        </w:rPr>
        <w:t>Journal of Sea Research</w:t>
      </w:r>
      <w:r w:rsidRPr="00DC28FF">
        <w:rPr>
          <w:lang w:val="en-US"/>
        </w:rPr>
        <w:t xml:space="preserve">, 50(2–3), pp. 139–149. </w:t>
      </w:r>
      <w:r>
        <w:t>Available at: https://doi.org/10.1016/S1385-1101(03)00059-5.</w:t>
      </w:r>
    </w:p>
    <w:p w14:paraId="362BA3CD" w14:textId="77777777" w:rsidR="00DC28FF" w:rsidRPr="00DC28FF" w:rsidRDefault="00DC28FF" w:rsidP="00DC28FF">
      <w:pPr>
        <w:pStyle w:val="Bibliographie"/>
        <w:rPr>
          <w:lang w:val="en-US"/>
        </w:rPr>
      </w:pPr>
      <w:r>
        <w:t xml:space="preserve">Le Pape, O. </w:t>
      </w:r>
      <w:r>
        <w:rPr>
          <w:i/>
          <w:iCs/>
        </w:rPr>
        <w:t>et al.</w:t>
      </w:r>
      <w:r>
        <w:t xml:space="preserve"> </w:t>
      </w:r>
      <w:r w:rsidRPr="00DC28FF">
        <w:rPr>
          <w:lang w:val="en-US"/>
        </w:rPr>
        <w:t xml:space="preserve">(2007) ‘Convergent signs of degradation in both the capacity and the quality of an essential fish habitat: state of the Seine estuary (France) flatfish nurseries’, </w:t>
      </w:r>
      <w:r w:rsidRPr="00DC28FF">
        <w:rPr>
          <w:i/>
          <w:iCs/>
          <w:lang w:val="en-US"/>
        </w:rPr>
        <w:t>Hydrobiologia</w:t>
      </w:r>
      <w:r w:rsidRPr="00DC28FF">
        <w:rPr>
          <w:lang w:val="en-US"/>
        </w:rPr>
        <w:t>, 588(1), pp. 225–229. Available at: https://doi.org/10.1007/s10750-007-0665-y.</w:t>
      </w:r>
    </w:p>
    <w:p w14:paraId="4337AEB7" w14:textId="77777777" w:rsidR="00DC28FF" w:rsidRDefault="00DC28FF" w:rsidP="00DC28FF">
      <w:pPr>
        <w:pStyle w:val="Bibliographie"/>
      </w:pPr>
      <w:r w:rsidRPr="00DC28FF">
        <w:rPr>
          <w:lang w:val="en-US"/>
        </w:rPr>
        <w:t xml:space="preserve">Lescord, G.L. </w:t>
      </w:r>
      <w:r w:rsidRPr="00DC28FF">
        <w:rPr>
          <w:i/>
          <w:iCs/>
          <w:lang w:val="en-US"/>
        </w:rPr>
        <w:t>et al.</w:t>
      </w:r>
      <w:r w:rsidRPr="00DC28FF">
        <w:rPr>
          <w:lang w:val="en-US"/>
        </w:rPr>
        <w:t xml:space="preserve"> (2015) ‘Perfluorinated and Polyfluorinated Compounds in Lake Food Webs from the Canadian High Arctic’, </w:t>
      </w:r>
      <w:r w:rsidRPr="00DC28FF">
        <w:rPr>
          <w:i/>
          <w:iCs/>
          <w:lang w:val="en-US"/>
        </w:rPr>
        <w:t>Environmental Science &amp; Technology</w:t>
      </w:r>
      <w:r w:rsidRPr="00DC28FF">
        <w:rPr>
          <w:lang w:val="en-US"/>
        </w:rPr>
        <w:t xml:space="preserve">, 49(5), pp. 2694–2702. </w:t>
      </w:r>
      <w:r>
        <w:t>Available at: https://doi.org/10.1021/es5048649.</w:t>
      </w:r>
    </w:p>
    <w:p w14:paraId="4A3678A6" w14:textId="77777777" w:rsidR="00DC28FF" w:rsidRPr="00DC28FF" w:rsidRDefault="00DC28FF" w:rsidP="00DC28FF">
      <w:pPr>
        <w:pStyle w:val="Bibliographie"/>
        <w:rPr>
          <w:lang w:val="en-US"/>
        </w:rPr>
      </w:pPr>
      <w:r>
        <w:t xml:space="preserve">Li, J. </w:t>
      </w:r>
      <w:r>
        <w:rPr>
          <w:i/>
          <w:iCs/>
        </w:rPr>
        <w:t>et al.</w:t>
      </w:r>
      <w:r>
        <w:t xml:space="preserve"> </w:t>
      </w:r>
      <w:r w:rsidRPr="00DC28FF">
        <w:rPr>
          <w:lang w:val="en-US"/>
        </w:rPr>
        <w:t xml:space="preserve">(2018) ‘Importance of Growth Rate on Hg and PCB Bioaccumulation in Fish’, </w:t>
      </w:r>
      <w:r w:rsidRPr="00DC28FF">
        <w:rPr>
          <w:i/>
          <w:iCs/>
          <w:lang w:val="en-US"/>
        </w:rPr>
        <w:t>Environmental Toxicology and Chemistry</w:t>
      </w:r>
      <w:r w:rsidRPr="00DC28FF">
        <w:rPr>
          <w:lang w:val="en-US"/>
        </w:rPr>
        <w:t xml:space="preserve"> [Preprint]. Available at: https://doi.org/10.1002/etc.4114.</w:t>
      </w:r>
    </w:p>
    <w:p w14:paraId="26BF4DCD" w14:textId="77777777" w:rsidR="00DC28FF" w:rsidRPr="00DC28FF" w:rsidRDefault="00DC28FF" w:rsidP="00DC28FF">
      <w:pPr>
        <w:pStyle w:val="Bibliographie"/>
        <w:rPr>
          <w:lang w:val="en-US"/>
        </w:rPr>
      </w:pPr>
      <w:r w:rsidRPr="00DC28FF">
        <w:rPr>
          <w:lang w:val="en-US"/>
        </w:rPr>
        <w:t xml:space="preserve">Liu, J., Haffner, G.D. and Drouillard, K.G. (2010) ‘The influence of diet on the assimilation efficiency of 47 polychlorinated biphenyl congeners in Japanese koi (Cyprinus carpio)’, </w:t>
      </w:r>
      <w:r w:rsidRPr="00DC28FF">
        <w:rPr>
          <w:i/>
          <w:iCs/>
          <w:lang w:val="en-US"/>
        </w:rPr>
        <w:t>Environmental Toxicology and Chemistry</w:t>
      </w:r>
      <w:r w:rsidRPr="00DC28FF">
        <w:rPr>
          <w:lang w:val="en-US"/>
        </w:rPr>
        <w:t>, 29(2), pp. 401–409. Available at: https://doi.org/10.1002/etc.47.</w:t>
      </w:r>
    </w:p>
    <w:p w14:paraId="14186E9E" w14:textId="77777777" w:rsidR="00DC28FF" w:rsidRPr="00DC28FF" w:rsidRDefault="00DC28FF" w:rsidP="00DC28FF">
      <w:pPr>
        <w:pStyle w:val="Bibliographie"/>
        <w:rPr>
          <w:lang w:val="en-US"/>
        </w:rPr>
      </w:pPr>
      <w:r w:rsidRPr="00DC28FF">
        <w:rPr>
          <w:lang w:val="en-US"/>
        </w:rPr>
        <w:t xml:space="preserve">Loi, E.I.H. </w:t>
      </w:r>
      <w:r w:rsidRPr="00DC28FF">
        <w:rPr>
          <w:i/>
          <w:iCs/>
          <w:lang w:val="en-US"/>
        </w:rPr>
        <w:t>et al.</w:t>
      </w:r>
      <w:r w:rsidRPr="00DC28FF">
        <w:rPr>
          <w:lang w:val="en-US"/>
        </w:rPr>
        <w:t xml:space="preserve"> (2011) ‘Trophic Magnification of Poly- and Perfluorinated Compounds in a Subtropical Food Web’, </w:t>
      </w:r>
      <w:r w:rsidRPr="00DC28FF">
        <w:rPr>
          <w:i/>
          <w:iCs/>
          <w:lang w:val="en-US"/>
        </w:rPr>
        <w:t>Environmental Science &amp; Technology</w:t>
      </w:r>
      <w:r w:rsidRPr="00DC28FF">
        <w:rPr>
          <w:lang w:val="en-US"/>
        </w:rPr>
        <w:t>, 45(13), pp. 5506–5513. Available at: https://doi.org/10.1021/es200432n.</w:t>
      </w:r>
    </w:p>
    <w:p w14:paraId="08585F45" w14:textId="77777777" w:rsidR="00DC28FF" w:rsidRPr="00DC28FF" w:rsidRDefault="00DC28FF" w:rsidP="00DC28FF">
      <w:pPr>
        <w:pStyle w:val="Bibliographie"/>
        <w:rPr>
          <w:lang w:val="en-US"/>
        </w:rPr>
      </w:pPr>
      <w:r w:rsidRPr="00DC28FF">
        <w:rPr>
          <w:lang w:val="en-US"/>
        </w:rPr>
        <w:t xml:space="preserve">Loizeau, V., Abarnou, A. and Ménesguen, A. (2001) ‘A steady-state model of PCB bioaccumulation in the sea bass (Dicentrarchus labrax) food web from the Seine estuary, France’, </w:t>
      </w:r>
      <w:r w:rsidRPr="00DC28FF">
        <w:rPr>
          <w:i/>
          <w:iCs/>
          <w:lang w:val="en-US"/>
        </w:rPr>
        <w:t>Estuaries</w:t>
      </w:r>
      <w:r w:rsidRPr="00DC28FF">
        <w:rPr>
          <w:lang w:val="en-US"/>
        </w:rPr>
        <w:t>, 24(6), pp. 1074–1087. Available at: https://doi.org/10.2307/1353019.</w:t>
      </w:r>
    </w:p>
    <w:p w14:paraId="414B9290" w14:textId="77777777" w:rsidR="00DC28FF" w:rsidRPr="00DC28FF" w:rsidRDefault="00DC28FF" w:rsidP="00DC28FF">
      <w:pPr>
        <w:pStyle w:val="Bibliographie"/>
        <w:rPr>
          <w:lang w:val="en-US"/>
        </w:rPr>
      </w:pPr>
      <w:r w:rsidRPr="00DC28FF">
        <w:rPr>
          <w:lang w:val="en-US"/>
        </w:rPr>
        <w:lastRenderedPageBreak/>
        <w:t xml:space="preserve">Mackay, D. </w:t>
      </w:r>
      <w:r w:rsidRPr="00DC28FF">
        <w:rPr>
          <w:i/>
          <w:iCs/>
          <w:lang w:val="en-US"/>
        </w:rPr>
        <w:t>et al.</w:t>
      </w:r>
      <w:r w:rsidRPr="00DC28FF">
        <w:rPr>
          <w:lang w:val="en-US"/>
        </w:rPr>
        <w:t xml:space="preserve"> (2016) ‘Processes influencing chemical biomagnification and trophic magnification factors in aquatic ecosystems: Implications for chemical hazard and risk assessment’, </w:t>
      </w:r>
      <w:r w:rsidRPr="00DC28FF">
        <w:rPr>
          <w:i/>
          <w:iCs/>
          <w:lang w:val="en-US"/>
        </w:rPr>
        <w:t>Chemosphere</w:t>
      </w:r>
      <w:r w:rsidRPr="00DC28FF">
        <w:rPr>
          <w:lang w:val="en-US"/>
        </w:rPr>
        <w:t>, 154, pp. 99–108. Available at: https://doi.org/10.1016/j.chemosphere.2016.03.048.</w:t>
      </w:r>
    </w:p>
    <w:p w14:paraId="0B427682" w14:textId="77777777" w:rsidR="00DC28FF" w:rsidRDefault="00DC28FF" w:rsidP="00DC28FF">
      <w:pPr>
        <w:pStyle w:val="Bibliographie"/>
      </w:pPr>
      <w:r w:rsidRPr="00DC28FF">
        <w:rPr>
          <w:lang w:val="en-US"/>
        </w:rPr>
        <w:t xml:space="preserve">Mackay, D. and Fraser, A. (2000) ‘Bioaccumulation of persistent organic chemicals: mechanisms and models’, </w:t>
      </w:r>
      <w:r w:rsidRPr="00DC28FF">
        <w:rPr>
          <w:i/>
          <w:iCs/>
          <w:lang w:val="en-US"/>
        </w:rPr>
        <w:t>Environmental Pollution</w:t>
      </w:r>
      <w:r w:rsidRPr="00DC28FF">
        <w:rPr>
          <w:lang w:val="en-US"/>
        </w:rPr>
        <w:t xml:space="preserve">, 110(3), pp. 375–391. </w:t>
      </w:r>
      <w:r>
        <w:t>Available at: https://doi.org/10.1016/S0269-7491(00)00162-7.</w:t>
      </w:r>
    </w:p>
    <w:p w14:paraId="0FC904B0" w14:textId="77777777" w:rsidR="00DC28FF" w:rsidRDefault="00DC28FF" w:rsidP="00DC28FF">
      <w:pPr>
        <w:pStyle w:val="Bibliographie"/>
      </w:pPr>
      <w:r>
        <w:t xml:space="preserve">Masset, T. </w:t>
      </w:r>
      <w:r>
        <w:rPr>
          <w:i/>
          <w:iCs/>
        </w:rPr>
        <w:t>et al.</w:t>
      </w:r>
      <w:r>
        <w:t xml:space="preserve"> </w:t>
      </w:r>
      <w:r w:rsidRPr="00DC28FF">
        <w:rPr>
          <w:lang w:val="en-US"/>
        </w:rPr>
        <w:t xml:space="preserve">(2019) ‘Trophic position and individual feeding habits as drivers of differential PCB bioaccumulation in fish populations’, </w:t>
      </w:r>
      <w:r w:rsidRPr="00DC28FF">
        <w:rPr>
          <w:i/>
          <w:iCs/>
          <w:lang w:val="en-US"/>
        </w:rPr>
        <w:t>Science of the Total Environment</w:t>
      </w:r>
      <w:r w:rsidRPr="00DC28FF">
        <w:rPr>
          <w:lang w:val="en-US"/>
        </w:rPr>
        <w:t xml:space="preserve">, 674, pp. 472–481. </w:t>
      </w:r>
      <w:r>
        <w:t>Available at: https://doi.org/10.1016/j.scitotenv.2019.04.196.</w:t>
      </w:r>
    </w:p>
    <w:p w14:paraId="2DC594E7" w14:textId="77777777" w:rsidR="00DC28FF" w:rsidRDefault="00DC28FF" w:rsidP="00DC28FF">
      <w:pPr>
        <w:pStyle w:val="Bibliographie"/>
      </w:pPr>
      <w:r>
        <w:t xml:space="preserve">Matthies, M. </w:t>
      </w:r>
      <w:r>
        <w:rPr>
          <w:i/>
          <w:iCs/>
        </w:rPr>
        <w:t>et al.</w:t>
      </w:r>
      <w:r>
        <w:t xml:space="preserve"> </w:t>
      </w:r>
      <w:r w:rsidRPr="00DC28FF">
        <w:rPr>
          <w:lang w:val="en-US"/>
        </w:rPr>
        <w:t xml:space="preserve">(2016) ‘The origin and evolution of assessment criteria for persistent, bioaccumulative and toxic (PBT) chemicals and persistent organic pollutants (POPs)’, </w:t>
      </w:r>
      <w:r w:rsidRPr="00DC28FF">
        <w:rPr>
          <w:i/>
          <w:iCs/>
          <w:lang w:val="en-US"/>
        </w:rPr>
        <w:t>Environmental Science: Processes &amp; Impacts</w:t>
      </w:r>
      <w:r w:rsidRPr="00DC28FF">
        <w:rPr>
          <w:lang w:val="en-US"/>
        </w:rPr>
        <w:t xml:space="preserve">, 18(9), pp. 1114–1128. </w:t>
      </w:r>
      <w:r>
        <w:t>Available at: https://doi.org/10.1039/C6EM00311G.</w:t>
      </w:r>
    </w:p>
    <w:p w14:paraId="0FEE27E7" w14:textId="77777777" w:rsidR="00DC28FF" w:rsidRDefault="00DC28FF" w:rsidP="00DC28FF">
      <w:pPr>
        <w:pStyle w:val="Bibliographie"/>
      </w:pPr>
      <w:r>
        <w:t xml:space="preserve">Mounier, F. </w:t>
      </w:r>
      <w:r>
        <w:rPr>
          <w:i/>
          <w:iCs/>
        </w:rPr>
        <w:t>et al.</w:t>
      </w:r>
      <w:r>
        <w:t xml:space="preserve"> </w:t>
      </w:r>
      <w:r w:rsidRPr="00DC28FF">
        <w:rPr>
          <w:lang w:val="en-US"/>
        </w:rPr>
        <w:t xml:space="preserve">(2020) ‘Dietary bioaccumulation of persistent organic pollutants in the common sole </w:t>
      </w:r>
      <w:r w:rsidRPr="00DC28FF">
        <w:rPr>
          <w:i/>
          <w:iCs/>
          <w:lang w:val="en-US"/>
        </w:rPr>
        <w:t>Solea solea</w:t>
      </w:r>
      <w:r w:rsidRPr="00DC28FF">
        <w:rPr>
          <w:lang w:val="en-US"/>
        </w:rPr>
        <w:t xml:space="preserve"> in the context of global change. Part 2: Sensitivity of juvenile growth and contamination to toxicokinetic parameters uncertainty and environmental conditions variability in estuaries’, </w:t>
      </w:r>
      <w:r w:rsidRPr="00DC28FF">
        <w:rPr>
          <w:i/>
          <w:iCs/>
          <w:lang w:val="en-US"/>
        </w:rPr>
        <w:t>Ecological Modelling</w:t>
      </w:r>
      <w:r w:rsidRPr="00DC28FF">
        <w:rPr>
          <w:lang w:val="en-US"/>
        </w:rPr>
        <w:t xml:space="preserve">, 431, p. 109196. </w:t>
      </w:r>
      <w:r>
        <w:t>Available at: https://doi.org/10.1016/j.ecolmodel.2020.109196.</w:t>
      </w:r>
    </w:p>
    <w:p w14:paraId="3E7D956C" w14:textId="77777777" w:rsidR="00DC28FF" w:rsidRDefault="00DC28FF" w:rsidP="00DC28FF">
      <w:pPr>
        <w:pStyle w:val="Bibliographie"/>
      </w:pPr>
      <w:r>
        <w:t xml:space="preserve">Munoz, G. </w:t>
      </w:r>
      <w:r>
        <w:rPr>
          <w:i/>
          <w:iCs/>
        </w:rPr>
        <w:t>et al.</w:t>
      </w:r>
      <w:r>
        <w:t xml:space="preserve"> </w:t>
      </w:r>
      <w:r w:rsidRPr="00DC28FF">
        <w:rPr>
          <w:lang w:val="en-US"/>
        </w:rPr>
        <w:t xml:space="preserve">(2017) ‘Evidence for the Trophic Transfer of Perfluoroalkylated Substances in a Temperate Macrotidal Estuary’, </w:t>
      </w:r>
      <w:r w:rsidRPr="00DC28FF">
        <w:rPr>
          <w:i/>
          <w:iCs/>
          <w:lang w:val="en-US"/>
        </w:rPr>
        <w:t>Environmental Science and Technology</w:t>
      </w:r>
      <w:r w:rsidRPr="00DC28FF">
        <w:rPr>
          <w:lang w:val="en-US"/>
        </w:rPr>
        <w:t xml:space="preserve">, 51(15), pp. 8450–8459. </w:t>
      </w:r>
      <w:r>
        <w:t>Available at: https://doi.org/10.1021/acs.est.7b02399.</w:t>
      </w:r>
    </w:p>
    <w:p w14:paraId="72DA152A" w14:textId="77777777" w:rsidR="00DC28FF" w:rsidRDefault="00DC28FF" w:rsidP="00DC28FF">
      <w:pPr>
        <w:pStyle w:val="Bibliographie"/>
      </w:pPr>
      <w:r>
        <w:t xml:space="preserve">Munoz, G. </w:t>
      </w:r>
      <w:r>
        <w:rPr>
          <w:i/>
          <w:iCs/>
        </w:rPr>
        <w:t>et al.</w:t>
      </w:r>
      <w:r>
        <w:t xml:space="preserve"> </w:t>
      </w:r>
      <w:r w:rsidRPr="00DC28FF">
        <w:rPr>
          <w:lang w:val="en-US"/>
        </w:rPr>
        <w:t xml:space="preserve">(2018) ‘Spatio-temporal dynamics of per and polyfluoroalkyl substances (PFASs) and transfer to periphytic biofilm in an urban river: case-study on the River Seine’, </w:t>
      </w:r>
      <w:r w:rsidRPr="00DC28FF">
        <w:rPr>
          <w:i/>
          <w:iCs/>
          <w:lang w:val="en-US"/>
        </w:rPr>
        <w:t>Environmental Science and Pollution Research</w:t>
      </w:r>
      <w:r w:rsidRPr="00DC28FF">
        <w:rPr>
          <w:lang w:val="en-US"/>
        </w:rPr>
        <w:t xml:space="preserve">, 25(24), pp. 23574–23582. </w:t>
      </w:r>
      <w:r>
        <w:t>Available at: https://doi.org/10.1007/s11356-016-8051-9.</w:t>
      </w:r>
    </w:p>
    <w:p w14:paraId="336AF0A8" w14:textId="77777777" w:rsidR="00DC28FF" w:rsidRPr="00DC28FF" w:rsidRDefault="00DC28FF" w:rsidP="00DC28FF">
      <w:pPr>
        <w:pStyle w:val="Bibliographie"/>
        <w:rPr>
          <w:lang w:val="en-US"/>
        </w:rPr>
      </w:pPr>
      <w:r>
        <w:t xml:space="preserve">Munschy, C. </w:t>
      </w:r>
      <w:r>
        <w:rPr>
          <w:i/>
          <w:iCs/>
        </w:rPr>
        <w:t>et al.</w:t>
      </w:r>
      <w:r>
        <w:t xml:space="preserve"> </w:t>
      </w:r>
      <w:r w:rsidRPr="00DC28FF">
        <w:rPr>
          <w:lang w:val="en-US"/>
        </w:rPr>
        <w:t xml:space="preserve">(2013) ‘Levels and trends of the emerging contaminants HBCDs (hexabromocyclododecanes) and PFCs (perfluorinated compounds) in marine shellfish along French coasts’, </w:t>
      </w:r>
      <w:r w:rsidRPr="00DC28FF">
        <w:rPr>
          <w:i/>
          <w:iCs/>
          <w:lang w:val="en-US"/>
        </w:rPr>
        <w:t>Chemosphere</w:t>
      </w:r>
      <w:r w:rsidRPr="00DC28FF">
        <w:rPr>
          <w:lang w:val="en-US"/>
        </w:rPr>
        <w:t>, 91(2), pp. 233–240. Available at: https://doi.org/10.1016/j.chemosphere.2012.12.063.</w:t>
      </w:r>
    </w:p>
    <w:p w14:paraId="289F3560" w14:textId="77777777" w:rsidR="00DC28FF" w:rsidRPr="00DC28FF" w:rsidRDefault="00DC28FF" w:rsidP="00DC28FF">
      <w:pPr>
        <w:pStyle w:val="Bibliographie"/>
        <w:rPr>
          <w:lang w:val="en-US"/>
        </w:rPr>
      </w:pPr>
      <w:r w:rsidRPr="00DC28FF">
        <w:rPr>
          <w:lang w:val="en-US"/>
        </w:rPr>
        <w:t xml:space="preserve">Ng, C.A. and Hungerbuhler, K. (2014) ‘Bioaccumulation of Per fl uorinated Alkyl Acids : Observations and Models’, </w:t>
      </w:r>
      <w:r w:rsidRPr="00DC28FF">
        <w:rPr>
          <w:i/>
          <w:iCs/>
          <w:lang w:val="en-US"/>
        </w:rPr>
        <w:t>Environmental science &amp; technology</w:t>
      </w:r>
      <w:r w:rsidRPr="00DC28FF">
        <w:rPr>
          <w:lang w:val="en-US"/>
        </w:rPr>
        <w:t>, 48, pp. 4637–4648. Available at: https://doi.org/10.1021/es404008g.</w:t>
      </w:r>
    </w:p>
    <w:p w14:paraId="7ECF5D44" w14:textId="77777777" w:rsidR="00DC28FF" w:rsidRPr="00DC28FF" w:rsidRDefault="00DC28FF" w:rsidP="00DC28FF">
      <w:pPr>
        <w:pStyle w:val="Bibliographie"/>
        <w:rPr>
          <w:lang w:val="en-US"/>
        </w:rPr>
      </w:pPr>
      <w:r w:rsidRPr="00DC28FF">
        <w:rPr>
          <w:lang w:val="en-US"/>
        </w:rPr>
        <w:t xml:space="preserve">Oh, C.-W., Hartnoll, R.G. and Nash, R.D.M. (2001) ‘Feeding ecology of the common shrimp Crangon crangon in Port Erin Bay, Isle of Man, Irish Sea’, </w:t>
      </w:r>
      <w:r w:rsidRPr="00DC28FF">
        <w:rPr>
          <w:i/>
          <w:iCs/>
          <w:lang w:val="en-US"/>
        </w:rPr>
        <w:t>Marine Ecology Progress Series</w:t>
      </w:r>
      <w:r w:rsidRPr="00DC28FF">
        <w:rPr>
          <w:lang w:val="en-US"/>
        </w:rPr>
        <w:t>, 214, pp. 211–223. Available at: https://doi.org/10.3354/meps214211.</w:t>
      </w:r>
    </w:p>
    <w:p w14:paraId="7439FF26" w14:textId="77777777" w:rsidR="00DC28FF" w:rsidRPr="00DC28FF" w:rsidRDefault="00DC28FF" w:rsidP="00DC28FF">
      <w:pPr>
        <w:pStyle w:val="Bibliographie"/>
        <w:rPr>
          <w:lang w:val="en-US"/>
        </w:rPr>
      </w:pPr>
      <w:r w:rsidRPr="00DC28FF">
        <w:rPr>
          <w:lang w:val="en-US"/>
        </w:rPr>
        <w:t xml:space="preserve">Olisah, C., Adams, J.B. and Rubidge, G. (2021) ‘The state of persistent organic pollutants in South African estuaries: A review of environmental exposure and sources’, </w:t>
      </w:r>
      <w:r w:rsidRPr="00DC28FF">
        <w:rPr>
          <w:i/>
          <w:iCs/>
          <w:lang w:val="en-US"/>
        </w:rPr>
        <w:t>Ecotoxicology and Environmental Safety</w:t>
      </w:r>
      <w:r w:rsidRPr="00DC28FF">
        <w:rPr>
          <w:lang w:val="en-US"/>
        </w:rPr>
        <w:t>, 219, p. 112316. Available at: https://doi.org/10.1016/j.ecoenv.2021.112316.</w:t>
      </w:r>
    </w:p>
    <w:p w14:paraId="6FFE41F9" w14:textId="77777777" w:rsidR="00DC28FF" w:rsidRDefault="00DC28FF" w:rsidP="00DC28FF">
      <w:pPr>
        <w:pStyle w:val="Bibliographie"/>
      </w:pPr>
      <w:r w:rsidRPr="00DC28FF">
        <w:rPr>
          <w:lang w:val="en-US"/>
        </w:rPr>
        <w:t xml:space="preserve">van der Oost, R., Beyer, J. and Vermeulen, N.P.E. (2003) ‘Fish bioaccumulation and biomarkers in environmental risk assessment: A review’, </w:t>
      </w:r>
      <w:r w:rsidRPr="00DC28FF">
        <w:rPr>
          <w:i/>
          <w:iCs/>
          <w:lang w:val="en-US"/>
        </w:rPr>
        <w:t>Environmental Toxicology and Pharmacology</w:t>
      </w:r>
      <w:r w:rsidRPr="00DC28FF">
        <w:rPr>
          <w:lang w:val="en-US"/>
        </w:rPr>
        <w:t xml:space="preserve">, 13(2), pp. 57–149. </w:t>
      </w:r>
      <w:r>
        <w:t>Available at: https://doi.org/10.1016/S1382-6689(02)00126-6.</w:t>
      </w:r>
    </w:p>
    <w:p w14:paraId="0835E053" w14:textId="77777777" w:rsidR="00DC28FF" w:rsidRDefault="00DC28FF" w:rsidP="00DC28FF">
      <w:pPr>
        <w:pStyle w:val="Bibliographie"/>
      </w:pPr>
      <w:r>
        <w:lastRenderedPageBreak/>
        <w:t xml:space="preserve">Pitacco, V. </w:t>
      </w:r>
      <w:r>
        <w:rPr>
          <w:i/>
          <w:iCs/>
        </w:rPr>
        <w:t>et al.</w:t>
      </w:r>
      <w:r>
        <w:t xml:space="preserve"> </w:t>
      </w:r>
      <w:r w:rsidRPr="00DC28FF">
        <w:rPr>
          <w:lang w:val="en-US"/>
        </w:rPr>
        <w:t xml:space="preserve">(2021) ‘Habitat heterogeneity: A confounding factor for the effect of pollutants on macrobenthic community in coastal waters’, </w:t>
      </w:r>
      <w:r w:rsidRPr="00DC28FF">
        <w:rPr>
          <w:i/>
          <w:iCs/>
          <w:lang w:val="en-US"/>
        </w:rPr>
        <w:t>Marine Environmental Research</w:t>
      </w:r>
      <w:r w:rsidRPr="00DC28FF">
        <w:rPr>
          <w:lang w:val="en-US"/>
        </w:rPr>
        <w:t xml:space="preserve">, 172, p. 105499. </w:t>
      </w:r>
      <w:r>
        <w:t>Available at: https://doi.org/10.1016/j.marenvres.2021.105499.</w:t>
      </w:r>
    </w:p>
    <w:p w14:paraId="15EB952A" w14:textId="77777777" w:rsidR="00DC28FF" w:rsidRDefault="00DC28FF" w:rsidP="00DC28FF">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09C62AE7" w14:textId="77777777" w:rsidR="00DC28FF" w:rsidRPr="00DC28FF" w:rsidRDefault="00DC28FF" w:rsidP="00DC28FF">
      <w:pPr>
        <w:pStyle w:val="Bibliographie"/>
        <w:rPr>
          <w:lang w:val="en-US"/>
        </w:rPr>
      </w:pPr>
      <w:r w:rsidRPr="00DC28FF">
        <w:rPr>
          <w:lang w:val="en-US"/>
        </w:rPr>
        <w:t>R core team (2025) ‘R: The R Project for Statistical Computing.’ Available at: https://www.r-project.org/.</w:t>
      </w:r>
    </w:p>
    <w:p w14:paraId="12688DB4" w14:textId="77777777" w:rsidR="00DC28FF" w:rsidRPr="00DC28FF" w:rsidRDefault="00DC28FF" w:rsidP="00DC28FF">
      <w:pPr>
        <w:pStyle w:val="Bibliographie"/>
        <w:rPr>
          <w:lang w:val="en-US"/>
        </w:rPr>
      </w:pPr>
      <w:r w:rsidRPr="00DC28FF">
        <w:rPr>
          <w:lang w:val="en-US"/>
        </w:rPr>
        <w:t xml:space="preserve">Ridgway, J. and Shimmield, G. (2002) ‘Estuaries as Repositories of Historical Contamination and their Impact on Shelf Seas’, </w:t>
      </w:r>
      <w:r w:rsidRPr="00DC28FF">
        <w:rPr>
          <w:i/>
          <w:iCs/>
          <w:lang w:val="en-US"/>
        </w:rPr>
        <w:t>Estuarine, Coastal and Shelf Science</w:t>
      </w:r>
      <w:r w:rsidRPr="00DC28FF">
        <w:rPr>
          <w:lang w:val="en-US"/>
        </w:rPr>
        <w:t>, 55(6), pp. 903–928. Available at: https://doi.org/10.1006/ecss.2002.1035.</w:t>
      </w:r>
    </w:p>
    <w:p w14:paraId="5010E531" w14:textId="77777777" w:rsidR="00DC28FF" w:rsidRPr="00DC28FF" w:rsidRDefault="00DC28FF" w:rsidP="00DC28FF">
      <w:pPr>
        <w:pStyle w:val="Bibliographie"/>
        <w:rPr>
          <w:lang w:val="en-US"/>
        </w:rPr>
      </w:pPr>
      <w:r w:rsidRPr="00DC28FF">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3335687C" w14:textId="77777777" w:rsidR="00DC28FF" w:rsidRDefault="00DC28FF" w:rsidP="00DC28FF">
      <w:pPr>
        <w:pStyle w:val="Bibliographie"/>
      </w:pPr>
      <w:r w:rsidRPr="00DC28FF">
        <w:rPr>
          <w:lang w:val="en-US"/>
        </w:rPr>
        <w:t xml:space="preserve">Rochette, S. </w:t>
      </w:r>
      <w:r w:rsidRPr="00DC28FF">
        <w:rPr>
          <w:i/>
          <w:iCs/>
          <w:lang w:val="en-US"/>
        </w:rPr>
        <w:t>et al.</w:t>
      </w:r>
      <w:r w:rsidRPr="00DC28FF">
        <w:rPr>
          <w:lang w:val="en-US"/>
        </w:rPr>
        <w:t xml:space="preserve"> (2010) ‘Effect of nursery habitat degradation on flatfish population: Application to Solea solea in the Eastern Channel (Western Europe)’, </w:t>
      </w:r>
      <w:r w:rsidRPr="00DC28FF">
        <w:rPr>
          <w:i/>
          <w:iCs/>
          <w:lang w:val="en-US"/>
        </w:rPr>
        <w:t>Journal of Sea Research</w:t>
      </w:r>
      <w:r w:rsidRPr="00DC28FF">
        <w:rPr>
          <w:lang w:val="en-US"/>
        </w:rPr>
        <w:t xml:space="preserve">, 64(1–2), pp. 34–44. </w:t>
      </w:r>
      <w:r>
        <w:t>Available at: https://doi.org/10.1016/j.seares.2009.08.003.</w:t>
      </w:r>
    </w:p>
    <w:p w14:paraId="22F6352A" w14:textId="77777777" w:rsidR="00DC28FF" w:rsidRDefault="00DC28FF" w:rsidP="00DC28FF">
      <w:pPr>
        <w:pStyle w:val="Bibliographie"/>
      </w:pPr>
      <w:r>
        <w:t xml:space="preserve">Ruan, Y. </w:t>
      </w:r>
      <w:r>
        <w:rPr>
          <w:i/>
          <w:iCs/>
        </w:rPr>
        <w:t>et al.</w:t>
      </w:r>
      <w:r>
        <w:t xml:space="preserve"> </w:t>
      </w:r>
      <w:r w:rsidRPr="00DC28FF">
        <w:rPr>
          <w:lang w:val="en-US"/>
        </w:rPr>
        <w:t xml:space="preserve">(2018) ‘Stereoisomer-Specific Trophodynamics of the Chiral Brominated Flame Retardants HBCD and TBECH in a Marine Food Web, with Implications for Human Exposure’, </w:t>
      </w:r>
      <w:r w:rsidRPr="00DC28FF">
        <w:rPr>
          <w:i/>
          <w:iCs/>
          <w:lang w:val="en-US"/>
        </w:rPr>
        <w:t>Environmental Science &amp; Technology</w:t>
      </w:r>
      <w:r w:rsidRPr="00DC28FF">
        <w:rPr>
          <w:lang w:val="en-US"/>
        </w:rPr>
        <w:t xml:space="preserve">, 52(15), pp. 8183–8193. </w:t>
      </w:r>
      <w:r>
        <w:t>Available at: https://doi.org/10.1021/acs.est.8b02206.</w:t>
      </w:r>
    </w:p>
    <w:p w14:paraId="5A62571C" w14:textId="77777777" w:rsidR="00DC28FF" w:rsidRDefault="00DC28FF" w:rsidP="00DC28FF">
      <w:pPr>
        <w:pStyle w:val="Bibliographie"/>
      </w:pPr>
      <w:r>
        <w:t xml:space="preserve">Schäfer, S. </w:t>
      </w:r>
      <w:r>
        <w:rPr>
          <w:i/>
          <w:iCs/>
        </w:rPr>
        <w:t>et al.</w:t>
      </w:r>
      <w:r>
        <w:t xml:space="preserve"> </w:t>
      </w:r>
      <w:r w:rsidRPr="00DC28FF">
        <w:rPr>
          <w:lang w:val="en-US"/>
        </w:rPr>
        <w:t xml:space="preserve">(2015) ‘Bioaccumulation in aquatic systems: methodological approaches, monitoring and assessment’, </w:t>
      </w:r>
      <w:r w:rsidRPr="00DC28FF">
        <w:rPr>
          <w:i/>
          <w:iCs/>
          <w:lang w:val="en-US"/>
        </w:rPr>
        <w:t>Environmental Sciences Europe</w:t>
      </w:r>
      <w:r w:rsidRPr="00DC28FF">
        <w:rPr>
          <w:lang w:val="en-US"/>
        </w:rPr>
        <w:t xml:space="preserve">, 27(1), p. 5. </w:t>
      </w:r>
      <w:r>
        <w:t>Available at: https://doi.org/10.1186/s12302-014-0036-z.</w:t>
      </w:r>
    </w:p>
    <w:p w14:paraId="09B4B89F" w14:textId="77777777" w:rsidR="00DC28FF" w:rsidRPr="00DC28FF" w:rsidRDefault="00DC28FF" w:rsidP="00DC28FF">
      <w:pPr>
        <w:pStyle w:val="Bibliographie"/>
        <w:rPr>
          <w:lang w:val="en-US"/>
        </w:rPr>
      </w:pPr>
      <w:r>
        <w:t xml:space="preserve">Schnitzler, J.G. </w:t>
      </w:r>
      <w:r>
        <w:rPr>
          <w:i/>
          <w:iCs/>
        </w:rPr>
        <w:t>et al.</w:t>
      </w:r>
      <w:r>
        <w:t xml:space="preserve"> </w:t>
      </w:r>
      <w:r w:rsidRPr="00DC28FF">
        <w:rPr>
          <w:lang w:val="en-US"/>
        </w:rPr>
        <w:t xml:space="preserve">(2011) ‘Organochlorine pesticides, polychlorinated biphenyls and trace elements in wild European sea bass (Dicentrarchus labrax) off European estuaries’, </w:t>
      </w:r>
      <w:r w:rsidRPr="00DC28FF">
        <w:rPr>
          <w:i/>
          <w:iCs/>
          <w:lang w:val="en-US"/>
        </w:rPr>
        <w:t>Science of the Total Environment</w:t>
      </w:r>
      <w:r w:rsidRPr="00DC28FF">
        <w:rPr>
          <w:lang w:val="en-US"/>
        </w:rPr>
        <w:t>, 409(19), pp. 3680–3686. Available at: https://doi.org/10.1016/j.scitotenv.2011.06.018.</w:t>
      </w:r>
    </w:p>
    <w:p w14:paraId="751B715E" w14:textId="77777777" w:rsidR="00DC28FF" w:rsidRDefault="00DC28FF" w:rsidP="00DC28FF">
      <w:pPr>
        <w:pStyle w:val="Bibliographie"/>
      </w:pPr>
      <w:r w:rsidRPr="00DC28FF">
        <w:rPr>
          <w:lang w:val="en-US"/>
        </w:rPr>
        <w:t xml:space="preserve">Vaida, F. and Liu, L. (2009) ‘Fast Implementation for Normal Mixed Effects Models With Censored Response’, </w:t>
      </w:r>
      <w:r w:rsidRPr="00DC28FF">
        <w:rPr>
          <w:i/>
          <w:iCs/>
          <w:lang w:val="en-US"/>
        </w:rPr>
        <w:t>Journal of computational and graphical statistics : a joint publication of American Statistical Association, Institute of Mathematical Statistics, Interface Foundation of North America</w:t>
      </w:r>
      <w:r w:rsidRPr="00DC28FF">
        <w:rPr>
          <w:lang w:val="en-US"/>
        </w:rPr>
        <w:t xml:space="preserve">, 18(4), pp. 797–817. </w:t>
      </w:r>
      <w:r>
        <w:t>Available at: https://doi.org/10.1198/jcgs.2009.07130.</w:t>
      </w:r>
    </w:p>
    <w:p w14:paraId="38D91989" w14:textId="77777777" w:rsidR="00DC28FF" w:rsidRDefault="00DC28FF" w:rsidP="00DC28FF">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7BB5764E" w14:textId="77777777" w:rsidR="00DC28FF" w:rsidRDefault="00DC28FF" w:rsidP="00DC28FF">
      <w:pPr>
        <w:pStyle w:val="Bibliographie"/>
      </w:pPr>
      <w:r>
        <w:t xml:space="preserve">Van Ael, E. </w:t>
      </w:r>
      <w:r>
        <w:rPr>
          <w:i/>
          <w:iCs/>
        </w:rPr>
        <w:t>et al.</w:t>
      </w:r>
      <w:r>
        <w:t xml:space="preserve"> </w:t>
      </w:r>
      <w:r w:rsidRPr="00DC28FF">
        <w:rPr>
          <w:lang w:val="en-US"/>
        </w:rPr>
        <w:t xml:space="preserve">(2013) ‘Factors Influencing the Bioaccumulation of Persistent Organic Pollutants in Food Webs of the Scheldt Estuary’, </w:t>
      </w:r>
      <w:r w:rsidRPr="00DC28FF">
        <w:rPr>
          <w:i/>
          <w:iCs/>
          <w:lang w:val="en-US"/>
        </w:rPr>
        <w:t>Environmental Science &amp; Technology</w:t>
      </w:r>
      <w:r w:rsidRPr="00DC28FF">
        <w:rPr>
          <w:lang w:val="en-US"/>
        </w:rPr>
        <w:t xml:space="preserve">, 47(19), pp. 11221–11231. </w:t>
      </w:r>
      <w:r>
        <w:t>Available at: https://doi.org/10.1021/es400307s.</w:t>
      </w:r>
    </w:p>
    <w:p w14:paraId="7B8890DC" w14:textId="77777777" w:rsidR="00DC28FF" w:rsidRDefault="00DC28FF" w:rsidP="00DC28FF">
      <w:pPr>
        <w:pStyle w:val="Bibliographie"/>
      </w:pPr>
      <w:r>
        <w:t xml:space="preserve">Verhaert, V. </w:t>
      </w:r>
      <w:r>
        <w:rPr>
          <w:i/>
          <w:iCs/>
        </w:rPr>
        <w:t>et al.</w:t>
      </w:r>
      <w:r>
        <w:t xml:space="preserve"> </w:t>
      </w:r>
      <w:r w:rsidRPr="00DC28FF">
        <w:rPr>
          <w:lang w:val="en-US"/>
        </w:rPr>
        <w:t xml:space="preserve">(2017) ‘Persistent organic pollutants in the Olifants River Basin, South Africa: Bioaccumulation and trophic transfer through a subtropical aquatic food web’, </w:t>
      </w:r>
      <w:r w:rsidRPr="00DC28FF">
        <w:rPr>
          <w:i/>
          <w:iCs/>
          <w:lang w:val="en-US"/>
        </w:rPr>
        <w:t>Science of the Total Environment</w:t>
      </w:r>
      <w:r w:rsidRPr="00DC28FF">
        <w:rPr>
          <w:lang w:val="en-US"/>
        </w:rPr>
        <w:t xml:space="preserve">, 586, pp. 792–806. </w:t>
      </w:r>
      <w:r>
        <w:t>Available at: https://doi.org/10.1016/j.scitotenv.2017.02.057.</w:t>
      </w:r>
    </w:p>
    <w:p w14:paraId="412A31F2" w14:textId="77777777" w:rsidR="00DC28FF" w:rsidRDefault="00DC28FF" w:rsidP="00DC28FF">
      <w:pPr>
        <w:pStyle w:val="Bibliographie"/>
      </w:pPr>
      <w:r>
        <w:lastRenderedPageBreak/>
        <w:t xml:space="preserve">Voorspoels, S. </w:t>
      </w:r>
      <w:r>
        <w:rPr>
          <w:i/>
          <w:iCs/>
        </w:rPr>
        <w:t>et al.</w:t>
      </w:r>
      <w:r>
        <w:t xml:space="preserve"> </w:t>
      </w:r>
      <w:r w:rsidRPr="00DC28FF">
        <w:rPr>
          <w:lang w:val="en-US"/>
        </w:rPr>
        <w:t xml:space="preserve">(2004) ‘Levels and profiles of PCBs and OCPs in marine benthic species from the Belgian North Sea and the Western Scheldt Estuary’, </w:t>
      </w:r>
      <w:r w:rsidRPr="00DC28FF">
        <w:rPr>
          <w:i/>
          <w:iCs/>
          <w:lang w:val="en-US"/>
        </w:rPr>
        <w:t>Marine Pollution Bulletin</w:t>
      </w:r>
      <w:r w:rsidRPr="00DC28FF">
        <w:rPr>
          <w:lang w:val="en-US"/>
        </w:rPr>
        <w:t xml:space="preserve">, 49(5), pp. 393–404. </w:t>
      </w:r>
      <w:r>
        <w:t>Available at: https://doi.org/10.1016/j.marpolbul.2004.02.024.</w:t>
      </w:r>
    </w:p>
    <w:p w14:paraId="5943BEE3" w14:textId="25BF3E3C" w:rsidR="00B74274" w:rsidRPr="00F92A4A" w:rsidRDefault="00ED2F3F" w:rsidP="00DA030B">
      <w:pPr>
        <w:rPr>
          <w:sz w:val="32"/>
          <w:szCs w:val="36"/>
        </w:rPr>
      </w:pPr>
      <w:r>
        <w:rPr>
          <w:sz w:val="24"/>
          <w:szCs w:val="24"/>
        </w:rPr>
        <w:fldChar w:fldCharType="end"/>
      </w:r>
      <w:r w:rsidR="00B74274" w:rsidRPr="00F92A4A">
        <w:rPr>
          <w:sz w:val="32"/>
          <w:szCs w:val="36"/>
        </w:rPr>
        <w:t>Résultats : Trophic magnification transfers</w:t>
      </w:r>
    </w:p>
    <w:p w14:paraId="5A13EB80" w14:textId="5BD6B9E6" w:rsidR="00B74274" w:rsidRPr="00F92A4A" w:rsidRDefault="00B74274" w:rsidP="00E70B6E">
      <w:pPr>
        <w:pStyle w:val="Titre2"/>
        <w:numPr>
          <w:ilvl w:val="0"/>
          <w:numId w:val="2"/>
        </w:numPr>
        <w:rPr>
          <w:sz w:val="32"/>
          <w:szCs w:val="36"/>
        </w:rPr>
      </w:pPr>
      <w:bookmarkStart w:id="62" w:name="_Toc199498326"/>
      <w:r w:rsidRPr="00F92A4A">
        <w:rPr>
          <w:sz w:val="32"/>
          <w:szCs w:val="36"/>
        </w:rPr>
        <w:t>TMFs</w:t>
      </w:r>
      <w:bookmarkEnd w:id="62"/>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D’après les estimations obtenues sur l’ensemble du jeu de données (i.e. tous secteurs et périodes confondus, soles G0 à G2), l’ensemble des PFAS sélectionnés sur la base de leur fréquence de détection dans le biote apparait bioamplifiable,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bioamplifié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(Borgå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(Lauzent,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bioamplifiés (Lauzent, 2017). Néanmoins, les TMF déterminés ici sont largement inférieurs à ceux estimés récemment en milieu côtier pour des chaines trophiques beaucoup plus longues (Zhang et al., 2018, Ruan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3"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3"/>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nc</w:t>
            </w:r>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PFUnA</w:t>
            </w:r>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PFDoA</w:t>
            </w:r>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PFTrDA</w:t>
            </w:r>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DA030B">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PFTeDA</w:t>
            </w:r>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tcPr>
          <w:p w14:paraId="19C2A3BA" w14:textId="43BE6270"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tcPr>
          <w:p w14:paraId="5B0FC7DF" w14:textId="1FEBED94"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tcPr>
          <w:p w14:paraId="0773A3C9" w14:textId="70163B40"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15AE3FF4" w14:textId="77777777" w:rsidTr="00DA030B">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tcPr>
          <w:p w14:paraId="2620EDA4" w14:textId="3826CE20"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tcPr>
          <w:p w14:paraId="584978DB" w14:textId="39060CD3"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EtFOSAA</w:t>
            </w:r>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bioamplifiés entre proies benthiques et soles alors que seul le CB-153 ressort si l’on considère les TMF. Les approches sont plus cohérentes entre elles pour PFAS et HBCDD. Tous les PFAS apparaissent bioamplifiés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bioamplifié ici) et les PFAS. Pour ces derniers, tous les composés fréquemment </w:t>
      </w:r>
      <w:r w:rsidRPr="00F92A4A">
        <w:rPr>
          <w:sz w:val="24"/>
          <w:szCs w:val="24"/>
          <w:highlight w:val="yellow"/>
        </w:rPr>
        <w:lastRenderedPageBreak/>
        <w:t xml:space="preserve">détectés dans les soles apparaissent bioamplifiés au regard des valeurs de TMF et de BMF obtenues même si la conclusion est plus nuancée lorsque l’on tient compte du bol alimentaire dans le calcul du BMF. </w:t>
      </w:r>
    </w:p>
    <w:p w14:paraId="1C6B5109" w14:textId="0DD86AC0"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EF226" w14:textId="77777777" w:rsidR="00E70B6E" w:rsidRDefault="00E70B6E" w:rsidP="004F71CF">
      <w:pPr>
        <w:spacing w:after="0" w:line="240" w:lineRule="auto"/>
      </w:pPr>
      <w:r>
        <w:separator/>
      </w:r>
    </w:p>
  </w:endnote>
  <w:endnote w:type="continuationSeparator" w:id="0">
    <w:p w14:paraId="0750550A" w14:textId="77777777" w:rsidR="00E70B6E" w:rsidRDefault="00E70B6E"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83095" w14:textId="77777777" w:rsidR="00E70B6E" w:rsidRDefault="00E70B6E" w:rsidP="004F71CF">
      <w:pPr>
        <w:spacing w:after="0" w:line="240" w:lineRule="auto"/>
      </w:pPr>
      <w:r>
        <w:separator/>
      </w:r>
    </w:p>
  </w:footnote>
  <w:footnote w:type="continuationSeparator" w:id="0">
    <w:p w14:paraId="23439A09" w14:textId="77777777" w:rsidR="00E70B6E" w:rsidRDefault="00E70B6E"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0"/>
  </w:num>
  <w:num w:numId="4">
    <w:abstractNumId w:val="2"/>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095"/>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B6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428A"/>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B0A81"/>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2E0E"/>
    <w:rsid w:val="005534FC"/>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25D0A"/>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68E2"/>
    <w:rsid w:val="00797A02"/>
    <w:rsid w:val="00797DAD"/>
    <w:rsid w:val="007A1378"/>
    <w:rsid w:val="007B167E"/>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00A"/>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958A2"/>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A030B"/>
    <w:rsid w:val="00DA1DAA"/>
    <w:rsid w:val="00DA43F3"/>
    <w:rsid w:val="00DA488B"/>
    <w:rsid w:val="00DA4A54"/>
    <w:rsid w:val="00DA4FA3"/>
    <w:rsid w:val="00DA783A"/>
    <w:rsid w:val="00DB2861"/>
    <w:rsid w:val="00DB4E69"/>
    <w:rsid w:val="00DB5D45"/>
    <w:rsid w:val="00DB750E"/>
    <w:rsid w:val="00DC28FF"/>
    <w:rsid w:val="00DC46DA"/>
    <w:rsid w:val="00DC5004"/>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0B6E"/>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1"/>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9707A"/>
    <w:rsid w:val="007E480B"/>
    <w:rsid w:val="00803AE9"/>
    <w:rsid w:val="008365A6"/>
    <w:rsid w:val="0088172B"/>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78125</TotalTime>
  <Pages>38</Pages>
  <Words>79007</Words>
  <Characters>434544</Characters>
  <Application>Microsoft Office Word</Application>
  <DocSecurity>0</DocSecurity>
  <Lines>3621</Lines>
  <Paragraphs>1025</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161</cp:revision>
  <dcterms:created xsi:type="dcterms:W3CDTF">2020-10-07T13:02:00Z</dcterms:created>
  <dcterms:modified xsi:type="dcterms:W3CDTF">2025-06-14T08:39:00Z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