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Evaluating Biomagnification of Organohalogenated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r w:rsidRPr="00F92A4A">
        <w:rPr>
          <w:sz w:val="28"/>
          <w:szCs w:val="24"/>
        </w:rPr>
        <w:t>Loizeau Véronique</w:t>
      </w:r>
      <w:r w:rsidR="0088353D" w:rsidRPr="00F92A4A">
        <w:rPr>
          <w:sz w:val="28"/>
          <w:szCs w:val="24"/>
          <w:vertAlign w:val="superscript"/>
        </w:rPr>
        <w:t>3</w:t>
      </w:r>
      <w:r w:rsidRPr="00F92A4A">
        <w:rPr>
          <w:sz w:val="28"/>
          <w:szCs w:val="24"/>
        </w:rPr>
        <w:t xml:space="preserve">, </w:t>
      </w:r>
      <w:r w:rsidR="0088353D" w:rsidRPr="00F92A4A">
        <w:rPr>
          <w:sz w:val="28"/>
          <w:szCs w:val="24"/>
        </w:rPr>
        <w:t>Munschy Catherine</w:t>
      </w:r>
      <w:r w:rsidR="0088353D" w:rsidRPr="00F92A4A">
        <w:rPr>
          <w:sz w:val="28"/>
          <w:szCs w:val="24"/>
          <w:vertAlign w:val="superscript"/>
        </w:rPr>
        <w:t xml:space="preserve"> 4</w:t>
      </w:r>
      <w:r w:rsidR="0088353D" w:rsidRPr="00F92A4A">
        <w:rPr>
          <w:sz w:val="28"/>
          <w:szCs w:val="24"/>
        </w:rPr>
        <w:t>, Budzinski Hélène</w:t>
      </w:r>
      <w:r w:rsidR="0088353D" w:rsidRPr="00F92A4A">
        <w:rPr>
          <w:sz w:val="28"/>
          <w:szCs w:val="24"/>
          <w:vertAlign w:val="superscript"/>
        </w:rPr>
        <w:t>2</w:t>
      </w:r>
      <w:r w:rsidR="0088353D" w:rsidRPr="00F92A4A">
        <w:rPr>
          <w:sz w:val="28"/>
          <w:szCs w:val="24"/>
        </w:rPr>
        <w:t xml:space="preserve">, </w:t>
      </w:r>
      <w:r w:rsidRPr="00F92A4A">
        <w:rPr>
          <w:sz w:val="28"/>
          <w:szCs w:val="24"/>
        </w:rPr>
        <w:t>Aminot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Université de Bordeaux, UMR 5805 CNRS, EPOC, LPTC Research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Jérémy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60211A">
      <w:pPr>
        <w:pStyle w:val="Titre1"/>
        <w:numPr>
          <w:ilvl w:val="0"/>
          <w:numId w:val="0"/>
        </w:numPr>
        <w:ind w:left="360"/>
      </w:pPr>
      <w:bookmarkStart w:id="0" w:name="_Toc8045439"/>
      <w:bookmarkStart w:id="1" w:name="_Toc199498287"/>
      <w:r w:rsidRPr="00F92A4A">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trophodynamics of organohalogenated pollutants</w:t>
      </w:r>
      <w:r w:rsidRPr="00F92A4A">
        <w:rPr>
          <w:sz w:val="24"/>
          <w:szCs w:val="24"/>
          <w:lang w:val="en-GB"/>
        </w:rPr>
        <w:t xml:space="preserve"> from three families in </w:t>
      </w:r>
      <w:r w:rsidRPr="00F92A4A">
        <w:rPr>
          <w:b/>
          <w:bCs/>
          <w:sz w:val="24"/>
          <w:szCs w:val="24"/>
          <w:lang w:val="en-GB"/>
        </w:rPr>
        <w:t xml:space="preserve">juvenile </w:t>
      </w:r>
      <w:r w:rsidRPr="00F92A4A">
        <w:rPr>
          <w:b/>
          <w:bCs/>
          <w:i/>
          <w:iCs/>
          <w:sz w:val="24"/>
          <w:szCs w:val="24"/>
          <w:lang w:val="en-GB"/>
        </w:rPr>
        <w:t>Solea solea</w:t>
      </w:r>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r w:rsidR="00966623" w:rsidRPr="00F92A4A">
        <w:rPr>
          <w:b/>
          <w:bCs/>
          <w:i/>
          <w:iCs/>
          <w:sz w:val="24"/>
          <w:szCs w:val="24"/>
          <w:lang w:val="en-GB"/>
        </w:rPr>
        <w:t>Solea solea</w:t>
      </w:r>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60211A">
      <w:pPr>
        <w:pStyle w:val="Titre1"/>
        <w:numPr>
          <w:ilvl w:val="0"/>
          <w:numId w:val="0"/>
        </w:numPr>
        <w:ind w:left="360"/>
      </w:pPr>
      <w:bookmarkStart w:id="2" w:name="_Toc199498288"/>
      <w:r w:rsidRPr="00F92A4A">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r w:rsidRPr="00F92A4A">
        <w:rPr>
          <w:i/>
          <w:iCs/>
          <w:sz w:val="24"/>
          <w:szCs w:val="24"/>
          <w:lang w:val="en-GB"/>
        </w:rPr>
        <w:t>Solea solea</w:t>
      </w:r>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60211A">
      <w:pPr>
        <w:pStyle w:val="Titre1"/>
        <w:numPr>
          <w:ilvl w:val="0"/>
          <w:numId w:val="0"/>
        </w:numPr>
        <w:ind w:left="360"/>
      </w:pPr>
      <w:bookmarkStart w:id="3" w:name="_Toc199498289"/>
      <w:r w:rsidRPr="00F92A4A">
        <w:t>Highlights</w:t>
      </w:r>
      <w:bookmarkEnd w:id="3"/>
    </w:p>
    <w:p w14:paraId="2620AD59" w14:textId="5CAF6BD6" w:rsidR="006B542A" w:rsidRPr="00F92A4A" w:rsidRDefault="006B542A" w:rsidP="0060211A">
      <w:pPr>
        <w:pStyle w:val="Titre1"/>
        <w:numPr>
          <w:ilvl w:val="0"/>
          <w:numId w:val="0"/>
        </w:numPr>
        <w:ind w:left="360"/>
      </w:pPr>
      <w:bookmarkStart w:id="4" w:name="_Toc199498290"/>
      <w:r w:rsidRPr="00F92A4A">
        <w:t>Revues</w:t>
      </w:r>
      <w:bookmarkEnd w:id="4"/>
    </w:p>
    <w:p w14:paraId="0F1E5292" w14:textId="77777777" w:rsidR="00C51566" w:rsidRPr="00F92A4A" w:rsidRDefault="006B542A" w:rsidP="0063228F">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3228F">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sz w:val="24"/>
          <w:szCs w:val="24"/>
        </w:rPr>
        <w:id w:val="1127663214"/>
        <w:docPartObj>
          <w:docPartGallery w:val="Table of Contents"/>
          <w:docPartUnique/>
        </w:docPartObj>
      </w:sdtPr>
      <w:sdtEndPr>
        <w:rPr>
          <w:b w:val="0"/>
          <w:bCs w:val="0"/>
          <w:iCs w:val="0"/>
          <w:lang w:val="fr-FR"/>
        </w:rPr>
      </w:sdtEndPr>
      <w:sdtContent>
        <w:p w14:paraId="16C7AEDE" w14:textId="0C3E2317" w:rsidR="00B10556" w:rsidRPr="00F92A4A" w:rsidRDefault="00B10556" w:rsidP="0060211A">
          <w:pPr>
            <w:pStyle w:val="Titre1"/>
            <w:numPr>
              <w:ilvl w:val="0"/>
              <w:numId w:val="0"/>
            </w:numPr>
            <w:ind w:left="360"/>
          </w:pPr>
          <w:r w:rsidRPr="00F92A4A">
            <w:t xml:space="preserve">Table </w:t>
          </w:r>
          <w:r w:rsidR="004F71CF">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63228F">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63228F">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63228F">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63228F">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63228F">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63228F">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63228F">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63228F">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63228F">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63228F">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63228F">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63228F">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63228F">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63228F">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63228F">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63228F">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63228F">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63228F">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63228F">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63228F">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63228F">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63228F">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63228F">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63228F">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63228F">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63228F">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63228F">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63228F">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63228F">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63228F">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63228F">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63228F">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63228F">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63228F">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63228F">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63228F">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63228F">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63228F">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63228F">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63228F">
      <w:pPr>
        <w:pStyle w:val="Titre1"/>
        <w:numPr>
          <w:ilvl w:val="0"/>
          <w:numId w:val="3"/>
        </w:numPr>
      </w:pPr>
      <w:bookmarkStart w:id="6" w:name="_Toc8045440"/>
      <w:bookmarkStart w:id="7" w:name="_Toc199498292"/>
      <w:r w:rsidRPr="00F92A4A">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r w:rsidRPr="00890C20">
        <w:rPr>
          <w:i/>
          <w:iCs/>
          <w:highlight w:val="green"/>
          <w:lang w:val="en-GB"/>
        </w:rPr>
        <w:t>Solea solea</w:t>
      </w:r>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r w:rsidR="00C02798" w:rsidRPr="00890C20">
        <w:rPr>
          <w:highlight w:val="green"/>
          <w:lang w:val="en-GB"/>
        </w:rPr>
        <w:t>bioaccessibility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3B64611F"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(Gilliers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1815EC">
        <w:rPr>
          <w:highlight w:val="green"/>
          <w:lang w:val="en-GB"/>
        </w:rPr>
        <w:instrText xml:space="preserve"> ADDIN ZOTERO_ITEM CSL_CITATION {"citationID":"w7Xb9pvS","properties":{"formattedCitation":"(Loizeau, Abarnou and M\\uc0\\u233{}nesguen, 2001; van der Oost, Beyer and Vermeulen, 2003; Borg\\uc0\\u229{} {\\i{}et al.}, 2005; Arnot and Gobas, 2006)","plainCitation":"(Loizeau, Abarnou and Ménesguen, 2001; van der Oost, Beyer and Vermeulen, 2003; Borgå et al., 2005; Arnot and Gobas, 2006)","noteIndex":0},"citationItems":[{"id":746,"uris":["http://zotero.org/users/3305729/items/BK9XLG2R","http://zotero.org/users/3305729/items/4E4I8L42"],"itemData":{"id":746,"type":"article-journal","abstract":"Polychlorinated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1815EC" w:rsidRPr="001815EC">
        <w:rPr>
          <w:rFonts w:ascii="Calibri" w:hAnsi="Calibri" w:cs="Calibri"/>
          <w:szCs w:val="24"/>
          <w:lang w:val="en-US"/>
        </w:rPr>
        <w:t xml:space="preserve">(Loizeau, Abarnou and Ménesguen, 2001; van der Oost, Beyer and Vermeulen, 2003; Borgå </w:t>
      </w:r>
      <w:r w:rsidR="001815EC" w:rsidRPr="001815EC">
        <w:rPr>
          <w:rFonts w:ascii="Calibri" w:hAnsi="Calibri" w:cs="Calibri"/>
          <w:i/>
          <w:iCs/>
          <w:szCs w:val="24"/>
          <w:lang w:val="en-US"/>
        </w:rPr>
        <w:t>et al.</w:t>
      </w:r>
      <w:r w:rsidR="001815EC" w:rsidRPr="001815EC">
        <w:rPr>
          <w:rFonts w:ascii="Calibri" w:hAnsi="Calibri" w:cs="Calibri"/>
          <w:szCs w:val="24"/>
          <w:lang w:val="en-US"/>
        </w:rPr>
        <w:t>,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(i) </w:t>
      </w:r>
      <w:r w:rsidR="00182221" w:rsidRPr="00182221">
        <w:rPr>
          <w:highlight w:val="green"/>
          <w:lang w:val="en-GB"/>
        </w:rPr>
        <w:t>substances recently listed under the Stockholm Convention on POPs, such as perfluorooctane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3078A6E8"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EB325C">
        <w:rPr>
          <w:highlight w:val="green"/>
          <w:lang w:val="en-GB"/>
        </w:rPr>
        <w:instrText xml:space="preserve"> ADDIN ZOTERO_ITEM CSL_CITATION {"citationID":"XfP2E1X1","properties":{"formattedCitation":"(Loizeau, Abarnou and M\\uc0\\u233{}nesguen, 2001; Sch\\uc0\\u228{}fer {\\i{}et al.}, 2015; Fremlin, Elliott and Gobas, 2025)","plainCitation":"(Loizeau, Abarnou and Ménesguen, 2001; Schäfer et al., 2015; Fremlin, Elliott and Gobas, 2025)","noteIndex":0},"citationItems":[{"id":746,"uris":["http://zotero.org/users/3305729/items/BK9XLG2R","http://zotero.org/users/3305729/items/4E4I8L42"],"itemData":{"id":746,"type":"article-journal","abstract":"Polychlorinated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EB325C" w:rsidRPr="00EB325C">
        <w:rPr>
          <w:rFonts w:ascii="Calibri" w:hAnsi="Calibri" w:cs="Calibri"/>
          <w:szCs w:val="24"/>
        </w:rPr>
        <w:t xml:space="preserve">(Loizeau, Abarnou and Ménesguen, 2001; Schäfer </w:t>
      </w:r>
      <w:r w:rsidR="00EB325C" w:rsidRPr="00EB325C">
        <w:rPr>
          <w:rFonts w:ascii="Calibri" w:hAnsi="Calibri" w:cs="Calibri"/>
          <w:i/>
          <w:iCs/>
          <w:szCs w:val="24"/>
        </w:rPr>
        <w:t>et al.</w:t>
      </w:r>
      <w:r w:rsidR="00EB325C" w:rsidRPr="00EB325C">
        <w:rPr>
          <w:rFonts w:ascii="Calibri" w:hAnsi="Calibri" w:cs="Calibri"/>
          <w:szCs w:val="24"/>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BioMagnification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lastRenderedPageBreak/>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60211A">
      <w:pPr>
        <w:pStyle w:val="Titre"/>
      </w:pPr>
      <w:bookmarkStart w:id="8" w:name="_Toc199498293"/>
      <w:r w:rsidRPr="00F92A4A">
        <w:t>Materials and methods</w:t>
      </w:r>
      <w:bookmarkEnd w:id="8"/>
    </w:p>
    <w:p w14:paraId="4CD138D9" w14:textId="50771B50" w:rsidR="00F872D1" w:rsidRPr="00091EA9" w:rsidRDefault="00F872D1" w:rsidP="0060211A">
      <w:pPr>
        <w:pStyle w:val="Titre2"/>
        <w:rPr>
          <w:highlight w:val="green"/>
        </w:rPr>
      </w:pPr>
      <w:bookmarkStart w:id="9" w:name="_Toc199498294"/>
      <w:r w:rsidRPr="00091EA9">
        <w:rPr>
          <w:highlight w:val="green"/>
        </w:rPr>
        <w:t>Dataset</w:t>
      </w:r>
      <w:bookmarkEnd w:id="9"/>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r w:rsidRPr="00D94576">
        <w:rPr>
          <w:i/>
          <w:iCs/>
          <w:highlight w:val="green"/>
          <w:lang w:val="en-GB"/>
        </w:rPr>
        <w:t>Solea solea</w:t>
      </w:r>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r w:rsidR="002A3BDD">
        <w:rPr>
          <w:highlight w:val="green"/>
          <w:lang w:val="en-GB"/>
        </w:rPr>
        <w:t>totaling</w:t>
      </w:r>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and omnivor</w:t>
      </w:r>
      <w:r w:rsidR="002A3BDD">
        <w:rPr>
          <w:highlight w:val="green"/>
          <w:lang w:val="en-GB"/>
        </w:rPr>
        <w:t>y</w:t>
      </w:r>
      <w:r w:rsidR="009C29C7" w:rsidRPr="00D94576">
        <w:rPr>
          <w:highlight w:val="green"/>
          <w:lang w:val="en-GB"/>
        </w:rPr>
        <w:t>.</w:t>
      </w:r>
      <w:r w:rsidRPr="00D94576">
        <w:rPr>
          <w:highlight w:val="green"/>
          <w:lang w:val="en-GB"/>
        </w:rPr>
        <w:t xml:space="preserve"> </w:t>
      </w:r>
    </w:p>
    <w:p w14:paraId="06D06CBA" w14:textId="6B3CC158"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r w:rsidR="00F872D1" w:rsidRPr="00D94576">
        <w:rPr>
          <w:i/>
          <w:iCs/>
          <w:highlight w:val="green"/>
          <w:lang w:val="en-US"/>
        </w:rPr>
        <w:t>Solea solea</w:t>
      </w:r>
      <w:r w:rsidR="00F872D1" w:rsidRPr="00D94576">
        <w:rPr>
          <w:highlight w:val="green"/>
          <w:lang w:val="en-US"/>
        </w:rPr>
        <w:t xml:space="preserve"> analyzed for contaminants, along with their taxon, feeding mode,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B7468">
        <w:rPr>
          <w:highlight w:val="green"/>
          <w:lang w:val="en-US"/>
        </w:rPr>
        <w:t xml:space="preserve">, and </w:t>
      </w:r>
      <w:r w:rsidR="00FB7468">
        <w:rPr>
          <w:highlight w:val="green"/>
          <w:lang w:val="en-US"/>
        </w:rPr>
        <w:t>percentage in stomach content</w:t>
      </w:r>
      <w:r w:rsidR="00FB7468">
        <w:rPr>
          <w:highlight w:val="green"/>
          <w:lang w:val="en-US"/>
        </w:rPr>
        <w:t>s</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44185E" w:rsidRPr="00D94576" w14:paraId="0774BD93" w14:textId="532B05CD" w:rsidTr="0044185E">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44185E" w:rsidRPr="006941E4" w:rsidRDefault="0044185E" w:rsidP="00D9792E">
            <w:pPr>
              <w:pStyle w:val="Sansinterligne"/>
              <w:rPr>
                <w:rFonts w:cstheme="minorHAnsi"/>
                <w:sz w:val="18"/>
                <w:szCs w:val="18"/>
              </w:rPr>
            </w:pPr>
            <w:r w:rsidRPr="006941E4">
              <w:rPr>
                <w:rFonts w:cstheme="minorHAnsi"/>
                <w:sz w:val="18"/>
                <w:szCs w:val="18"/>
              </w:rPr>
              <w:t>Species</w:t>
            </w:r>
          </w:p>
        </w:tc>
        <w:tc>
          <w:tcPr>
            <w:tcW w:w="1244" w:type="dxa"/>
          </w:tcPr>
          <w:p w14:paraId="4B639804" w14:textId="77777777"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Feeding mode</w:t>
            </w:r>
          </w:p>
        </w:tc>
        <w:tc>
          <w:tcPr>
            <w:tcW w:w="1112" w:type="dxa"/>
          </w:tcPr>
          <w:p w14:paraId="0D40BBE3" w14:textId="5DDB3ED6"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Sample size</w:t>
            </w:r>
          </w:p>
        </w:tc>
        <w:tc>
          <w:tcPr>
            <w:tcW w:w="841" w:type="dxa"/>
          </w:tcPr>
          <w:p w14:paraId="07A5CAEE" w14:textId="12CC3B55"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c>
          <w:tcPr>
            <w:tcW w:w="1134" w:type="dxa"/>
          </w:tcPr>
          <w:p w14:paraId="348A7811" w14:textId="6F01345F" w:rsidR="0044185E"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stomach</w:t>
            </w:r>
          </w:p>
        </w:tc>
      </w:tr>
      <w:tr w:rsidR="0044185E" w:rsidRPr="00D94576" w14:paraId="00646BDE" w14:textId="3F2D01E9"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44185E" w:rsidRPr="006941E4" w:rsidRDefault="0044185E"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AF2A67" w14:textId="263F0220"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0.59</w:t>
            </w:r>
          </w:p>
        </w:tc>
      </w:tr>
      <w:tr w:rsidR="0044185E" w:rsidRPr="00D94576" w14:paraId="7F6CF18B" w14:textId="26FA7455" w:rsidTr="0044185E">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Cerastoderma edule</w:t>
            </w:r>
          </w:p>
        </w:tc>
        <w:tc>
          <w:tcPr>
            <w:tcW w:w="1244" w:type="dxa"/>
          </w:tcPr>
          <w:p w14:paraId="14043CF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Pr="006941E4">
              <w:rPr>
                <w:rFonts w:cstheme="minorHAnsi"/>
                <w:sz w:val="18"/>
                <w:szCs w:val="18"/>
              </w:rPr>
              <w:t>0%</w:t>
            </w:r>
          </w:p>
        </w:tc>
        <w:tc>
          <w:tcPr>
            <w:tcW w:w="993" w:type="dxa"/>
          </w:tcPr>
          <w:p w14:paraId="272105F6" w14:textId="5DAE52F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14D9C38" w14:textId="0D78908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1.51</w:t>
            </w:r>
          </w:p>
        </w:tc>
      </w:tr>
      <w:tr w:rsidR="0044185E" w:rsidRPr="00D94576" w14:paraId="6A8C05D1" w14:textId="496F0B27" w:rsidTr="0044185E">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Corbula gibba</w:t>
            </w:r>
          </w:p>
        </w:tc>
        <w:tc>
          <w:tcPr>
            <w:tcW w:w="1244" w:type="dxa"/>
          </w:tcPr>
          <w:p w14:paraId="464017B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40BA5EB" w14:textId="35E37F67" w:rsidR="0044185E"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FE732B2" w14:textId="0DE8FE8B" w:rsidTr="0044185E">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Donax vittatus</w:t>
            </w:r>
          </w:p>
        </w:tc>
        <w:tc>
          <w:tcPr>
            <w:tcW w:w="1244" w:type="dxa"/>
          </w:tcPr>
          <w:p w14:paraId="4EFE916C"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E79C9A0" w14:textId="739B552D"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9C1801E" w14:textId="6138E2A1" w:rsidTr="0044185E">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Ensis directus</w:t>
            </w:r>
          </w:p>
        </w:tc>
        <w:tc>
          <w:tcPr>
            <w:tcW w:w="1244" w:type="dxa"/>
          </w:tcPr>
          <w:p w14:paraId="21CA2B4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5E5B1CB8" w14:textId="291F997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738E992C" w14:textId="68699DB3" w:rsidTr="0044185E">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Limecola balthica</w:t>
            </w:r>
          </w:p>
        </w:tc>
        <w:tc>
          <w:tcPr>
            <w:tcW w:w="1244" w:type="dxa"/>
          </w:tcPr>
          <w:p w14:paraId="276F624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4461B5F7"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36D3DA95" w14:textId="4108E651"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17E9D4D1" w14:textId="787557F3" w:rsidTr="0044185E">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Nucula nitidosa</w:t>
            </w:r>
          </w:p>
        </w:tc>
        <w:tc>
          <w:tcPr>
            <w:tcW w:w="1244" w:type="dxa"/>
          </w:tcPr>
          <w:p w14:paraId="01010F88"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2420C31C"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8BBEC9A" w14:textId="3416DE9A" w:rsidR="0044185E"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0.03</w:t>
            </w:r>
          </w:p>
        </w:tc>
      </w:tr>
      <w:tr w:rsidR="0044185E" w:rsidRPr="00D94576" w14:paraId="3CAA0829" w14:textId="6C70BC5D" w:rsidTr="0044185E">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Scrobicularia plana</w:t>
            </w:r>
          </w:p>
        </w:tc>
        <w:tc>
          <w:tcPr>
            <w:tcW w:w="1244" w:type="dxa"/>
          </w:tcPr>
          <w:p w14:paraId="162E9EF4"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026D783A"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3BF7359F" w14:textId="1ED1C59B" w:rsidR="0044185E"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9C8435C" w14:textId="15D0D5BA" w:rsidTr="0044185E">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Spisula subtruncata</w:t>
            </w:r>
          </w:p>
        </w:tc>
        <w:tc>
          <w:tcPr>
            <w:tcW w:w="1244" w:type="dxa"/>
          </w:tcPr>
          <w:p w14:paraId="63D566D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07A4068F" w14:textId="6F6F6064" w:rsidR="0044185E" w:rsidRDefault="00FB7468"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70400FEC" w14:textId="3A9C4217" w:rsidTr="0044185E">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Corophium volutator</w:t>
            </w:r>
          </w:p>
        </w:tc>
        <w:tc>
          <w:tcPr>
            <w:tcW w:w="1244" w:type="dxa"/>
          </w:tcPr>
          <w:p w14:paraId="3FF10840" w14:textId="6B37124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CD64AB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63FCB1DB"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7A0314B" w14:textId="6C6DDCE8"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11.46</w:t>
            </w:r>
          </w:p>
        </w:tc>
      </w:tr>
      <w:tr w:rsidR="0044185E" w:rsidRPr="00D94576" w14:paraId="4BC1E40E" w14:textId="778FC1EA" w:rsidTr="0044185E">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Crangon crangon</w:t>
            </w:r>
          </w:p>
        </w:tc>
        <w:tc>
          <w:tcPr>
            <w:tcW w:w="1244" w:type="dxa"/>
          </w:tcPr>
          <w:p w14:paraId="46E9C4A1" w14:textId="071DFA4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1292544"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10F2CA3" w14:textId="2DE633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1.59</w:t>
            </w:r>
          </w:p>
        </w:tc>
      </w:tr>
      <w:tr w:rsidR="0044185E" w:rsidRPr="00D94576" w14:paraId="1B342A9B" w14:textId="1E304228" w:rsidTr="0044185E">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Hediste diversicolor</w:t>
            </w:r>
          </w:p>
        </w:tc>
        <w:tc>
          <w:tcPr>
            <w:tcW w:w="1244" w:type="dxa"/>
          </w:tcPr>
          <w:p w14:paraId="671121A0" w14:textId="1BB5613E"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1743E91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66C34F" w14:textId="28544E43"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4341768" w14:textId="4D5F922D" w:rsidTr="0044185E">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Lagis koreni</w:t>
            </w:r>
          </w:p>
        </w:tc>
        <w:tc>
          <w:tcPr>
            <w:tcW w:w="1244" w:type="dxa"/>
          </w:tcPr>
          <w:p w14:paraId="00742E2C" w14:textId="291ACF8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041BF58D"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3FA7D21A"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677B870" w14:textId="1A0797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0.53</w:t>
            </w:r>
          </w:p>
        </w:tc>
      </w:tr>
      <w:tr w:rsidR="0044185E" w:rsidRPr="00D94576" w14:paraId="3A5D205B" w14:textId="19EB96B4" w:rsidTr="0044185E">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Lanice conchilega</w:t>
            </w:r>
          </w:p>
        </w:tc>
        <w:tc>
          <w:tcPr>
            <w:tcW w:w="1244" w:type="dxa"/>
          </w:tcPr>
          <w:p w14:paraId="33F733EC" w14:textId="5E048D0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2D8FBC7A"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7E3E62B1"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E012E16" w14:textId="52024B84"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0.18</w:t>
            </w:r>
          </w:p>
        </w:tc>
      </w:tr>
      <w:tr w:rsidR="0044185E" w:rsidRPr="00D94576" w14:paraId="17F41A24" w14:textId="0E51F2C3"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Nephtys sp.</w:t>
            </w:r>
          </w:p>
        </w:tc>
        <w:tc>
          <w:tcPr>
            <w:tcW w:w="1244" w:type="dxa"/>
          </w:tcPr>
          <w:p w14:paraId="52A75B3F" w14:textId="4826F693"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79646F9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8DAE48C" w14:textId="786FDC55"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1C89B306" w14:textId="007EDA88" w:rsidTr="0044185E">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Owenia fusiformis</w:t>
            </w:r>
          </w:p>
        </w:tc>
        <w:tc>
          <w:tcPr>
            <w:tcW w:w="1244" w:type="dxa"/>
          </w:tcPr>
          <w:p w14:paraId="0B9DE115" w14:textId="1765CA5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42D08F49"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D9236B3" w14:textId="42EE25B9"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0.44</w:t>
            </w:r>
          </w:p>
        </w:tc>
      </w:tr>
      <w:tr w:rsidR="0044185E" w:rsidRPr="00D94576" w14:paraId="1F463DC6" w14:textId="0D4939B6"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44185E" w:rsidRPr="006941E4" w:rsidRDefault="0044185E" w:rsidP="00EC3F80">
            <w:pPr>
              <w:pStyle w:val="Sansinterligne"/>
              <w:rPr>
                <w:rFonts w:cstheme="minorHAnsi"/>
                <w:i/>
                <w:iCs/>
                <w:sz w:val="18"/>
                <w:szCs w:val="18"/>
              </w:rPr>
            </w:pPr>
            <w:r w:rsidRPr="006941E4">
              <w:rPr>
                <w:rFonts w:cstheme="minorHAnsi"/>
                <w:i/>
                <w:iCs/>
                <w:sz w:val="18"/>
                <w:szCs w:val="18"/>
              </w:rPr>
              <w:t>Solea solea</w:t>
            </w:r>
          </w:p>
        </w:tc>
        <w:tc>
          <w:tcPr>
            <w:tcW w:w="1244" w:type="dxa"/>
          </w:tcPr>
          <w:p w14:paraId="68E6FD55" w14:textId="61C725E4"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Actinopterygii</w:t>
            </w:r>
          </w:p>
        </w:tc>
        <w:tc>
          <w:tcPr>
            <w:tcW w:w="1662" w:type="dxa"/>
          </w:tcPr>
          <w:p w14:paraId="00918857" w14:textId="3BEB10FD"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4D37C170" w14:textId="757D2DF6" w:rsidR="0044185E"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NA</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54CFEDF" w:rsidR="00D94576" w:rsidRPr="007B3B74" w:rsidRDefault="00D94576" w:rsidP="00B364F5">
      <w:pPr>
        <w:rPr>
          <w:highlight w:val="green"/>
          <w:lang w:val="en-US"/>
        </w:rPr>
      </w:pPr>
      <w:r w:rsidRPr="00D94576">
        <w:rPr>
          <w:highlight w:val="green"/>
          <w:lang w:val="en-GB"/>
        </w:rPr>
        <w:lastRenderedPageBreak/>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w:t>
      </w:r>
      <w:r w:rsidR="00681046">
        <w:rPr>
          <w:highlight w:val="green"/>
          <w:lang w:val="en-GB"/>
        </w:rPr>
        <w:t xml:space="preserve">taxonomic </w:t>
      </w:r>
      <w:r w:rsidRPr="00D94576">
        <w:rPr>
          <w:highlight w:val="green"/>
          <w:lang w:val="en-GB"/>
        </w:rPr>
        <w:t xml:space="preserve">group, divided by the total number of identified </w:t>
      </w:r>
      <w:r w:rsidRPr="00681046">
        <w:rPr>
          <w:highlight w:val="green"/>
          <w:lang w:val="en-GB"/>
        </w:rPr>
        <w:t>prey</w:t>
      </w:r>
      <w:r w:rsidR="007B3B74">
        <w:rPr>
          <w:highlight w:val="green"/>
          <w:lang w:val="en-GB"/>
        </w:rPr>
        <w:t xml:space="preserve"> individuals</w:t>
      </w:r>
      <w:r w:rsidRPr="00681046">
        <w:rPr>
          <w:highlight w:val="green"/>
          <w:lang w:val="en-GB"/>
        </w:rPr>
        <w:t>.</w:t>
      </w:r>
      <w:r w:rsidR="00681046" w:rsidRPr="00681046">
        <w:rPr>
          <w:highlight w:val="green"/>
          <w:lang w:val="en-US"/>
        </w:rPr>
        <w:t xml:space="preserve"> </w:t>
      </w:r>
      <w:r w:rsidR="00681046" w:rsidRPr="00681046">
        <w:rPr>
          <w:highlight w:val="green"/>
          <w:lang w:val="en-US"/>
        </w:rPr>
        <w:t xml:space="preserve">The resulting diet composition consisted of </w:t>
      </w:r>
      <w:r w:rsidR="00035095">
        <w:rPr>
          <w:highlight w:val="green"/>
          <w:lang w:val="en-US"/>
        </w:rPr>
        <w:t>51</w:t>
      </w:r>
      <w:r w:rsidR="00035095" w:rsidRPr="00681046">
        <w:rPr>
          <w:highlight w:val="green"/>
          <w:lang w:val="en-US"/>
        </w:rPr>
        <w:t xml:space="preserve">% arthropods, </w:t>
      </w:r>
      <w:r w:rsidR="00035095">
        <w:rPr>
          <w:highlight w:val="green"/>
          <w:lang w:val="en-US"/>
        </w:rPr>
        <w:t>33</w:t>
      </w:r>
      <w:r w:rsidR="00681046" w:rsidRPr="00681046">
        <w:rPr>
          <w:highlight w:val="green"/>
          <w:lang w:val="en-US"/>
        </w:rPr>
        <w:t xml:space="preserve">% annelids, and </w:t>
      </w:r>
      <w:r w:rsidR="00035095">
        <w:rPr>
          <w:highlight w:val="green"/>
          <w:lang w:val="en-US"/>
        </w:rPr>
        <w:t>16</w:t>
      </w:r>
      <w:r w:rsidR="00681046" w:rsidRPr="00681046">
        <w:rPr>
          <w:highlight w:val="green"/>
          <w:lang w:val="en-US"/>
        </w:rPr>
        <w:t>% molluscs.</w:t>
      </w:r>
      <w:r w:rsidR="007B3B74">
        <w:rPr>
          <w:lang w:val="en-US"/>
        </w:rPr>
        <w:t xml:space="preserve"> </w:t>
      </w:r>
      <w:r w:rsidR="007B3B74" w:rsidRPr="007B3B74">
        <w:rPr>
          <w:highlight w:val="green"/>
          <w:lang w:val="en-US"/>
        </w:rPr>
        <w:t xml:space="preserve">The diet composition by taxonomic class is represented in </w:t>
      </w:r>
      <w:r w:rsidR="007B3B74" w:rsidRPr="007B3B74">
        <w:rPr>
          <w:highlight w:val="green"/>
          <w:lang w:val="en-US"/>
        </w:rPr>
        <w:fldChar w:fldCharType="begin"/>
      </w:r>
      <w:r w:rsidR="007B3B74" w:rsidRPr="007B3B74">
        <w:rPr>
          <w:highlight w:val="green"/>
          <w:lang w:val="en-US"/>
        </w:rPr>
        <w:instrText xml:space="preserve"> REF _Ref200958565 \h </w:instrText>
      </w:r>
      <w:r w:rsidR="007B3B74" w:rsidRPr="007B3B74">
        <w:rPr>
          <w:highlight w:val="green"/>
          <w:lang w:val="en-US"/>
        </w:rPr>
      </w:r>
      <w:r w:rsidR="007B3B74">
        <w:rPr>
          <w:highlight w:val="green"/>
          <w:lang w:val="en-US"/>
        </w:rPr>
        <w:instrText xml:space="preserve"> \* MERGEFORMAT </w:instrText>
      </w:r>
      <w:r w:rsidR="007B3B74" w:rsidRPr="007B3B74">
        <w:rPr>
          <w:highlight w:val="green"/>
          <w:lang w:val="en-US"/>
        </w:rPr>
        <w:fldChar w:fldCharType="separate"/>
      </w:r>
      <w:r w:rsidR="007B3B74" w:rsidRPr="007B3B74">
        <w:rPr>
          <w:highlight w:val="green"/>
          <w:lang w:val="en-US"/>
        </w:rPr>
        <w:t xml:space="preserve">Figure </w:t>
      </w:r>
      <w:r w:rsidR="007B3B74" w:rsidRPr="007B3B74">
        <w:rPr>
          <w:noProof/>
          <w:highlight w:val="green"/>
          <w:lang w:val="en-US"/>
        </w:rPr>
        <w:t>1</w:t>
      </w:r>
      <w:r w:rsidR="007B3B74" w:rsidRPr="007B3B74">
        <w:rPr>
          <w:highlight w:val="green"/>
          <w:lang w:val="en-US"/>
        </w:rPr>
        <w:fldChar w:fldCharType="end"/>
      </w:r>
      <w:r w:rsidR="007B3B74" w:rsidRPr="007B3B74">
        <w:rPr>
          <w:highlight w:val="green"/>
          <w:lang w:val="en-US"/>
        </w:rPr>
        <w:t xml:space="preserve"> and the detail by species can be found in the SI section 2.1.</w:t>
      </w:r>
      <w:r w:rsidRPr="007B3B74">
        <w:rPr>
          <w:vanish/>
          <w:highlight w:val="green"/>
          <w:lang w:val="en-GB"/>
        </w:rPr>
        <w:t>Haut du formulaire</w:t>
      </w:r>
    </w:p>
    <w:p w14:paraId="7268B81C" w14:textId="77777777" w:rsidR="00E50086" w:rsidRPr="007B3B74" w:rsidRDefault="00E50086" w:rsidP="00E50086">
      <w:pPr>
        <w:keepNext/>
        <w:rPr>
          <w:highlight w:val="green"/>
        </w:rPr>
      </w:pPr>
      <w:r w:rsidRPr="007B3B74">
        <w:rPr>
          <w:noProof/>
          <w:highlight w:val="green"/>
          <w:lang w:val="en-GB"/>
        </w:rPr>
        <w:drawing>
          <wp:inline distT="0" distB="0" distL="0" distR="0" wp14:anchorId="6F9DAA91" wp14:editId="2F5678AF">
            <wp:extent cx="5760508" cy="345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508" cy="3456305"/>
                    </a:xfrm>
                    <a:prstGeom prst="rect">
                      <a:avLst/>
                    </a:prstGeom>
                  </pic:spPr>
                </pic:pic>
              </a:graphicData>
            </a:graphic>
          </wp:inline>
        </w:drawing>
      </w:r>
    </w:p>
    <w:p w14:paraId="404EAA42" w14:textId="500AA918" w:rsidR="00E50086" w:rsidRPr="007B3B74" w:rsidRDefault="00E50086" w:rsidP="00E50086">
      <w:pPr>
        <w:pStyle w:val="Lgende"/>
        <w:rPr>
          <w:highlight w:val="green"/>
          <w:lang w:val="en-US"/>
        </w:rPr>
      </w:pPr>
      <w:bookmarkStart w:id="15" w:name="_Ref200958565"/>
      <w:r w:rsidRPr="007B3B74">
        <w:rPr>
          <w:highlight w:val="green"/>
          <w:lang w:val="en-US"/>
        </w:rPr>
        <w:t xml:space="preserve">Figure </w:t>
      </w:r>
      <w:r w:rsidRPr="007B3B74">
        <w:rPr>
          <w:highlight w:val="green"/>
        </w:rPr>
        <w:fldChar w:fldCharType="begin"/>
      </w:r>
      <w:r w:rsidRPr="007B3B74">
        <w:rPr>
          <w:highlight w:val="green"/>
          <w:lang w:val="en-US"/>
        </w:rPr>
        <w:instrText xml:space="preserve"> SEQ Figure \* ARABIC </w:instrText>
      </w:r>
      <w:r w:rsidRPr="007B3B74">
        <w:rPr>
          <w:highlight w:val="green"/>
        </w:rPr>
        <w:fldChar w:fldCharType="separate"/>
      </w:r>
      <w:r w:rsidRPr="007B3B74">
        <w:rPr>
          <w:noProof/>
          <w:highlight w:val="green"/>
          <w:lang w:val="en-US"/>
        </w:rPr>
        <w:t>1</w:t>
      </w:r>
      <w:r w:rsidRPr="007B3B74">
        <w:rPr>
          <w:highlight w:val="green"/>
        </w:rPr>
        <w:fldChar w:fldCharType="end"/>
      </w:r>
      <w:bookmarkEnd w:id="15"/>
      <w:r w:rsidRPr="007B3B74">
        <w:rPr>
          <w:highlight w:val="green"/>
          <w:lang w:val="en-US"/>
        </w:rPr>
        <w:t xml:space="preserve"> – Diet composition in taxonomic classes for those above 2% in the diet.</w:t>
      </w:r>
    </w:p>
    <w:p w14:paraId="335B9E60" w14:textId="6C131E48" w:rsidR="00443B00" w:rsidRPr="00B364F5" w:rsidRDefault="00D44793" w:rsidP="00EA6329">
      <w:pPr>
        <w:pStyle w:val="Titre3"/>
        <w:rPr>
          <w:highlight w:val="green"/>
        </w:rPr>
      </w:pPr>
      <w:bookmarkStart w:id="16" w:name="_Toc199498297"/>
      <w:r w:rsidRPr="00B364F5">
        <w:rPr>
          <w:highlight w:val="green"/>
        </w:rPr>
        <w:t>Chemical</w:t>
      </w:r>
      <w:bookmarkEnd w:id="16"/>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organohalogenated compounds: PCBs</w:t>
      </w:r>
      <w:r w:rsidR="00E94CF0">
        <w:rPr>
          <w:highlight w:val="green"/>
          <w:lang w:val="en-GB"/>
        </w:rPr>
        <w:t xml:space="preserve"> and </w:t>
      </w:r>
      <w:r w:rsidRPr="00B364F5">
        <w:rPr>
          <w:highlight w:val="green"/>
          <w:lang w:val="en-GB"/>
        </w:rPr>
        <w:t>PFASs (see SI section 1.2.1 for the presentation of use and reglementation).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w:t>
      </w:r>
      <w:commentRangeStart w:id="17"/>
      <w:r w:rsidR="00D42BD8" w:rsidRPr="00B364F5">
        <w:rPr>
          <w:highlight w:val="green"/>
          <w:lang w:val="en-GB"/>
        </w:rPr>
        <w:t xml:space="preserve">section </w:t>
      </w:r>
      <w:r w:rsidR="000C1554" w:rsidRPr="00B364F5">
        <w:rPr>
          <w:highlight w:val="green"/>
          <w:lang w:val="en-GB"/>
        </w:rPr>
        <w:t>1.2.3</w:t>
      </w:r>
      <w:commentRangeEnd w:id="17"/>
      <w:r w:rsidR="007B3B74">
        <w:rPr>
          <w:rStyle w:val="Marquedecommentaire"/>
          <w:rFonts w:eastAsia="Batang" w:cs="Arial"/>
          <w:color w:val="000000"/>
          <w:lang w:eastAsia="fr-FR"/>
        </w:rPr>
        <w:commentReference w:id="17"/>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5B2E09FD"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00DB5D45">
        <w:rPr>
          <w:highlight w:val="green"/>
          <w:lang w:val="en-GB"/>
        </w:rPr>
        <w:t>, the list of the 26 compounds can be found in SI section 1.2.2</w:t>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(dw), ensuring comparability across species despite differences in moisture content. </w:t>
      </w:r>
      <w:r w:rsidR="00236F1B" w:rsidRPr="00B364F5">
        <w:rPr>
          <w:highlight w:val="green"/>
          <w:lang w:val="en-GB"/>
        </w:rPr>
        <w:lastRenderedPageBreak/>
        <w:t xml:space="preserve">Additionally, lipid content was quantified as it is preferable to express contamination levels on a lipid weight basis (ng/g lipid weight lw),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(Fremlin, Elliott, and Gobas,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/g for each normalisation ww, dw and lw</w:t>
      </w:r>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295FD512"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F940CE">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3ABC31FE" w:rsidR="000D3C64" w:rsidRPr="00B364F5" w:rsidRDefault="006941E4" w:rsidP="006941E4">
      <w:pPr>
        <w:pStyle w:val="Lgende"/>
        <w:rPr>
          <w:highlight w:val="green"/>
          <w:lang w:val="en-GB"/>
        </w:rPr>
      </w:pPr>
      <w:bookmarkStart w:id="18"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8"/>
      <w:r w:rsidR="000D3C64" w:rsidRPr="00B364F5">
        <w:rPr>
          <w:highlight w:val="green"/>
          <w:lang w:val="en-US"/>
        </w:rPr>
        <w:t xml:space="preserve"> – List of PFASs searched i</w:t>
      </w:r>
      <w:r w:rsidR="000D3C64" w:rsidRPr="00B364F5">
        <w:rPr>
          <w:highlight w:val="green"/>
          <w:lang w:val="en-GB"/>
        </w:rPr>
        <w:t>n benthic preys and sole juveniles’ samples</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496875"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41755D" w:rsidRPr="00496875"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nC</w:t>
            </w:r>
          </w:p>
        </w:tc>
        <w:tc>
          <w:tcPr>
            <w:tcW w:w="520"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41755D" w:rsidRPr="00496875"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496875" w:rsidRDefault="00DB5D45" w:rsidP="00BC3004">
            <w:pPr>
              <w:pStyle w:val="Sansinterligne"/>
              <w:rPr>
                <w:lang w:val="en-US" w:eastAsia="fr-FR"/>
              </w:rPr>
            </w:pPr>
            <w:r w:rsidRPr="00496875">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21B1514" w14:textId="2BB2B2B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PFNA</w:t>
            </w:r>
          </w:p>
        </w:tc>
        <w:tc>
          <w:tcPr>
            <w:tcW w:w="1668" w:type="pct"/>
            <w:vAlign w:val="center"/>
          </w:tcPr>
          <w:p w14:paraId="5E070C7E" w14:textId="1DAC3AB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41B1652E" w14:textId="7355643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9</w:t>
            </w:r>
          </w:p>
        </w:tc>
        <w:tc>
          <w:tcPr>
            <w:tcW w:w="520" w:type="pct"/>
            <w:shd w:val="clear" w:color="auto" w:fill="auto"/>
            <w:vAlign w:val="bottom"/>
          </w:tcPr>
          <w:p w14:paraId="4D837B77" w14:textId="3D3B11EC"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91</w:t>
            </w:r>
          </w:p>
        </w:tc>
        <w:tc>
          <w:tcPr>
            <w:tcW w:w="626" w:type="pct"/>
            <w:shd w:val="clear" w:color="auto" w:fill="auto"/>
            <w:vAlign w:val="bottom"/>
          </w:tcPr>
          <w:p w14:paraId="48245155" w14:textId="2BD1FF0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C4F54AA" w14:textId="4239D5E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93</w:t>
            </w:r>
          </w:p>
        </w:tc>
      </w:tr>
      <w:tr w:rsidR="0041755D" w:rsidRPr="00496875"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PFUnDA</w:t>
            </w:r>
          </w:p>
        </w:tc>
        <w:tc>
          <w:tcPr>
            <w:tcW w:w="1668" w:type="pct"/>
            <w:vAlign w:val="center"/>
          </w:tcPr>
          <w:p w14:paraId="2C907874" w14:textId="1A6EC17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296FDB2D" w14:textId="26004EA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11</w:t>
            </w:r>
          </w:p>
        </w:tc>
        <w:tc>
          <w:tcPr>
            <w:tcW w:w="520" w:type="pct"/>
            <w:shd w:val="clear" w:color="auto" w:fill="auto"/>
            <w:vAlign w:val="bottom"/>
          </w:tcPr>
          <w:p w14:paraId="43382204" w14:textId="3E0C553F"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9</w:t>
            </w:r>
          </w:p>
        </w:tc>
        <w:tc>
          <w:tcPr>
            <w:tcW w:w="626" w:type="pct"/>
            <w:shd w:val="clear" w:color="auto" w:fill="auto"/>
            <w:vAlign w:val="bottom"/>
          </w:tcPr>
          <w:p w14:paraId="5B7DD708" w14:textId="7C90E88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PFDoDA</w:t>
            </w:r>
          </w:p>
        </w:tc>
        <w:tc>
          <w:tcPr>
            <w:tcW w:w="1668" w:type="pct"/>
            <w:tcBorders>
              <w:top w:val="none" w:sz="0" w:space="0" w:color="auto"/>
              <w:bottom w:val="none" w:sz="0" w:space="0" w:color="auto"/>
            </w:tcBorders>
            <w:vAlign w:val="center"/>
          </w:tcPr>
          <w:p w14:paraId="1B448BEB" w14:textId="5C98B79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242F73E6" w14:textId="69C7022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100</w:t>
            </w:r>
          </w:p>
        </w:tc>
      </w:tr>
      <w:tr w:rsidR="0041755D" w:rsidRPr="00496875"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PFTrDA</w:t>
            </w:r>
          </w:p>
        </w:tc>
        <w:tc>
          <w:tcPr>
            <w:tcW w:w="1668" w:type="pct"/>
            <w:vAlign w:val="center"/>
          </w:tcPr>
          <w:p w14:paraId="502082BF" w14:textId="09C055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36B8C258" w14:textId="32A7BCD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13</w:t>
            </w:r>
          </w:p>
        </w:tc>
        <w:tc>
          <w:tcPr>
            <w:tcW w:w="520" w:type="pct"/>
            <w:shd w:val="clear" w:color="auto" w:fill="auto"/>
            <w:vAlign w:val="bottom"/>
          </w:tcPr>
          <w:p w14:paraId="69047532" w14:textId="5B55F015"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2</w:t>
            </w:r>
          </w:p>
        </w:tc>
        <w:tc>
          <w:tcPr>
            <w:tcW w:w="626" w:type="pct"/>
            <w:shd w:val="clear" w:color="auto" w:fill="auto"/>
            <w:vAlign w:val="bottom"/>
          </w:tcPr>
          <w:p w14:paraId="6B10E716" w14:textId="2B650F1F"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87</w:t>
            </w:r>
          </w:p>
        </w:tc>
      </w:tr>
      <w:tr w:rsidR="0041755D" w:rsidRPr="00496875"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PFTeDA</w:t>
            </w:r>
          </w:p>
        </w:tc>
        <w:tc>
          <w:tcPr>
            <w:tcW w:w="1668" w:type="pct"/>
            <w:tcBorders>
              <w:top w:val="none" w:sz="0" w:space="0" w:color="auto"/>
              <w:bottom w:val="none" w:sz="0" w:space="0" w:color="auto"/>
            </w:tcBorders>
            <w:vAlign w:val="bottom"/>
          </w:tcPr>
          <w:p w14:paraId="08A2497D" w14:textId="485F1B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43AFF3AB" w14:textId="03AF10E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40</w:t>
            </w:r>
          </w:p>
        </w:tc>
      </w:tr>
      <w:tr w:rsidR="0041755D" w:rsidRPr="00496875"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496875" w:rsidRDefault="00DB5D45" w:rsidP="00BC3004">
            <w:pPr>
              <w:pStyle w:val="Sansinterligne"/>
              <w:rPr>
                <w:lang w:val="en-US" w:eastAsia="fr-FR"/>
              </w:rPr>
            </w:pPr>
            <w:r w:rsidRPr="00496875">
              <w:rPr>
                <w:lang w:val="en-US" w:eastAsia="fr-FR"/>
              </w:rPr>
              <w:t>PFSA</w:t>
            </w:r>
          </w:p>
        </w:tc>
        <w:tc>
          <w:tcPr>
            <w:tcW w:w="833" w:type="pct"/>
            <w:shd w:val="clear" w:color="auto" w:fill="auto"/>
            <w:noWrap/>
            <w:vAlign w:val="center"/>
            <w:hideMark/>
          </w:tcPr>
          <w:p w14:paraId="35A2445B" w14:textId="39046E5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668" w:type="pct"/>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416" w:type="pct"/>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4910E71A" w14:textId="2B1C621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shd w:val="clear" w:color="auto" w:fill="auto"/>
            <w:vAlign w:val="bottom"/>
          </w:tcPr>
          <w:p w14:paraId="287EBDFF" w14:textId="77777777"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668" w:type="pct"/>
            <w:tcBorders>
              <w:top w:val="none" w:sz="0" w:space="0" w:color="auto"/>
              <w:bottom w:val="none" w:sz="0" w:space="0" w:color="auto"/>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87</w:t>
            </w:r>
          </w:p>
        </w:tc>
      </w:tr>
      <w:tr w:rsidR="0041755D" w:rsidRPr="00496875"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833" w:type="pct"/>
            <w:shd w:val="clear" w:color="auto" w:fill="auto"/>
            <w:noWrap/>
            <w:vAlign w:val="center"/>
            <w:hideMark/>
          </w:tcPr>
          <w:p w14:paraId="5D30F483" w14:textId="6763568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w:t>
            </w:r>
          </w:p>
        </w:tc>
        <w:tc>
          <w:tcPr>
            <w:tcW w:w="1668" w:type="pct"/>
          </w:tcPr>
          <w:p w14:paraId="0D7746BE" w14:textId="12100D1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416" w:type="pct"/>
            <w:shd w:val="clear" w:color="auto" w:fill="auto"/>
          </w:tcPr>
          <w:p w14:paraId="24214C3D" w14:textId="3B21BB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2C768086" w14:textId="55313211"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1</w:t>
            </w:r>
          </w:p>
        </w:tc>
        <w:tc>
          <w:tcPr>
            <w:tcW w:w="626" w:type="pct"/>
            <w:shd w:val="clear" w:color="auto" w:fill="auto"/>
            <w:vAlign w:val="bottom"/>
          </w:tcPr>
          <w:p w14:paraId="592D6FA4" w14:textId="3E7E822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w:t>
            </w:r>
            <w:r w:rsidR="00893273" w:rsidRPr="0041755D">
              <w:rPr>
                <w:lang w:val="en-US" w:eastAsia="fr-FR"/>
              </w:rPr>
              <w:t>3</w:t>
            </w:r>
          </w:p>
        </w:tc>
      </w:tr>
      <w:tr w:rsidR="0041755D" w:rsidRPr="00496875"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496875" w:rsidRDefault="00DB5D45" w:rsidP="00DB5D45">
            <w:pPr>
              <w:pStyle w:val="Sansinterligne"/>
              <w:rPr>
                <w:lang w:val="en-US" w:eastAsia="fr-FR"/>
              </w:rPr>
            </w:pPr>
            <w:r w:rsidRPr="00496875">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EtFOSAA</w:t>
            </w:r>
          </w:p>
        </w:tc>
        <w:tc>
          <w:tcPr>
            <w:tcW w:w="1668" w:type="pct"/>
            <w:tcBorders>
              <w:top w:val="none" w:sz="0" w:space="0" w:color="auto"/>
              <w:bottom w:val="none" w:sz="0" w:space="0" w:color="auto"/>
            </w:tcBorders>
          </w:tcPr>
          <w:p w14:paraId="73A0D19D" w14:textId="2C3136A2"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r w:rsidRPr="00496875">
              <w:rPr>
                <w:vertAlign w:val="subscript"/>
                <w:lang w:val="en-US" w:eastAsia="fr-FR"/>
              </w:rPr>
              <w:t>5</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73</w:t>
            </w:r>
          </w:p>
        </w:tc>
      </w:tr>
      <w:tr w:rsidR="0041755D" w:rsidRPr="00496875"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496875" w:rsidRDefault="00DB5D45" w:rsidP="00DB5D45">
            <w:pPr>
              <w:pStyle w:val="Sansinterligne"/>
              <w:rPr>
                <w:lang w:val="en-US" w:eastAsia="fr-FR"/>
              </w:rPr>
            </w:pPr>
            <w:r w:rsidRPr="00496875">
              <w:rPr>
                <w:lang w:val="en-US" w:eastAsia="fr-FR"/>
              </w:rPr>
              <w:t>FTS</w:t>
            </w:r>
          </w:p>
        </w:tc>
        <w:tc>
          <w:tcPr>
            <w:tcW w:w="833" w:type="pct"/>
            <w:shd w:val="clear" w:color="auto" w:fill="auto"/>
            <w:noWrap/>
            <w:vAlign w:val="center"/>
            <w:hideMark/>
          </w:tcPr>
          <w:p w14:paraId="226B75A6" w14:textId="0909E36C"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8:2-FTS</w:t>
            </w:r>
            <w:r>
              <w:rPr>
                <w:lang w:val="en-US" w:eastAsia="fr-FR"/>
              </w:rPr>
              <w:t>A</w:t>
            </w:r>
          </w:p>
        </w:tc>
        <w:tc>
          <w:tcPr>
            <w:tcW w:w="1668" w:type="pct"/>
          </w:tcPr>
          <w:p w14:paraId="0A6AE533" w14:textId="4F827ABA"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416" w:type="pct"/>
            <w:shd w:val="clear" w:color="auto" w:fill="auto"/>
          </w:tcPr>
          <w:p w14:paraId="32AAEB19" w14:textId="5BAB1C0B"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6209DD2B" w14:textId="77BA851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71</w:t>
            </w:r>
          </w:p>
        </w:tc>
        <w:tc>
          <w:tcPr>
            <w:tcW w:w="626" w:type="pct"/>
            <w:shd w:val="clear" w:color="auto" w:fill="auto"/>
            <w:vAlign w:val="bottom"/>
          </w:tcPr>
          <w:p w14:paraId="2F76B894" w14:textId="7EA9308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40</w:t>
            </w:r>
          </w:p>
        </w:tc>
      </w:tr>
    </w:tbl>
    <w:p w14:paraId="66932493" w14:textId="77777777" w:rsidR="000D3C64" w:rsidRPr="00B364F5" w:rsidRDefault="000D3C64" w:rsidP="000D3C64">
      <w:pPr>
        <w:rPr>
          <w:highlight w:val="green"/>
          <w:lang w:val="en-US"/>
        </w:rPr>
      </w:pPr>
    </w:p>
    <w:p w14:paraId="35EF0234" w14:textId="351A4995" w:rsidR="000D3C64" w:rsidRPr="00B364F5" w:rsidRDefault="00A970A3" w:rsidP="00A970A3">
      <w:pPr>
        <w:pStyle w:val="Lgende"/>
        <w:rPr>
          <w:highlight w:val="green"/>
          <w:lang w:val="en-GB"/>
        </w:rPr>
      </w:pPr>
      <w:bookmarkStart w:id="19"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9"/>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 xml:space="preserve">Octanol-water partition coefficients (logKow)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Detection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log Kow</w:t>
            </w:r>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preys</w:t>
            </w:r>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4C85B5A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4097211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00DE0DA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61BEC1BE"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6E1B7C73"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2F8238B2"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31C5D45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0D6EDE2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14C3C0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14A7C08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029272D6"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474C2328"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4EED7DD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08017674"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3B29EF5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52CFED71"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Hepta-CB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0DD4E62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3B8E9221"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lastRenderedPageBreak/>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6788D0A8"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60211A">
      <w:pPr>
        <w:pStyle w:val="Titre2"/>
        <w:rPr>
          <w:highlight w:val="green"/>
        </w:rPr>
      </w:pPr>
      <w:bookmarkStart w:id="20" w:name="_Toc199498298"/>
      <w:r w:rsidRPr="00091EA9">
        <w:rPr>
          <w:highlight w:val="green"/>
        </w:rPr>
        <w:t>M</w:t>
      </w:r>
      <w:r w:rsidR="00DC46DA" w:rsidRPr="00091EA9">
        <w:rPr>
          <w:highlight w:val="green"/>
        </w:rPr>
        <w:t>agnification</w:t>
      </w:r>
      <w:r w:rsidR="00034C9D" w:rsidRPr="00091EA9">
        <w:rPr>
          <w:highlight w:val="green"/>
        </w:rPr>
        <w:t xml:space="preserve"> factors</w:t>
      </w:r>
      <w:bookmarkEnd w:id="20"/>
      <w:r w:rsidR="00091EA9" w:rsidRPr="00091EA9">
        <w:rPr>
          <w:highlight w:val="green"/>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lw) for PCBs, and dry weight-normalized values (in ng/g dw)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21" w:name="_Toc199498299"/>
      <w:r w:rsidRPr="00E00913">
        <w:rPr>
          <w:highlight w:val="green"/>
          <w:lang w:val="en-GB"/>
        </w:rPr>
        <w:t>BMF</w:t>
      </w:r>
      <w:bookmarkEnd w:id="21"/>
    </w:p>
    <w:p w14:paraId="5D930091" w14:textId="77777777" w:rsidR="00C10DB2" w:rsidRPr="00E00913" w:rsidRDefault="00B403E6" w:rsidP="007E56D5">
      <w:pPr>
        <w:rPr>
          <w:highlight w:val="green"/>
          <w:lang w:val="en-US"/>
        </w:rPr>
      </w:pPr>
      <w:r w:rsidRPr="00E00913">
        <w:rPr>
          <w:highlight w:val="green"/>
          <w:lang w:val="en-US"/>
        </w:rPr>
        <w:t xml:space="preserve">Estimating BMFs requires prior confirmation of trophic relationships between predator and prey species (Fremlin, Elliott, and Gobas,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r w:rsidRPr="00E00913">
        <w:rPr>
          <w:highlight w:val="green"/>
          <w:lang w:val="en-GB"/>
        </w:rPr>
        <w:t xml:space="preserve">logKow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r w:rsidR="00C76BC8" w:rsidRPr="00C76BC8">
        <w:rPr>
          <w:rFonts w:ascii="Consolas" w:hAnsi="Consolas"/>
          <w:sz w:val="20"/>
          <w:szCs w:val="20"/>
          <w:highlight w:val="green"/>
          <w:lang w:val="en-US"/>
        </w:rPr>
        <w:t>geom_smooth()</w:t>
      </w:r>
      <w:r w:rsidR="00C76BC8">
        <w:rPr>
          <w:highlight w:val="green"/>
          <w:lang w:val="en-US"/>
        </w:rPr>
        <w:t xml:space="preserve"> function from the ggplot2 package, employing the “lm”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63228F"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lastRenderedPageBreak/>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2D0D16CD" w:rsidR="005610BB" w:rsidRPr="00E00913" w:rsidRDefault="0063228F"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0945F898"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63228F">
      <w:pPr>
        <w:pStyle w:val="Titre3"/>
        <w:numPr>
          <w:ilvl w:val="2"/>
          <w:numId w:val="6"/>
        </w:numPr>
        <w:rPr>
          <w:highlight w:val="green"/>
          <w:lang w:val="en-GB"/>
        </w:rPr>
      </w:pPr>
      <w:bookmarkStart w:id="22"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2"/>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63228F"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3"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3"/>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w:t>
      </w:r>
      <w:r w:rsidR="00D13B98" w:rsidRPr="00DE4DEF">
        <w:rPr>
          <w:highlight w:val="green"/>
          <w:lang w:val="en-GB"/>
        </w:rPr>
        <w:lastRenderedPageBreak/>
        <w:t>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63228F"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0211A">
      <w:pPr>
        <w:pStyle w:val="Titre2"/>
        <w:rPr>
          <w:highlight w:val="green"/>
        </w:rPr>
      </w:pPr>
      <w:bookmarkStart w:id="24" w:name="_Toc199498301"/>
      <w:r w:rsidRPr="00B36DEC">
        <w:rPr>
          <w:highlight w:val="green"/>
        </w:rPr>
        <w:t xml:space="preserve">Accounting for </w:t>
      </w:r>
      <w:r w:rsidR="00091EA9" w:rsidRPr="00B36DEC">
        <w:rPr>
          <w:highlight w:val="green"/>
        </w:rPr>
        <w:t>left-censored</w:t>
      </w:r>
      <w:r w:rsidRPr="00B36DEC">
        <w:rPr>
          <w:highlight w:val="green"/>
        </w:rPr>
        <w:t xml:space="preserve"> concentrations</w:t>
      </w:r>
      <w:bookmarkEnd w:id="24"/>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 xml:space="preserve">(Borgå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Therefore, current recommendations 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(Helsel, 2006; Fremlin, Elliott and Gobas,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(Julian and Helsel,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r w:rsidR="00BC411A" w:rsidRPr="00B36DEC">
        <w:rPr>
          <w:i/>
          <w:iCs/>
          <w:highlight w:val="green"/>
          <w:lang w:val="en-GB"/>
        </w:rPr>
        <w:t>cen</w:t>
      </w:r>
      <w:r w:rsidR="00C958A2" w:rsidRPr="00B36DEC">
        <w:rPr>
          <w:i/>
          <w:iCs/>
          <w:highlight w:val="green"/>
          <w:lang w:val="en-GB"/>
        </w:rPr>
        <w:t>fit</w:t>
      </w:r>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r w:rsidR="00520DEB" w:rsidRPr="00B36DEC">
        <w:rPr>
          <w:i/>
          <w:iCs/>
          <w:highlight w:val="green"/>
          <w:lang w:val="en-GB"/>
        </w:rPr>
        <w:t>ros</w:t>
      </w:r>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60211A" w:rsidRDefault="00FA23AA" w:rsidP="0060211A">
      <w:pPr>
        <w:pStyle w:val="Titre1"/>
      </w:pPr>
      <w:bookmarkStart w:id="25" w:name="_Toc199498302"/>
      <w:r w:rsidRPr="0060211A">
        <w:t>Results</w:t>
      </w:r>
      <w:bookmarkEnd w:id="25"/>
    </w:p>
    <w:p w14:paraId="7E4FD2EB" w14:textId="2A214D1E" w:rsidR="00300972" w:rsidRPr="00E00913" w:rsidRDefault="00300972" w:rsidP="0060211A">
      <w:pPr>
        <w:pStyle w:val="Titre2"/>
        <w:rPr>
          <w:highlight w:val="green"/>
        </w:rPr>
      </w:pPr>
      <w:bookmarkStart w:id="26" w:name="_Toc199498303"/>
      <w:r w:rsidRPr="00E00913">
        <w:rPr>
          <w:highlight w:val="green"/>
        </w:rPr>
        <w:t>Contamination data</w:t>
      </w:r>
      <w:bookmarkEnd w:id="26"/>
    </w:p>
    <w:p w14:paraId="008F6944" w14:textId="2B8C194B" w:rsidR="00300972" w:rsidRPr="00E00913" w:rsidRDefault="00300972" w:rsidP="00300972">
      <w:pPr>
        <w:pStyle w:val="Titre3"/>
        <w:rPr>
          <w:highlight w:val="green"/>
          <w:lang w:val="en-US"/>
        </w:rPr>
      </w:pPr>
      <w:bookmarkStart w:id="27" w:name="_Toc199498304"/>
      <w:r w:rsidRPr="00E00913">
        <w:rPr>
          <w:highlight w:val="green"/>
          <w:lang w:val="en-US"/>
        </w:rPr>
        <w:t>Total levels of contamination</w:t>
      </w:r>
      <w:bookmarkEnd w:id="27"/>
    </w:p>
    <w:p w14:paraId="3117F032" w14:textId="75F6DCFA"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00554466" w:rsidRPr="00554466">
        <w:rPr>
          <w:highlight w:val="green"/>
          <w:lang w:val="en-US"/>
        </w:rPr>
        <w:t xml:space="preserve">Figure </w:t>
      </w:r>
      <w:r w:rsidR="00554466" w:rsidRPr="00554466">
        <w:rPr>
          <w:noProof/>
          <w:highlight w:val="green"/>
          <w:lang w:val="en-US"/>
        </w:rPr>
        <w:t>2</w:t>
      </w:r>
      <w:r w:rsidRPr="00941F23">
        <w:rPr>
          <w:noProof/>
          <w:highlight w:val="green"/>
        </w:rPr>
        <w:fldChar w:fldCharType="end"/>
      </w:r>
      <w:r w:rsidRPr="00941F23">
        <w:rPr>
          <w:noProof/>
          <w:highlight w:val="green"/>
          <w:lang w:val="en-US"/>
        </w:rPr>
        <w:t xml:space="preserve"> </w:t>
      </w:r>
      <w:r w:rsidRPr="00941F23">
        <w:rPr>
          <w:highlight w:val="green"/>
          <w:lang w:val="en-US"/>
        </w:rPr>
        <w:t>displays contaminant concentrations (ng/g dw), expressed as the sum per chemical family, in soles and the three prey taxa.</w:t>
      </w:r>
      <w:r>
        <w:rPr>
          <w:highlight w:val="green"/>
          <w:lang w:val="en-US"/>
        </w:rPr>
        <w:t xml:space="preserve"> Results are summarized hereafter and d</w:t>
      </w:r>
      <w:r w:rsidR="000C1554" w:rsidRPr="00B364F5">
        <w:rPr>
          <w:highlight w:val="green"/>
          <w:lang w:val="en-US"/>
        </w:rPr>
        <w:t xml:space="preserve">etailed results by contaminant </w:t>
      </w:r>
      <w:r w:rsidR="000C1554" w:rsidRPr="00B364F5">
        <w:rPr>
          <w:highlight w:val="green"/>
          <w:lang w:val="en-US"/>
        </w:rPr>
        <w:lastRenderedPageBreak/>
        <w:t>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77B51ECF" w:rsidR="00941F23" w:rsidRPr="00251C75" w:rsidRDefault="00941F23" w:rsidP="00941F23">
      <w:pPr>
        <w:pStyle w:val="Lgende"/>
        <w:rPr>
          <w:highlight w:val="green"/>
          <w:lang w:val="en-GB"/>
        </w:rPr>
      </w:pPr>
      <w:bookmarkStart w:id="28"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E50086">
        <w:rPr>
          <w:noProof/>
          <w:lang w:val="en-US"/>
        </w:rPr>
        <w:t>2</w:t>
      </w:r>
      <w:r>
        <w:fldChar w:fldCharType="end"/>
      </w:r>
      <w:bookmarkEnd w:id="28"/>
      <w:r w:rsidRPr="00941F23">
        <w:rPr>
          <w:lang w:val="en-US"/>
        </w:rPr>
        <w:t xml:space="preserve"> - </w:t>
      </w:r>
      <w:r w:rsidRPr="00941F23">
        <w:rPr>
          <w:highlight w:val="green"/>
          <w:lang w:val="en-US"/>
        </w:rPr>
        <w:t>Sum of contaminant families in soles and three benthic prey taxa (ng/g dw).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r w:rsidRPr="00B364F5">
        <w:rPr>
          <w:i/>
          <w:iCs/>
          <w:highlight w:val="green"/>
          <w:lang w:val="en-US"/>
        </w:rPr>
        <w:t>Limecola balthica</w:t>
      </w:r>
      <w:r w:rsidRPr="00B364F5">
        <w:rPr>
          <w:highlight w:val="green"/>
          <w:lang w:val="en-US"/>
        </w:rPr>
        <w:t xml:space="preserve">, which exhibits elevated PCB concentrations without any obvious explanatory factor. Interestingly, contamination levels in </w:t>
      </w:r>
      <w:r w:rsidRPr="00B364F5">
        <w:rPr>
          <w:i/>
          <w:iCs/>
          <w:highlight w:val="green"/>
          <w:lang w:val="en-US"/>
        </w:rPr>
        <w:t>Crangon crangon</w:t>
      </w:r>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63228F">
      <w:pPr>
        <w:pStyle w:val="Titre3"/>
        <w:numPr>
          <w:ilvl w:val="2"/>
          <w:numId w:val="5"/>
        </w:numPr>
        <w:rPr>
          <w:highlight w:val="green"/>
          <w:lang w:val="en-US"/>
        </w:rPr>
      </w:pPr>
      <w:bookmarkStart w:id="29" w:name="_Toc199498305"/>
      <w:r w:rsidRPr="00BB12AE">
        <w:rPr>
          <w:highlight w:val="green"/>
          <w:lang w:val="en-US"/>
        </w:rPr>
        <w:t xml:space="preserve">Relationship with lipid content </w:t>
      </w:r>
      <w:r>
        <w:rPr>
          <w:highlight w:val="green"/>
          <w:lang w:val="en-US"/>
        </w:rPr>
        <w:t>for PCB</w:t>
      </w:r>
      <w:bookmarkEnd w:id="29"/>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r w:rsidRPr="00B364F5">
        <w:rPr>
          <w:i/>
          <w:iCs/>
          <w:highlight w:val="green"/>
          <w:lang w:val="en-US"/>
        </w:rPr>
        <w:t>Crangon crangon</w:t>
      </w:r>
      <w:r w:rsidRPr="00B364F5">
        <w:rPr>
          <w:highlight w:val="green"/>
          <w:lang w:val="en-US"/>
        </w:rPr>
        <w:t xml:space="preserve"> exhibits highly variable lipid levels without corresponding increases in PCB contamination, whereas </w:t>
      </w:r>
      <w:r w:rsidRPr="00B364F5">
        <w:rPr>
          <w:i/>
          <w:iCs/>
          <w:highlight w:val="green"/>
          <w:lang w:val="en-US"/>
        </w:rPr>
        <w:t>Limecola balthica</w:t>
      </w:r>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30"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30"/>
    </w:p>
    <w:p w14:paraId="0905B085" w14:textId="57462995"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r w:rsidRPr="0070114B">
        <w:rPr>
          <w:sz w:val="24"/>
          <w:szCs w:val="24"/>
          <w:highlight w:val="green"/>
          <w:lang w:val="en-US"/>
        </w:rPr>
        <w:t xml:space="preserve">oles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00554466" w:rsidRPr="00554466">
        <w:rPr>
          <w:sz w:val="24"/>
          <w:szCs w:val="24"/>
          <w:highlight w:val="green"/>
          <w:lang w:val="en-US"/>
        </w:rPr>
        <w:t xml:space="preserve">Figure </w:t>
      </w:r>
      <w:r w:rsidR="00554466" w:rsidRPr="00554466">
        <w:rPr>
          <w:noProof/>
          <w:sz w:val="24"/>
          <w:szCs w:val="24"/>
          <w:highlight w:val="green"/>
          <w:lang w:val="en-US"/>
        </w:rPr>
        <w:t>3</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532C048" w:rsidR="00E34D0C" w:rsidRPr="0070114B" w:rsidRDefault="00E34D0C" w:rsidP="00E34D0C">
      <w:pPr>
        <w:pStyle w:val="Lgende"/>
        <w:rPr>
          <w:sz w:val="20"/>
          <w:szCs w:val="20"/>
          <w:highlight w:val="green"/>
          <w:lang w:val="en-GB"/>
        </w:rPr>
      </w:pPr>
      <w:bookmarkStart w:id="31"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E50086">
        <w:rPr>
          <w:noProof/>
          <w:sz w:val="20"/>
          <w:szCs w:val="20"/>
          <w:highlight w:val="green"/>
          <w:lang w:val="en-GB"/>
        </w:rPr>
        <w:t>3</w:t>
      </w:r>
      <w:r w:rsidR="00B012A9" w:rsidRPr="0070114B">
        <w:rPr>
          <w:sz w:val="20"/>
          <w:szCs w:val="20"/>
          <w:highlight w:val="green"/>
          <w:lang w:val="en-GB"/>
        </w:rPr>
        <w:fldChar w:fldCharType="end"/>
      </w:r>
      <w:bookmarkEnd w:id="31"/>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60211A">
      <w:pPr>
        <w:pStyle w:val="Titre2"/>
        <w:rPr>
          <w:highlight w:val="green"/>
        </w:rPr>
      </w:pPr>
      <w:bookmarkStart w:id="32" w:name="_Toc199498307"/>
      <w:r w:rsidRPr="00B233B1">
        <w:rPr>
          <w:highlight w:val="green"/>
        </w:rPr>
        <w:t>BMFs</w:t>
      </w:r>
      <w:r w:rsidR="0092793B" w:rsidRPr="00B233B1">
        <w:rPr>
          <w:highlight w:val="green"/>
        </w:rPr>
        <w:t xml:space="preserve"> for PCBs</w:t>
      </w:r>
      <w:bookmarkEnd w:id="32"/>
    </w:p>
    <w:p w14:paraId="4713078E" w14:textId="15201F20" w:rsidR="00292784" w:rsidRDefault="00E00913" w:rsidP="009A105D">
      <w:pPr>
        <w:pStyle w:val="Titre3"/>
        <w:rPr>
          <w:lang w:val="en-GB"/>
        </w:rPr>
      </w:pPr>
      <w:bookmarkStart w:id="33" w:name="_Hlk199258568"/>
      <w:bookmarkStart w:id="34" w:name="_Toc199498308"/>
      <w:r>
        <w:rPr>
          <w:highlight w:val="green"/>
          <w:lang w:val="en-GB"/>
        </w:rPr>
        <w:t>P</w:t>
      </w:r>
      <w:r w:rsidRPr="00E00913">
        <w:rPr>
          <w:highlight w:val="green"/>
          <w:lang w:val="en-GB"/>
        </w:rPr>
        <w:t xml:space="preserve">redator-prey BMF </w:t>
      </w:r>
      <w:bookmarkEnd w:id="33"/>
      <w:r w:rsidRPr="00E00913">
        <w:rPr>
          <w:highlight w:val="green"/>
          <w:lang w:val="en-GB"/>
        </w:rPr>
        <w:t>(BMF</w:t>
      </w:r>
      <w:r w:rsidRPr="00E00913">
        <w:rPr>
          <w:highlight w:val="green"/>
          <w:vertAlign w:val="subscript"/>
          <w:lang w:val="en-GB"/>
        </w:rPr>
        <w:t>PP</w:t>
      </w:r>
      <w:r w:rsidRPr="00E00913">
        <w:rPr>
          <w:highlight w:val="green"/>
          <w:lang w:val="en-GB"/>
        </w:rPr>
        <w:t>)</w:t>
      </w:r>
      <w:bookmarkEnd w:id="34"/>
      <w:r w:rsidRPr="00E00913">
        <w:rPr>
          <w:highlight w:val="green"/>
          <w:lang w:val="en-GB"/>
        </w:rPr>
        <w:t xml:space="preserve"> </w:t>
      </w:r>
    </w:p>
    <w:p w14:paraId="5BD8FDAD" w14:textId="6FC35FDC"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w:t>
      </w:r>
      <w:r w:rsidR="00DA77C2">
        <w:rPr>
          <w:highlight w:val="green"/>
          <w:lang w:val="en-US"/>
        </w:rPr>
        <w:t>the congener CB153</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554466" w:rsidRPr="002D207F">
        <w:rPr>
          <w:highlight w:val="green"/>
          <w:lang w:val="en-US"/>
        </w:rPr>
        <w:t xml:space="preserve">Figure </w:t>
      </w:r>
      <w:r w:rsidR="00554466">
        <w:rPr>
          <w:noProof/>
          <w:highlight w:val="green"/>
          <w:lang w:val="en-US"/>
        </w:rPr>
        <w:t>4</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C. volutator</w:t>
      </w:r>
      <w:r w:rsidR="008F268E" w:rsidRPr="002D207F">
        <w:rPr>
          <w:highlight w:val="green"/>
          <w:lang w:val="en-US"/>
        </w:rPr>
        <w:t xml:space="preserve"> suggests strong biodilution </w:t>
      </w:r>
      <w:r w:rsidR="00417BF0">
        <w:rPr>
          <w:highlight w:val="green"/>
          <w:lang w:val="en-US"/>
        </w:rPr>
        <w:t>(0.</w:t>
      </w:r>
      <w:r w:rsidR="00DA77C2">
        <w:rPr>
          <w:highlight w:val="green"/>
          <w:lang w:val="en-US"/>
        </w:rPr>
        <w:t>4</w:t>
      </w:r>
      <w:r w:rsidR="00417BF0">
        <w:rPr>
          <w:highlight w:val="green"/>
          <w:lang w:val="en-US"/>
        </w:rPr>
        <w:t>4</w:t>
      </w:r>
      <w:r w:rsidR="008F268E" w:rsidRPr="002D207F">
        <w:rPr>
          <w:highlight w:val="green"/>
          <w:lang w:val="en-US"/>
        </w:rPr>
        <w:t>[</w:t>
      </w:r>
      <w:r w:rsidR="00417BF0">
        <w:rPr>
          <w:highlight w:val="green"/>
          <w:lang w:val="en-US"/>
        </w:rPr>
        <w:t>0.</w:t>
      </w:r>
      <w:r w:rsidR="00DA77C2">
        <w:rPr>
          <w:highlight w:val="green"/>
          <w:lang w:val="en-US"/>
        </w:rPr>
        <w:t>35</w:t>
      </w:r>
      <w:r w:rsidR="008F268E" w:rsidRPr="002D207F">
        <w:rPr>
          <w:highlight w:val="green"/>
          <w:lang w:val="en-US"/>
        </w:rPr>
        <w:t>-</w:t>
      </w:r>
      <w:r w:rsidR="00417BF0">
        <w:rPr>
          <w:highlight w:val="green"/>
          <w:lang w:val="en-US"/>
        </w:rPr>
        <w:t>0.</w:t>
      </w:r>
      <w:r w:rsidR="00DA77C2">
        <w:rPr>
          <w:highlight w:val="green"/>
          <w:lang w:val="en-US"/>
        </w:rPr>
        <w:t>49</w:t>
      </w:r>
      <w:r w:rsidR="008F268E" w:rsidRPr="002D207F">
        <w:rPr>
          <w:highlight w:val="green"/>
          <w:lang w:val="en-US"/>
        </w:rPr>
        <w:t xml:space="preserve">]), whereas the estimate based on </w:t>
      </w:r>
      <w:r w:rsidR="008F268E" w:rsidRPr="002D207F">
        <w:rPr>
          <w:i/>
          <w:iCs/>
          <w:highlight w:val="green"/>
          <w:lang w:val="en-US"/>
        </w:rPr>
        <w:t>C. crangon</w:t>
      </w:r>
      <w:r w:rsidR="008F268E" w:rsidRPr="002D207F">
        <w:rPr>
          <w:highlight w:val="green"/>
          <w:lang w:val="en-US"/>
        </w:rPr>
        <w:t xml:space="preserve"> indicates pronounced bioaccumulation</w:t>
      </w:r>
      <w:r w:rsidR="00417BF0">
        <w:rPr>
          <w:highlight w:val="green"/>
          <w:lang w:val="en-US"/>
        </w:rPr>
        <w:t xml:space="preserve"> (</w:t>
      </w:r>
      <w:r w:rsidR="00DA77C2">
        <w:rPr>
          <w:highlight w:val="green"/>
          <w:lang w:val="en-US"/>
        </w:rPr>
        <w:t>6.41</w:t>
      </w:r>
      <w:r w:rsidR="00417BF0">
        <w:rPr>
          <w:highlight w:val="green"/>
          <w:lang w:val="en-US"/>
        </w:rPr>
        <w:t>[</w:t>
      </w:r>
      <w:r w:rsidR="00DA77C2">
        <w:rPr>
          <w:highlight w:val="green"/>
          <w:lang w:val="en-US"/>
        </w:rPr>
        <w:t>4.99-9.25</w:t>
      </w:r>
      <w:r w:rsidR="00417BF0">
        <w:rPr>
          <w:highlight w:val="green"/>
          <w:lang w:val="en-US"/>
        </w:rPr>
        <w:t>])</w:t>
      </w:r>
      <w:r w:rsidR="008F268E" w:rsidRPr="002D207F">
        <w:rPr>
          <w:highlight w:val="green"/>
          <w:lang w:val="en-US"/>
        </w:rPr>
        <w:t>. Moreover, for the majority of species (</w:t>
      </w:r>
      <w:r w:rsidR="00DA77C2">
        <w:rPr>
          <w:highlight w:val="green"/>
          <w:lang w:val="en-US"/>
        </w:rPr>
        <w:t>8</w:t>
      </w:r>
      <w:r w:rsidR="008F268E" w:rsidRPr="002D207F">
        <w:rPr>
          <w:highlight w:val="green"/>
          <w:lang w:val="en-US"/>
        </w:rPr>
        <w:t xml:space="preserve">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biodilution and biomagnification. As a result, it is difficult to draw definitive conclusions regarding the overall bioaccumulation potential of PCBs based solely on these estimates.</w:t>
      </w:r>
    </w:p>
    <w:p w14:paraId="056D794D" w14:textId="76174615"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elationship between logKow</w:t>
      </w:r>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554466" w:rsidRPr="00C76BC8">
        <w:rPr>
          <w:highlight w:val="green"/>
          <w:lang w:val="en-US"/>
        </w:rPr>
        <w:t xml:space="preserve">Figure </w:t>
      </w:r>
      <w:r w:rsidR="00554466">
        <w:rPr>
          <w:noProof/>
          <w:highlight w:val="green"/>
          <w:lang w:val="en-US"/>
        </w:rPr>
        <w:t>5</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logKow</w:t>
      </w:r>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554466">
        <w:rPr>
          <w:highlight w:val="green"/>
          <w:lang w:val="en-US"/>
        </w:rPr>
        <w:t xml:space="preserve"> (16 out of 19)</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biodilution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w:t>
      </w:r>
      <w:r w:rsidR="007F4CF1" w:rsidRPr="00282519">
        <w:rPr>
          <w:highlight w:val="green"/>
          <w:lang w:val="en-US"/>
        </w:rPr>
        <w:lastRenderedPageBreak/>
        <w:t>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63EFCC20">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1508D079" w:rsidR="00E00913" w:rsidRPr="002D207F" w:rsidRDefault="00E00913" w:rsidP="00E00913">
      <w:pPr>
        <w:pStyle w:val="Lgende"/>
        <w:rPr>
          <w:highlight w:val="green"/>
          <w:lang w:val="en-US"/>
        </w:rPr>
      </w:pPr>
      <w:bookmarkStart w:id="35"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E50086">
        <w:rPr>
          <w:noProof/>
          <w:highlight w:val="green"/>
          <w:lang w:val="en-US"/>
        </w:rPr>
        <w:t>4</w:t>
      </w:r>
      <w:r w:rsidRPr="002D207F">
        <w:rPr>
          <w:highlight w:val="green"/>
        </w:rPr>
        <w:fldChar w:fldCharType="end"/>
      </w:r>
      <w:bookmarkEnd w:id="35"/>
      <w:r w:rsidRPr="002D207F">
        <w:rPr>
          <w:highlight w:val="green"/>
          <w:lang w:val="en-US"/>
        </w:rPr>
        <w:t xml:space="preserve"> – </w:t>
      </w:r>
      <w:bookmarkStart w:id="36"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w:t>
      </w:r>
      <w:r w:rsidR="00A84BA6">
        <w:rPr>
          <w:highlight w:val="green"/>
          <w:lang w:val="en-US"/>
        </w:rPr>
        <w:t>CB153</w:t>
      </w:r>
      <w:r w:rsidRPr="002D207F">
        <w:rPr>
          <w:highlight w:val="green"/>
          <w:lang w:val="en-US"/>
        </w:rPr>
        <w:t xml:space="preserve"> congener</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6"/>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3E926330">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3B9A930A" w:rsidR="008757EF" w:rsidRPr="00C76BC8" w:rsidRDefault="00E00913" w:rsidP="00E00913">
      <w:pPr>
        <w:pStyle w:val="Lgende"/>
        <w:rPr>
          <w:lang w:val="en-US"/>
        </w:rPr>
      </w:pPr>
      <w:bookmarkStart w:id="37"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E50086">
        <w:rPr>
          <w:noProof/>
          <w:highlight w:val="green"/>
          <w:lang w:val="en-US"/>
        </w:rPr>
        <w:t>5</w:t>
      </w:r>
      <w:r w:rsidRPr="00C76BC8">
        <w:rPr>
          <w:highlight w:val="green"/>
        </w:rPr>
        <w:fldChar w:fldCharType="end"/>
      </w:r>
      <w:bookmarkEnd w:id="37"/>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r w:rsidR="00155DBF" w:rsidRPr="00C76BC8">
        <w:rPr>
          <w:highlight w:val="green"/>
          <w:lang w:val="en-US"/>
        </w:rPr>
        <w:t xml:space="preserve">logKow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8" w:name="_Toc199498309"/>
      <w:r w:rsidRPr="005B78BD">
        <w:rPr>
          <w:highlight w:val="green"/>
        </w:rPr>
        <w:t xml:space="preserve">Diet-based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8"/>
    </w:p>
    <w:p w14:paraId="41CEFCF4" w14:textId="24E7A6FB" w:rsidR="002D207F" w:rsidRPr="005B78BD" w:rsidRDefault="002D207F" w:rsidP="002D207F">
      <w:pPr>
        <w:rPr>
          <w:highlight w:val="green"/>
          <w:lang w:val="en-US"/>
        </w:rPr>
      </w:pPr>
      <w:r w:rsidRPr="005B78BD">
        <w:rPr>
          <w:highlight w:val="green"/>
          <w:lang w:val="en-US"/>
        </w:rPr>
        <w:t>The relationship between logKow,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00554466" w:rsidRPr="005B78BD">
        <w:rPr>
          <w:highlight w:val="green"/>
          <w:lang w:val="en-US"/>
        </w:rPr>
        <w:t xml:space="preserve">Figure </w:t>
      </w:r>
      <w:r w:rsidR="00554466">
        <w:rPr>
          <w:noProof/>
          <w:highlight w:val="green"/>
          <w:lang w:val="en-US"/>
        </w:rPr>
        <w:t>6</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logKow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xml:space="preserve">) and </w:t>
      </w:r>
      <w:r w:rsidR="00554466">
        <w:rPr>
          <w:highlight w:val="green"/>
          <w:lang w:val="en-US"/>
        </w:rPr>
        <w:t>6</w:t>
      </w:r>
      <w:r w:rsidR="004C6AD8" w:rsidRPr="005B78BD">
        <w:rPr>
          <w:highlight w:val="green"/>
          <w:lang w:val="en-US"/>
        </w:rPr>
        <w:t xml:space="preserve"> of the 1</w:t>
      </w:r>
      <w:r w:rsidR="00554466">
        <w:rPr>
          <w:highlight w:val="green"/>
          <w:lang w:val="en-US"/>
        </w:rPr>
        <w:t>8</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biodilution</w:t>
      </w:r>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lastRenderedPageBreak/>
        <w:drawing>
          <wp:inline distT="0" distB="0" distL="0" distR="0" wp14:anchorId="30812827" wp14:editId="7911519B">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68A5C930" w:rsidR="005B78BD" w:rsidRPr="00C76BC8" w:rsidRDefault="002D207F" w:rsidP="005B78BD">
      <w:pPr>
        <w:pStyle w:val="Lgende"/>
        <w:rPr>
          <w:lang w:val="en-US"/>
        </w:rPr>
      </w:pPr>
      <w:bookmarkStart w:id="39"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E50086">
        <w:rPr>
          <w:noProof/>
          <w:highlight w:val="green"/>
          <w:lang w:val="en-US"/>
        </w:rPr>
        <w:t>6</w:t>
      </w:r>
      <w:r w:rsidRPr="005B78BD">
        <w:rPr>
          <w:highlight w:val="green"/>
        </w:rPr>
        <w:fldChar w:fldCharType="end"/>
      </w:r>
      <w:bookmarkEnd w:id="39"/>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63228F">
      <w:pPr>
        <w:pStyle w:val="Titre3"/>
        <w:numPr>
          <w:ilvl w:val="2"/>
          <w:numId w:val="7"/>
        </w:numPr>
        <w:rPr>
          <w:highlight w:val="green"/>
          <w:lang w:val="en-GB"/>
        </w:rPr>
      </w:pPr>
      <w:bookmarkStart w:id="40" w:name="_Hlk199258597"/>
      <w:bookmarkStart w:id="41" w:name="_Toc199498310"/>
      <w:r w:rsidRPr="00B233B1">
        <w:rPr>
          <w:highlight w:val="green"/>
          <w:lang w:val="en-GB"/>
        </w:rPr>
        <w:t xml:space="preserve">Predator-prey trophic level–normalized BMF </w:t>
      </w:r>
      <w:bookmarkEnd w:id="40"/>
      <w:r w:rsidRPr="00B233B1">
        <w:rPr>
          <w:highlight w:val="green"/>
          <w:lang w:val="en-GB"/>
        </w:rPr>
        <w:t>(TL-BMF</w:t>
      </w:r>
      <w:r w:rsidRPr="00B233B1">
        <w:rPr>
          <w:highlight w:val="green"/>
          <w:vertAlign w:val="subscript"/>
          <w:lang w:val="en-GB"/>
        </w:rPr>
        <w:t>PP</w:t>
      </w:r>
      <w:r w:rsidRPr="00B233B1">
        <w:rPr>
          <w:highlight w:val="green"/>
          <w:lang w:val="en-GB"/>
        </w:rPr>
        <w:t>)</w:t>
      </w:r>
      <w:bookmarkEnd w:id="41"/>
    </w:p>
    <w:p w14:paraId="33FBECAF" w14:textId="2574E6FF" w:rsidR="005534FC"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2"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2"/>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w:t>
      </w:r>
      <w:r w:rsidR="00554466">
        <w:rPr>
          <w:highlight w:val="green"/>
          <w:lang w:val="en-US"/>
        </w:rPr>
        <w:t>CB153</w:t>
      </w:r>
      <w:r w:rsidR="0009601B" w:rsidRPr="00D44979">
        <w:rPr>
          <w:highlight w:val="green"/>
          <w:lang w:val="en-US"/>
        </w:rPr>
        <w:t xml:space="preserve">,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4466" w:rsidRPr="00554466">
        <w:rPr>
          <w:highlight w:val="green"/>
          <w:lang w:val="en-US"/>
        </w:rPr>
        <w:t xml:space="preserve">Figure </w:t>
      </w:r>
      <w:r w:rsidR="00554466" w:rsidRPr="00554466">
        <w:rPr>
          <w:noProof/>
          <w:highlight w:val="green"/>
          <w:lang w:val="en-US"/>
        </w:rPr>
        <w:t>7</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D. vittatus</w:t>
      </w:r>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C. crangon</w:t>
      </w:r>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A84BA6">
        <w:rPr>
          <w:highlight w:val="green"/>
          <w:lang w:val="en-US"/>
        </w:rPr>
        <w:t xml:space="preserve"> (except for </w:t>
      </w:r>
      <w:r w:rsidR="00A84BA6" w:rsidRPr="00A84BA6">
        <w:rPr>
          <w:i/>
          <w:iCs/>
          <w:highlight w:val="green"/>
          <w:lang w:val="en-US"/>
        </w:rPr>
        <w:t>Lanice conchilega</w:t>
      </w:r>
      <w:r w:rsidR="00A84BA6">
        <w:rPr>
          <w:highlight w:val="green"/>
          <w:lang w:val="en-US"/>
        </w:rPr>
        <w:t>)</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A84BA6">
        <w:rPr>
          <w:highlight w:val="green"/>
          <w:lang w:val="en-US"/>
        </w:rPr>
        <w:t>Five</w:t>
      </w:r>
      <w:r w:rsidR="00C80E98" w:rsidRPr="00D44979">
        <w:rPr>
          <w:highlight w:val="green"/>
          <w:lang w:val="en-US"/>
        </w:rPr>
        <w:t xml:space="preserve"> species </w:t>
      </w:r>
      <w:r w:rsidR="00482275" w:rsidRPr="00D44979">
        <w:rPr>
          <w:highlight w:val="green"/>
          <w:lang w:val="en-US"/>
        </w:rPr>
        <w:t>clearly</w:t>
      </w:r>
      <w:r w:rsidR="00AF157F" w:rsidRPr="00D44979">
        <w:rPr>
          <w:highlight w:val="green"/>
          <w:lang w:val="en-US"/>
        </w:rPr>
        <w:t xml:space="preserve"> showed evidence of </w:t>
      </w:r>
      <w:r w:rsidR="00C80E98" w:rsidRPr="00D44979">
        <w:rPr>
          <w:highlight w:val="green"/>
          <w:lang w:val="en-US"/>
        </w:rPr>
        <w:t xml:space="preserve">biodilution. </w:t>
      </w:r>
    </w:p>
    <w:p w14:paraId="5EC2A119" w14:textId="77777777" w:rsidR="00E23168" w:rsidRDefault="00E23168" w:rsidP="00E23168">
      <w:pPr>
        <w:keepNext/>
      </w:pPr>
      <w:r>
        <w:rPr>
          <w:noProof/>
          <w:lang w:val="en-GB"/>
        </w:rPr>
        <w:drawing>
          <wp:inline distT="0" distB="0" distL="0" distR="0" wp14:anchorId="20437014" wp14:editId="562F67D6">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6BAB28A7" w14:textId="77777777" w:rsidR="00E23168" w:rsidRDefault="00E23168" w:rsidP="00E23168">
      <w:pPr>
        <w:pStyle w:val="Lgende"/>
        <w:rPr>
          <w:lang w:val="en-US"/>
        </w:rPr>
      </w:pPr>
      <w:bookmarkStart w:id="43" w:name="_Ref199260500"/>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7</w:t>
      </w:r>
      <w:r>
        <w:fldChar w:fldCharType="end"/>
      </w:r>
      <w:bookmarkEnd w:id="43"/>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19ECF60C" w14:textId="10830134" w:rsidR="001E6E6A" w:rsidRPr="00D44979" w:rsidRDefault="001E6E6A" w:rsidP="001E6E6A">
      <w:pPr>
        <w:rPr>
          <w:lang w:val="en-US"/>
        </w:rPr>
      </w:pPr>
      <w:r w:rsidRPr="00D44979">
        <w:rPr>
          <w:highlight w:val="green"/>
          <w:lang w:val="en-US"/>
        </w:rPr>
        <w:lastRenderedPageBreak/>
        <w:t>The relationship between logKow,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447025" w:rsidRPr="00447025">
        <w:rPr>
          <w:highlight w:val="green"/>
          <w:lang w:val="en-US"/>
        </w:rPr>
        <w:t xml:space="preserve">Figure </w:t>
      </w:r>
      <w:r w:rsidR="00447025" w:rsidRPr="00447025">
        <w:rPr>
          <w:noProof/>
          <w:highlight w:val="green"/>
          <w:lang w:val="en-US"/>
        </w:rPr>
        <w:t>8</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logKow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w:t>
      </w:r>
      <w:r w:rsidR="00447025">
        <w:rPr>
          <w:highlight w:val="green"/>
          <w:lang w:val="en-US"/>
        </w:rPr>
        <w:t>3</w:t>
      </w:r>
      <w:r w:rsidR="00D75DE7" w:rsidRPr="00D44979">
        <w:rPr>
          <w:highlight w:val="green"/>
          <w:lang w:val="en-US"/>
        </w:rPr>
        <w:t xml:space="preserve"> out of 1</w:t>
      </w:r>
      <w:r w:rsidR="00447025">
        <w:rPr>
          <w:highlight w:val="green"/>
          <w:lang w:val="en-US"/>
        </w:rPr>
        <w:t>9</w:t>
      </w:r>
      <w:r w:rsidR="00D75DE7" w:rsidRPr="00D44979">
        <w:rPr>
          <w:highlight w:val="green"/>
          <w:lang w:val="en-US"/>
        </w:rPr>
        <w:t xml:space="preserve">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w:t>
      </w:r>
      <w:r w:rsidR="00447025">
        <w:rPr>
          <w:highlight w:val="green"/>
          <w:lang w:val="en-US"/>
        </w:rPr>
        <w:t>ive</w:t>
      </w:r>
      <w:r w:rsidR="00D75DE7" w:rsidRPr="00D44979">
        <w:rPr>
          <w:highlight w:val="green"/>
          <w:lang w:val="en-US"/>
        </w:rPr>
        <w:t xml:space="preserve"> congeners whose variability clearly indicated biodilution </w:t>
      </w:r>
      <w:r w:rsidR="00482275" w:rsidRPr="00D44979">
        <w:rPr>
          <w:highlight w:val="green"/>
          <w:lang w:val="en-US"/>
        </w:rPr>
        <w:t xml:space="preserve">— </w:t>
      </w:r>
      <w:r w:rsidR="00D75DE7" w:rsidRPr="00D44979">
        <w:rPr>
          <w:highlight w:val="green"/>
          <w:lang w:val="en-US"/>
        </w:rPr>
        <w:t>CB28, CB31, CB132, CB149</w:t>
      </w:r>
      <w:r w:rsidR="00447025">
        <w:rPr>
          <w:highlight w:val="green"/>
          <w:lang w:val="en-US"/>
        </w:rPr>
        <w:t xml:space="preserve"> and CB187</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0660FD23" w14:textId="77777777" w:rsidR="00627231" w:rsidRDefault="00627231" w:rsidP="00627231">
      <w:pPr>
        <w:keepNext/>
      </w:pPr>
      <w:r>
        <w:rPr>
          <w:noProof/>
          <w:lang w:val="en-US"/>
        </w:rPr>
        <w:drawing>
          <wp:inline distT="0" distB="0" distL="0" distR="0" wp14:anchorId="3AAE284D" wp14:editId="75423748">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58B7FB96" w:rsidR="00627231" w:rsidRPr="00627231" w:rsidRDefault="00627231" w:rsidP="00627231">
      <w:pPr>
        <w:pStyle w:val="Lgende"/>
        <w:rPr>
          <w:lang w:val="en-US"/>
        </w:rPr>
      </w:pPr>
      <w:bookmarkStart w:id="44"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E50086">
        <w:rPr>
          <w:noProof/>
          <w:lang w:val="en-US"/>
        </w:rPr>
        <w:t>8</w:t>
      </w:r>
      <w:r>
        <w:fldChar w:fldCharType="end"/>
      </w:r>
      <w:bookmarkEnd w:id="44"/>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logKow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5"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5"/>
    </w:p>
    <w:p w14:paraId="705DD3B2" w14:textId="02DB4488"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The relationship between logKow,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00E23168" w:rsidRPr="00E23168">
        <w:rPr>
          <w:highlight w:val="green"/>
          <w:lang w:val="en-US"/>
        </w:rPr>
        <w:t xml:space="preserve">Figure </w:t>
      </w:r>
      <w:r w:rsidR="00E23168" w:rsidRPr="00E23168">
        <w:rPr>
          <w:noProof/>
          <w:highlight w:val="green"/>
          <w:lang w:val="en-US"/>
        </w:rPr>
        <w:t>9</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logKow and BMF values (R² = 0.</w:t>
      </w:r>
      <w:r w:rsidR="00E23168">
        <w:rPr>
          <w:highlight w:val="green"/>
          <w:lang w:val="en-US"/>
        </w:rPr>
        <w:t>42</w:t>
      </w:r>
      <w:r w:rsidR="00A84BA6">
        <w:rPr>
          <w:highlight w:val="green"/>
          <w:lang w:val="en-US"/>
        </w:rPr>
        <w:t>,</w:t>
      </w:r>
      <w:r w:rsidRPr="00B935AE">
        <w:rPr>
          <w:highlight w:val="green"/>
          <w:lang w:val="en-US"/>
        </w:rPr>
        <w:t xml:space="preserve"> p-value = 0.0</w:t>
      </w:r>
      <w:r w:rsidR="00E23168">
        <w:rPr>
          <w:highlight w:val="green"/>
          <w:lang w:val="en-US"/>
        </w:rPr>
        <w:t>14</w:t>
      </w:r>
      <w:r w:rsidRPr="00B935AE">
        <w:rPr>
          <w:highlight w:val="green"/>
          <w:lang w:val="en-US"/>
        </w:rPr>
        <w:t xml:space="preserve">). For </w:t>
      </w:r>
      <w:r w:rsidR="00E23168">
        <w:rPr>
          <w:highlight w:val="green"/>
          <w:lang w:val="en-US"/>
        </w:rPr>
        <w:t>18 out of 19</w:t>
      </w:r>
      <w:r w:rsidRPr="00B935AE">
        <w:rPr>
          <w:highlight w:val="green"/>
          <w:lang w:val="en-US"/>
        </w:rPr>
        <w:t xml:space="preserve">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w:t>
      </w:r>
      <w:r w:rsidR="00E23168">
        <w:rPr>
          <w:highlight w:val="green"/>
          <w:lang w:val="en-US"/>
        </w:rPr>
        <w:t>one</w:t>
      </w:r>
      <w:r w:rsidRPr="00B935AE">
        <w:rPr>
          <w:highlight w:val="green"/>
          <w:lang w:val="en-US"/>
        </w:rPr>
        <w:t xml:space="preserv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w:t>
      </w:r>
      <w:r w:rsidR="00E23168">
        <w:rPr>
          <w:highlight w:val="green"/>
          <w:lang w:val="en-US"/>
        </w:rPr>
        <w:t>5</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w:t>
      </w:r>
      <w:r w:rsidR="00E23168">
        <w:rPr>
          <w:highlight w:val="green"/>
          <w:lang w:val="en-US"/>
        </w:rPr>
        <w:t>4</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w:t>
      </w:r>
      <w:r w:rsidR="00E23168">
        <w:rPr>
          <w:highlight w:val="green"/>
          <w:lang w:val="en-US"/>
        </w:rPr>
        <w:t>2</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lastRenderedPageBreak/>
        <w:drawing>
          <wp:inline distT="0" distB="0" distL="0" distR="0" wp14:anchorId="2FAA95F1" wp14:editId="0A36321A">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0853B6CA" w:rsidR="009E2773" w:rsidRPr="009E2773" w:rsidRDefault="00FE78E2" w:rsidP="00FE78E2">
      <w:pPr>
        <w:pStyle w:val="Lgende"/>
        <w:rPr>
          <w:highlight w:val="green"/>
          <w:lang w:val="en-GB"/>
        </w:rPr>
      </w:pPr>
      <w:bookmarkStart w:id="46"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E50086">
        <w:rPr>
          <w:noProof/>
          <w:lang w:val="en-US"/>
        </w:rPr>
        <w:t>9</w:t>
      </w:r>
      <w:r>
        <w:fldChar w:fldCharType="end"/>
      </w:r>
      <w:bookmarkEnd w:id="46"/>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 The black curve represents a global quadratic regression (second-order polynomial) fitted across all chlorination classes.</w:t>
      </w:r>
    </w:p>
    <w:p w14:paraId="2192658F" w14:textId="472479F9" w:rsidR="005B78BD" w:rsidRPr="005B78BD" w:rsidRDefault="00C64B7E" w:rsidP="005B78BD">
      <w:pPr>
        <w:pStyle w:val="Titre3"/>
        <w:rPr>
          <w:highlight w:val="green"/>
          <w:lang w:val="en-GB"/>
        </w:rPr>
      </w:pPr>
      <w:bookmarkStart w:id="47" w:name="_Toc199498312"/>
      <w:r w:rsidRPr="00C64B7E">
        <w:rPr>
          <w:highlight w:val="green"/>
          <w:lang w:val="en-US"/>
        </w:rPr>
        <w:t xml:space="preserve">Influence of </w:t>
      </w:r>
      <w:bookmarkEnd w:id="47"/>
      <w:r>
        <w:rPr>
          <w:highlight w:val="green"/>
          <w:lang w:val="en-US"/>
        </w:rPr>
        <w:t>computational method on BMF estimates</w:t>
      </w:r>
    </w:p>
    <w:p w14:paraId="3132BA58" w14:textId="1FDB9DD0" w:rsidR="00DB2861" w:rsidRPr="00A941BB" w:rsidRDefault="00A84BA6" w:rsidP="00DB2861">
      <w:pPr>
        <w:pStyle w:val="Lgende"/>
        <w:keepNext/>
        <w:rPr>
          <w:highlight w:val="green"/>
        </w:rPr>
      </w:pPr>
      <w:r w:rsidRPr="00A941BB">
        <w:rPr>
          <w:noProof/>
          <w:highlight w:val="green"/>
        </w:rPr>
        <w:drawing>
          <wp:inline distT="0" distB="0" distL="0" distR="0" wp14:anchorId="4741FB4B" wp14:editId="49673E8C">
            <wp:extent cx="4068661" cy="271333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4122" cy="2716980"/>
                    </a:xfrm>
                    <a:prstGeom prst="rect">
                      <a:avLst/>
                    </a:prstGeom>
                  </pic:spPr>
                </pic:pic>
              </a:graphicData>
            </a:graphic>
          </wp:inline>
        </w:drawing>
      </w:r>
    </w:p>
    <w:p w14:paraId="1A26A0D0" w14:textId="5B52D2BE" w:rsidR="00C61E81" w:rsidRPr="00A941BB" w:rsidRDefault="00DB2861" w:rsidP="00DB2861">
      <w:pPr>
        <w:pStyle w:val="Lgende"/>
        <w:rPr>
          <w:highlight w:val="green"/>
          <w:lang w:val="en-US"/>
        </w:rPr>
      </w:pPr>
      <w:bookmarkStart w:id="48" w:name="_Ref200638019"/>
      <w:r w:rsidRPr="00A941BB">
        <w:rPr>
          <w:highlight w:val="green"/>
          <w:lang w:val="en-US"/>
        </w:rPr>
        <w:t xml:space="preserve">Figure </w:t>
      </w:r>
      <w:r w:rsidRPr="00A941BB">
        <w:rPr>
          <w:highlight w:val="green"/>
        </w:rPr>
        <w:fldChar w:fldCharType="begin"/>
      </w:r>
      <w:r w:rsidRPr="00A941BB">
        <w:rPr>
          <w:highlight w:val="green"/>
          <w:lang w:val="en-US"/>
        </w:rPr>
        <w:instrText xml:space="preserve"> SEQ Figure \* ARABIC </w:instrText>
      </w:r>
      <w:r w:rsidRPr="00A941BB">
        <w:rPr>
          <w:highlight w:val="green"/>
        </w:rPr>
        <w:fldChar w:fldCharType="separate"/>
      </w:r>
      <w:r w:rsidR="00E23168" w:rsidRPr="00A941BB">
        <w:rPr>
          <w:noProof/>
          <w:highlight w:val="green"/>
          <w:lang w:val="en-US"/>
        </w:rPr>
        <w:t>10</w:t>
      </w:r>
      <w:r w:rsidRPr="00A941BB">
        <w:rPr>
          <w:highlight w:val="green"/>
        </w:rPr>
        <w:fldChar w:fldCharType="end"/>
      </w:r>
      <w:bookmarkEnd w:id="48"/>
      <w:r w:rsidRPr="00A941BB">
        <w:rPr>
          <w:highlight w:val="green"/>
          <w:lang w:val="en-US"/>
        </w:rPr>
        <w:t xml:space="preserve"> – Influence of BMF computation </w:t>
      </w:r>
      <w:r w:rsidR="00E23168" w:rsidRPr="00A941BB">
        <w:rPr>
          <w:highlight w:val="green"/>
          <w:lang w:val="en-US"/>
        </w:rPr>
        <w:t xml:space="preserve">scenario on BMF estimates </w:t>
      </w:r>
      <w:r w:rsidRPr="00A941BB">
        <w:rPr>
          <w:highlight w:val="green"/>
          <w:lang w:val="en-US"/>
        </w:rPr>
        <w:t xml:space="preserve">for </w:t>
      </w:r>
      <w:r w:rsidR="00A84BA6" w:rsidRPr="00A941BB">
        <w:rPr>
          <w:highlight w:val="green"/>
          <w:lang w:val="en-US"/>
        </w:rPr>
        <w:t>CB153</w:t>
      </w:r>
      <w:r w:rsidRPr="00A941BB">
        <w:rPr>
          <w:highlight w:val="green"/>
          <w:lang w:val="en-US"/>
        </w:rPr>
        <w:t>.</w:t>
      </w:r>
    </w:p>
    <w:p w14:paraId="701AE39D" w14:textId="130BA7B3" w:rsidR="0092793B" w:rsidRPr="00EB0E50" w:rsidRDefault="00DB2861" w:rsidP="00DB2861">
      <w:pPr>
        <w:rPr>
          <w:lang w:val="en-US"/>
        </w:rPr>
      </w:pPr>
      <w:bookmarkStart w:id="49" w:name="_Ref193382885"/>
      <w:r w:rsidRPr="00A941BB">
        <w:rPr>
          <w:highlight w:val="green"/>
          <w:lang w:val="en-US"/>
        </w:rPr>
        <w:t>S</w:t>
      </w:r>
      <w:r w:rsidRPr="00A941BB">
        <w:rPr>
          <w:highlight w:val="green"/>
          <w:lang w:val="en-US"/>
        </w:rPr>
        <w:t>ummary statistics of BMF estimates for each computation method</w:t>
      </w:r>
      <w:r w:rsidRPr="00A941BB">
        <w:rPr>
          <w:highlight w:val="green"/>
          <w:lang w:val="en-US"/>
        </w:rPr>
        <w:t xml:space="preserve"> are presented in </w:t>
      </w:r>
      <w:r w:rsidRPr="00A941BB">
        <w:rPr>
          <w:highlight w:val="green"/>
          <w:lang w:val="en-US"/>
        </w:rPr>
        <w:fldChar w:fldCharType="begin"/>
      </w:r>
      <w:r w:rsidRPr="00A941BB">
        <w:rPr>
          <w:highlight w:val="green"/>
          <w:lang w:val="en-US"/>
        </w:rPr>
        <w:instrText xml:space="preserve"> REF _Ref200638019 \h </w:instrText>
      </w:r>
      <w:r w:rsidRPr="00A941BB">
        <w:rPr>
          <w:highlight w:val="green"/>
          <w:lang w:val="en-US"/>
        </w:rPr>
      </w:r>
      <w:r w:rsidR="00A941BB">
        <w:rPr>
          <w:highlight w:val="green"/>
          <w:lang w:val="en-US"/>
        </w:rPr>
        <w:instrText xml:space="preserve"> \* MERGEFORMAT </w:instrText>
      </w:r>
      <w:r w:rsidRPr="00A941BB">
        <w:rPr>
          <w:highlight w:val="green"/>
          <w:lang w:val="en-US"/>
        </w:rPr>
        <w:fldChar w:fldCharType="separate"/>
      </w:r>
      <w:r w:rsidR="00E23168" w:rsidRPr="00A941BB">
        <w:rPr>
          <w:highlight w:val="green"/>
          <w:lang w:val="en-US"/>
        </w:rPr>
        <w:t xml:space="preserve">Figure </w:t>
      </w:r>
      <w:r w:rsidR="00E23168" w:rsidRPr="00A941BB">
        <w:rPr>
          <w:noProof/>
          <w:highlight w:val="green"/>
          <w:lang w:val="en-US"/>
        </w:rPr>
        <w:t>10</w:t>
      </w:r>
      <w:r w:rsidRPr="00A941BB">
        <w:rPr>
          <w:highlight w:val="green"/>
          <w:lang w:val="en-US"/>
        </w:rPr>
        <w:fldChar w:fldCharType="end"/>
      </w:r>
      <w:r w:rsidR="00326BCB" w:rsidRPr="00A941BB">
        <w:rPr>
          <w:highlight w:val="green"/>
          <w:lang w:val="en-US"/>
        </w:rPr>
        <w:t xml:space="preserve">, with </w:t>
      </w:r>
      <w:r w:rsidR="00E23168" w:rsidRPr="00A941BB">
        <w:rPr>
          <w:highlight w:val="green"/>
          <w:lang w:val="en-US"/>
        </w:rPr>
        <w:t xml:space="preserve">detailed </w:t>
      </w:r>
      <w:r w:rsidRPr="00A941BB">
        <w:rPr>
          <w:highlight w:val="green"/>
          <w:lang w:val="en-US"/>
        </w:rPr>
        <w:t xml:space="preserve">values </w:t>
      </w:r>
      <w:r w:rsidR="00E23168" w:rsidRPr="00A941BB">
        <w:rPr>
          <w:highlight w:val="green"/>
          <w:lang w:val="en-US"/>
        </w:rPr>
        <w:t>by PCB congener and</w:t>
      </w:r>
      <w:r w:rsidR="00326BCB" w:rsidRPr="00A941BB">
        <w:rPr>
          <w:highlight w:val="green"/>
          <w:lang w:val="en-US"/>
        </w:rPr>
        <w:t xml:space="preserve"> for</w:t>
      </w:r>
      <w:r w:rsidR="00E23168" w:rsidRPr="00A941BB">
        <w:rPr>
          <w:highlight w:val="green"/>
          <w:lang w:val="en-US"/>
        </w:rPr>
        <w:t xml:space="preserve"> the sum of PCBs </w:t>
      </w:r>
      <w:r w:rsidR="00326BCB" w:rsidRPr="00A941BB">
        <w:rPr>
          <w:highlight w:val="green"/>
          <w:lang w:val="en-US"/>
        </w:rPr>
        <w:t>available</w:t>
      </w:r>
      <w:r w:rsidRPr="00A941BB">
        <w:rPr>
          <w:highlight w:val="green"/>
          <w:lang w:val="en-US"/>
        </w:rPr>
        <w:t xml:space="preserve"> in SI section 3.4</w:t>
      </w:r>
      <w:r w:rsidRPr="00A941BB">
        <w:rPr>
          <w:highlight w:val="green"/>
          <w:lang w:val="en-US"/>
        </w:rPr>
        <w:t>.</w:t>
      </w:r>
      <w:r w:rsidR="00E23168" w:rsidRPr="00A941BB">
        <w:rPr>
          <w:highlight w:val="green"/>
          <w:lang w:val="en-US"/>
        </w:rPr>
        <w:t xml:space="preserve"> Results </w:t>
      </w:r>
      <w:r w:rsidR="00326BCB" w:rsidRPr="00A941BB">
        <w:rPr>
          <w:highlight w:val="green"/>
          <w:lang w:val="en-US"/>
        </w:rPr>
        <w:t>indicate</w:t>
      </w:r>
      <w:r w:rsidR="00E23168" w:rsidRPr="00A941BB">
        <w:rPr>
          <w:highlight w:val="green"/>
          <w:lang w:val="en-US"/>
        </w:rPr>
        <w:t xml:space="preserve"> BMF estimates </w:t>
      </w:r>
      <w:r w:rsidR="00326BCB" w:rsidRPr="00A941BB">
        <w:rPr>
          <w:highlight w:val="green"/>
          <w:lang w:val="en-US"/>
        </w:rPr>
        <w:t xml:space="preserve">show </w:t>
      </w:r>
      <w:r w:rsidR="00E23168" w:rsidRPr="00A941BB">
        <w:rPr>
          <w:highlight w:val="green"/>
          <w:lang w:val="en-US"/>
        </w:rPr>
        <w:t xml:space="preserve">greater </w:t>
      </w:r>
      <w:r w:rsidR="00326BCB" w:rsidRPr="00A941BB">
        <w:rPr>
          <w:highlight w:val="green"/>
          <w:lang w:val="en-US"/>
        </w:rPr>
        <w:t>variability in</w:t>
      </w:r>
      <w:r w:rsidR="00E23168" w:rsidRPr="00A941BB">
        <w:rPr>
          <w:highlight w:val="green"/>
          <w:lang w:val="en-US"/>
        </w:rPr>
        <w:t xml:space="preserve"> scenarios based on diet composition. </w:t>
      </w:r>
      <w:r w:rsidR="00A941BB" w:rsidRPr="00A941BB">
        <w:rPr>
          <w:highlight w:val="green"/>
          <w:lang w:val="en-US"/>
        </w:rPr>
        <w:t>Notably</w:t>
      </w:r>
      <w:r w:rsidR="00E23168" w:rsidRPr="00A941BB">
        <w:rPr>
          <w:highlight w:val="green"/>
          <w:lang w:val="en-US"/>
        </w:rPr>
        <w:t xml:space="preserve">, only the diet-based scenario </w:t>
      </w:r>
      <w:r w:rsidR="00A941BB" w:rsidRPr="00A941BB">
        <w:rPr>
          <w:highlight w:val="green"/>
          <w:lang w:val="en-US"/>
        </w:rPr>
        <w:t>clearly supports</w:t>
      </w:r>
      <w:r w:rsidR="00E23168" w:rsidRPr="00A941BB">
        <w:rPr>
          <w:highlight w:val="green"/>
          <w:lang w:val="en-US"/>
        </w:rPr>
        <w:t xml:space="preserve"> bioaccumulation of CB153</w:t>
      </w:r>
      <w:r w:rsidR="00A941BB" w:rsidRPr="00A941BB">
        <w:rPr>
          <w:highlight w:val="green"/>
          <w:lang w:val="en-US"/>
        </w:rPr>
        <w:t xml:space="preserve">, with an estimated BMF of </w:t>
      </w:r>
      <w:r w:rsidR="00E23168" w:rsidRPr="00A941BB">
        <w:rPr>
          <w:highlight w:val="green"/>
          <w:lang w:val="en-US"/>
        </w:rPr>
        <w:t>2.01 [1.24-2.68]</w:t>
      </w:r>
      <w:r w:rsidR="00A941BB" w:rsidRPr="00A941BB">
        <w:rPr>
          <w:highlight w:val="green"/>
          <w:lang w:val="en-US"/>
        </w:rPr>
        <w:t>, while estimates for</w:t>
      </w:r>
      <w:r w:rsidR="00E23168" w:rsidRPr="00A941BB">
        <w:rPr>
          <w:highlight w:val="green"/>
          <w:lang w:val="en-US"/>
        </w:rPr>
        <w:t xml:space="preserve"> the other</w:t>
      </w:r>
      <w:r w:rsidR="00A941BB" w:rsidRPr="00A941BB">
        <w:rPr>
          <w:highlight w:val="green"/>
          <w:lang w:val="en-US"/>
        </w:rPr>
        <w:t xml:space="preserve"> methods span</w:t>
      </w:r>
      <w:r w:rsidR="00E23168" w:rsidRPr="00A941BB">
        <w:rPr>
          <w:highlight w:val="green"/>
          <w:lang w:val="en-US"/>
        </w:rPr>
        <w:t xml:space="preserve"> both above and below </w:t>
      </w:r>
      <w:r w:rsidR="00A941BB" w:rsidRPr="00A941BB">
        <w:rPr>
          <w:highlight w:val="green"/>
          <w:lang w:val="en-US"/>
        </w:rPr>
        <w:t>the</w:t>
      </w:r>
      <w:r w:rsidR="00E23168" w:rsidRPr="00A941BB">
        <w:rPr>
          <w:highlight w:val="green"/>
          <w:lang w:val="en-US"/>
        </w:rPr>
        <w:t xml:space="preserve"> bioaccumulation </w:t>
      </w:r>
      <w:r w:rsidR="00A941BB" w:rsidRPr="00A941BB">
        <w:rPr>
          <w:highlight w:val="green"/>
          <w:lang w:val="en-US"/>
        </w:rPr>
        <w:t xml:space="preserve">threshold </w:t>
      </w:r>
      <w:r w:rsidR="00E23168" w:rsidRPr="00A941BB">
        <w:rPr>
          <w:highlight w:val="green"/>
          <w:lang w:val="en-US"/>
        </w:rPr>
        <w:t>of 1.</w:t>
      </w:r>
      <w:r w:rsidR="00EB0E50" w:rsidRPr="00A941BB">
        <w:rPr>
          <w:highlight w:val="green"/>
          <w:lang w:val="en-US"/>
        </w:rPr>
        <w:t xml:space="preserve"> Diet-based scenarios </w:t>
      </w:r>
      <w:r w:rsidR="00A941BB" w:rsidRPr="00A941BB">
        <w:rPr>
          <w:highlight w:val="green"/>
          <w:lang w:val="en-US"/>
        </w:rPr>
        <w:t xml:space="preserve">also yield </w:t>
      </w:r>
      <w:r w:rsidR="00EB0E50" w:rsidRPr="00A941BB">
        <w:rPr>
          <w:highlight w:val="green"/>
          <w:lang w:val="en-US"/>
        </w:rPr>
        <w:t xml:space="preserve">higher median BMFs </w:t>
      </w:r>
      <w:r w:rsidR="00A941BB" w:rsidRPr="00A941BB">
        <w:rPr>
          <w:highlight w:val="green"/>
          <w:lang w:val="en-US"/>
        </w:rPr>
        <w:t xml:space="preserve">values </w:t>
      </w:r>
      <w:r w:rsidR="00EB0E50" w:rsidRPr="00A941BB">
        <w:rPr>
          <w:highlight w:val="green"/>
          <w:lang w:val="en-US"/>
        </w:rPr>
        <w:t xml:space="preserve">compared to predator-prey scenarios, </w:t>
      </w:r>
      <w:r w:rsidR="00A941BB" w:rsidRPr="00A941BB">
        <w:rPr>
          <w:highlight w:val="green"/>
          <w:lang w:val="en-US"/>
        </w:rPr>
        <w:t>suggesting</w:t>
      </w:r>
      <w:r w:rsidR="00EB0E50" w:rsidRPr="00A941BB">
        <w:rPr>
          <w:highlight w:val="green"/>
          <w:lang w:val="en-US"/>
        </w:rPr>
        <w:t xml:space="preserve"> that </w:t>
      </w:r>
      <w:r w:rsidR="00A941BB" w:rsidRPr="00A941BB">
        <w:rPr>
          <w:highlight w:val="green"/>
          <w:lang w:val="en-US"/>
        </w:rPr>
        <w:t>the dierary contamination level</w:t>
      </w:r>
      <w:r w:rsidR="00EB0E50" w:rsidRPr="00A941BB">
        <w:rPr>
          <w:highlight w:val="green"/>
          <w:lang w:val="en-US"/>
        </w:rPr>
        <w:t xml:space="preserve"> </w:t>
      </w:r>
      <w:r w:rsidR="005375A2">
        <w:rPr>
          <w:highlight w:val="green"/>
          <w:lang w:val="en-US"/>
        </w:rPr>
        <w:t xml:space="preserve">in CB153 </w:t>
      </w:r>
      <w:r w:rsidR="00326BCB" w:rsidRPr="00A941BB">
        <w:rPr>
          <w:highlight w:val="green"/>
          <w:lang w:val="en-US"/>
        </w:rPr>
        <w:t>(</w:t>
      </w:r>
      <w:r w:rsidR="00D322CD">
        <w:rPr>
          <w:highlight w:val="green"/>
          <w:lang w:val="en-US"/>
        </w:rPr>
        <w:t>1 325</w:t>
      </w:r>
      <w:r w:rsidR="00326BCB" w:rsidRPr="00A941BB">
        <w:rPr>
          <w:highlight w:val="green"/>
          <w:lang w:val="en-US"/>
        </w:rPr>
        <w:t xml:space="preserve"> [</w:t>
      </w:r>
      <w:r w:rsidR="00D322CD">
        <w:rPr>
          <w:highlight w:val="green"/>
          <w:lang w:val="en-US"/>
        </w:rPr>
        <w:t>1 093</w:t>
      </w:r>
      <w:r w:rsidR="00326BCB" w:rsidRPr="00A941BB">
        <w:rPr>
          <w:highlight w:val="green"/>
          <w:lang w:val="en-US"/>
        </w:rPr>
        <w:t>-</w:t>
      </w:r>
      <w:r w:rsidR="00D322CD">
        <w:rPr>
          <w:highlight w:val="green"/>
          <w:lang w:val="en-US"/>
        </w:rPr>
        <w:t>1 716</w:t>
      </w:r>
      <w:r w:rsidR="00326BCB" w:rsidRPr="00A941BB">
        <w:rPr>
          <w:highlight w:val="green"/>
          <w:lang w:val="en-US"/>
        </w:rPr>
        <w:t xml:space="preserve">] ng/g lw) </w:t>
      </w:r>
      <w:r w:rsidR="00EB0E50" w:rsidRPr="00A941BB">
        <w:rPr>
          <w:highlight w:val="green"/>
          <w:lang w:val="en-US"/>
        </w:rPr>
        <w:t xml:space="preserve">is </w:t>
      </w:r>
      <w:r w:rsidR="00A941BB" w:rsidRPr="00A941BB">
        <w:rPr>
          <w:highlight w:val="green"/>
          <w:lang w:val="en-US"/>
        </w:rPr>
        <w:t>lower than</w:t>
      </w:r>
      <w:r w:rsidR="00EB0E50" w:rsidRPr="00A941BB">
        <w:rPr>
          <w:highlight w:val="green"/>
          <w:lang w:val="en-US"/>
        </w:rPr>
        <w:t xml:space="preserve"> the median contamination level </w:t>
      </w:r>
      <w:r w:rsidR="00A941BB" w:rsidRPr="00A941BB">
        <w:rPr>
          <w:highlight w:val="green"/>
          <w:lang w:val="en-US"/>
        </w:rPr>
        <w:t>observed in</w:t>
      </w:r>
      <w:r w:rsidR="00EB0E50" w:rsidRPr="00A941BB">
        <w:rPr>
          <w:highlight w:val="green"/>
          <w:lang w:val="en-US"/>
        </w:rPr>
        <w:t xml:space="preserve"> preys</w:t>
      </w:r>
      <w:r w:rsidR="00326BCB" w:rsidRPr="00A941BB">
        <w:rPr>
          <w:highlight w:val="green"/>
          <w:lang w:val="en-US"/>
        </w:rPr>
        <w:t xml:space="preserve"> </w:t>
      </w:r>
      <w:r w:rsidR="00A941BB" w:rsidRPr="00A941BB">
        <w:rPr>
          <w:highlight w:val="green"/>
          <w:lang w:val="en-US"/>
        </w:rPr>
        <w:t xml:space="preserve">species </w:t>
      </w:r>
      <w:r w:rsidR="00326BCB" w:rsidRPr="00A941BB">
        <w:rPr>
          <w:highlight w:val="green"/>
          <w:lang w:val="en-US"/>
        </w:rPr>
        <w:t>(</w:t>
      </w:r>
      <w:r w:rsidR="005375A2">
        <w:rPr>
          <w:highlight w:val="green"/>
          <w:lang w:val="en-US"/>
        </w:rPr>
        <w:t>2 428 [145-13 874]</w:t>
      </w:r>
      <w:r w:rsidR="00326BCB" w:rsidRPr="00A941BB">
        <w:rPr>
          <w:highlight w:val="green"/>
          <w:lang w:val="en-US"/>
        </w:rPr>
        <w:t xml:space="preserve"> ng/g lw).</w:t>
      </w:r>
    </w:p>
    <w:p w14:paraId="49D49A0D" w14:textId="3C86441B" w:rsidR="00C54A24" w:rsidRPr="00165B63" w:rsidRDefault="00F70F0B" w:rsidP="0060211A">
      <w:pPr>
        <w:pStyle w:val="Titre2"/>
        <w:rPr>
          <w:highlight w:val="green"/>
        </w:rPr>
      </w:pPr>
      <w:bookmarkStart w:id="50" w:name="_Toc199498313"/>
      <w:bookmarkEnd w:id="49"/>
      <w:r w:rsidRPr="00165B63">
        <w:rPr>
          <w:highlight w:val="green"/>
        </w:rPr>
        <w:t>Diet-based B</w:t>
      </w:r>
      <w:r w:rsidR="00C61E81" w:rsidRPr="00165B63">
        <w:rPr>
          <w:highlight w:val="green"/>
        </w:rPr>
        <w:t>MF</w:t>
      </w:r>
      <w:r w:rsidR="00D56A27" w:rsidRPr="00165B63">
        <w:rPr>
          <w:highlight w:val="green"/>
        </w:rPr>
        <w:t>s</w:t>
      </w:r>
      <w:r w:rsidRPr="00165B63">
        <w:rPr>
          <w:highlight w:val="green"/>
        </w:rPr>
        <w:t xml:space="preserve"> fo</w:t>
      </w:r>
      <w:r w:rsidR="00C61E81" w:rsidRPr="00165B63">
        <w:rPr>
          <w:highlight w:val="green"/>
        </w:rPr>
        <w:t>r PFASs</w:t>
      </w:r>
      <w:bookmarkEnd w:id="50"/>
    </w:p>
    <w:p w14:paraId="05EF97DA" w14:textId="7A07B85E" w:rsidR="00D8789F" w:rsidRPr="00165B63" w:rsidRDefault="00D8789F" w:rsidP="00D8789F">
      <w:pPr>
        <w:pStyle w:val="Titre3"/>
        <w:rPr>
          <w:highlight w:val="green"/>
          <w:lang w:val="en-GB"/>
        </w:rPr>
      </w:pPr>
      <w:r w:rsidRPr="00165B63">
        <w:rPr>
          <w:highlight w:val="green"/>
          <w:lang w:val="en-US"/>
        </w:rPr>
        <w:lastRenderedPageBreak/>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F4E769" w14:textId="0C29AAE8" w:rsidR="00EB0E50" w:rsidRDefault="00D322CD" w:rsidP="00B543D7">
      <w:pPr>
        <w:rPr>
          <w:highlight w:val="green"/>
          <w:lang w:val="en-US"/>
        </w:rPr>
      </w:pPr>
      <w:r w:rsidRPr="007B167E">
        <w:rPr>
          <w:highlight w:val="green"/>
          <w:lang w:val="en-US"/>
        </w:rPr>
        <w:t>Comparison of diet-based BMF estimates for PFASs using five methods for addressing nondetects</w:t>
      </w:r>
      <w:r w:rsidRPr="00B543D7">
        <w:rPr>
          <w:highlight w:val="green"/>
          <w:lang w:val="en-US"/>
        </w:rPr>
        <w:t xml:space="preserve"> </w:t>
      </w:r>
      <w:r>
        <w:rPr>
          <w:highlight w:val="green"/>
          <w:lang w:val="en-US"/>
        </w:rPr>
        <w:t xml:space="preserve">is presented in </w:t>
      </w:r>
      <w:r>
        <w:rPr>
          <w:highlight w:val="green"/>
          <w:lang w:val="en-US"/>
        </w:rPr>
        <w:fldChar w:fldCharType="begin"/>
      </w:r>
      <w:r>
        <w:rPr>
          <w:highlight w:val="green"/>
          <w:lang w:val="en-US"/>
        </w:rPr>
        <w:instrText xml:space="preserve"> REF _Ref200965437 \h </w:instrText>
      </w:r>
      <w:r>
        <w:rPr>
          <w:highlight w:val="green"/>
          <w:lang w:val="en-US"/>
        </w:rPr>
      </w:r>
      <w:r>
        <w:rPr>
          <w:highlight w:val="green"/>
          <w:lang w:val="en-US"/>
        </w:rPr>
        <w:fldChar w:fldCharType="separate"/>
      </w:r>
      <w:r w:rsidRPr="007B167E">
        <w:rPr>
          <w:highlight w:val="green"/>
          <w:lang w:val="en-US"/>
        </w:rPr>
        <w:t xml:space="preserve">Figure </w:t>
      </w:r>
      <w:r>
        <w:rPr>
          <w:noProof/>
          <w:highlight w:val="green"/>
          <w:lang w:val="en-US"/>
        </w:rPr>
        <w:t>11</w:t>
      </w:r>
      <w:r>
        <w:rPr>
          <w:highlight w:val="green"/>
          <w:lang w:val="en-US"/>
        </w:rPr>
        <w:fldChar w:fldCharType="end"/>
      </w:r>
      <w:r w:rsidR="00C64B7E">
        <w:rPr>
          <w:highlight w:val="green"/>
          <w:lang w:val="en-US"/>
        </w:rPr>
        <w:t xml:space="preserve"> and detailed values</w:t>
      </w:r>
      <w:r w:rsidR="00C64B7E" w:rsidRPr="00C64B7E">
        <w:rPr>
          <w:highlight w:val="green"/>
          <w:lang w:val="en-US"/>
        </w:rPr>
        <w:t xml:space="preserve"> </w:t>
      </w:r>
      <w:r w:rsidR="00C64B7E">
        <w:rPr>
          <w:highlight w:val="green"/>
          <w:lang w:val="en-US"/>
        </w:rPr>
        <w:t xml:space="preserve">are </w:t>
      </w:r>
      <w:r w:rsidR="00C64B7E" w:rsidRPr="00A941BB">
        <w:rPr>
          <w:highlight w:val="green"/>
          <w:lang w:val="en-US"/>
        </w:rPr>
        <w:t>available in SI section</w:t>
      </w:r>
      <w:r w:rsidR="00C64B7E">
        <w:rPr>
          <w:highlight w:val="green"/>
          <w:lang w:val="en-US"/>
        </w:rPr>
        <w:t xml:space="preserve"> 3.5</w:t>
      </w:r>
      <w:r>
        <w:rPr>
          <w:highlight w:val="green"/>
          <w:lang w:val="en-US"/>
        </w:rPr>
        <w:t xml:space="preserve">. </w:t>
      </w:r>
      <w:r w:rsidR="003774E3"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003774E3" w:rsidRPr="00B543D7">
        <w:rPr>
          <w:highlight w:val="green"/>
          <w:lang w:val="en-US"/>
        </w:rPr>
        <w:t xml:space="preserve">for certain compounds, the “uncensored” scenario (based solely on detected values) yielded median BMF estimates that differed from those obtained with the other approaches. </w:t>
      </w:r>
      <w:r w:rsidR="003774E3" w:rsidRPr="00B543D7">
        <w:rPr>
          <w:highlight w:val="green"/>
          <w:lang w:val="en-US"/>
        </w:rPr>
        <w:t>Slight differences were observed for PFDA, PFTrDA, FOSA, EtFOSAA, and Br-PFOS</w:t>
      </w:r>
      <w:r w:rsidR="00B543D7" w:rsidRPr="00B543D7">
        <w:rPr>
          <w:highlight w:val="green"/>
          <w:lang w:val="en-US"/>
        </w:rPr>
        <w:t>. More</w:t>
      </w:r>
      <w:r w:rsidR="003774E3" w:rsidRPr="00B543D7">
        <w:rPr>
          <w:highlight w:val="green"/>
          <w:lang w:val="en-US"/>
        </w:rPr>
        <w:t xml:space="preserve"> substantial discrepancies occurred for PFUnDA, PFTeDA,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003774E3" w:rsidRPr="00B543D7">
        <w:rPr>
          <w:highlight w:val="green"/>
          <w:lang w:val="en-US"/>
        </w:rPr>
        <w:t xml:space="preserve">the uncensored scenario indicated biomagnification, whereas the other </w:t>
      </w:r>
      <w:r w:rsidR="00B543D7" w:rsidRPr="00B543D7">
        <w:rPr>
          <w:highlight w:val="green"/>
          <w:lang w:val="en-US"/>
        </w:rPr>
        <w:t>methods consistently</w:t>
      </w:r>
      <w:r w:rsidR="003774E3" w:rsidRPr="00B543D7">
        <w:rPr>
          <w:highlight w:val="green"/>
          <w:lang w:val="en-US"/>
        </w:rPr>
        <w:t xml:space="preserve"> suggested strong biodilution.</w:t>
      </w:r>
      <w:r w:rsidR="00B543D7" w:rsidRPr="00B543D7">
        <w:rPr>
          <w:highlight w:val="green"/>
          <w:lang w:val="en-US"/>
        </w:rPr>
        <w:t xml:space="preserve"> </w:t>
      </w:r>
    </w:p>
    <w:p w14:paraId="6BD8C22A" w14:textId="4543A244" w:rsidR="00EB0E50" w:rsidRPr="00D322CD" w:rsidRDefault="00A4580A" w:rsidP="00B543D7">
      <w:pPr>
        <w:rPr>
          <w:lang w:val="en-US"/>
        </w:rPr>
      </w:pPr>
      <w:r w:rsidRPr="00B543D7">
        <w:rPr>
          <w:highlight w:val="green"/>
          <w:lang w:val="en-US"/>
        </w:rPr>
        <w:t xml:space="preserve">The two </w:t>
      </w:r>
      <w:r w:rsidR="00B543D7" w:rsidRPr="00B543D7">
        <w:rPr>
          <w:highlight w:val="green"/>
          <w:lang w:val="en-US"/>
        </w:rPr>
        <w:t xml:space="preserve">substitution-based </w:t>
      </w:r>
      <w:r w:rsidRPr="00B543D7">
        <w:rPr>
          <w:highlight w:val="green"/>
          <w:lang w:val="en-US"/>
        </w:rPr>
        <w:t xml:space="preserve">scenarios </w:t>
      </w:r>
      <w:r w:rsidR="00B543D7" w:rsidRPr="00B543D7">
        <w:rPr>
          <w:highlight w:val="green"/>
          <w:lang w:val="en-US"/>
        </w:rPr>
        <w:t>(i.e., half-LOQ and log-normal imputation) produced comparable results</w:t>
      </w:r>
      <w:r w:rsidRPr="00B543D7">
        <w:rPr>
          <w:highlight w:val="green"/>
          <w:lang w:val="en-US"/>
        </w:rPr>
        <w:t xml:space="preserve">. </w:t>
      </w:r>
      <w:r w:rsidR="00B543D7" w:rsidRPr="00B543D7">
        <w:rPr>
          <w:highlight w:val="green"/>
          <w:lang w:val="en-US"/>
        </w:rPr>
        <w:t>Similarly, t</w:t>
      </w:r>
      <w:r w:rsidRPr="00B543D7">
        <w:rPr>
          <w:highlight w:val="green"/>
          <w:lang w:val="en-US"/>
        </w:rPr>
        <w:t xml:space="preserve">he Kaplan-Meier </w:t>
      </w:r>
      <w:r w:rsidR="00B543D7" w:rsidRPr="00B543D7">
        <w:rPr>
          <w:highlight w:val="green"/>
          <w:lang w:val="en-US"/>
        </w:rPr>
        <w:t>method yielded results consistent with the substitution approaches, except</w:t>
      </w:r>
      <w:r w:rsidRPr="00B543D7">
        <w:rPr>
          <w:highlight w:val="green"/>
          <w:lang w:val="en-US"/>
        </w:rPr>
        <w:t xml:space="preserve"> for eight compound</w:t>
      </w:r>
      <w:r w:rsidR="00B543D7" w:rsidRPr="00B543D7">
        <w:rPr>
          <w:highlight w:val="green"/>
          <w:lang w:val="en-US"/>
        </w:rPr>
        <w:t>s</w:t>
      </w:r>
      <w:r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Pr="00B543D7">
        <w:rPr>
          <w:highlight w:val="green"/>
          <w:lang w:val="en-US"/>
        </w:rPr>
        <w:t>summary statistics</w:t>
      </w:r>
      <w:r w:rsidR="00B543D7" w:rsidRPr="00B543D7">
        <w:rPr>
          <w:highlight w:val="green"/>
          <w:lang w:val="en-US"/>
        </w:rPr>
        <w:t xml:space="preserve"> could not be estimated</w:t>
      </w:r>
      <w:r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Pr="00B543D7">
        <w:rPr>
          <w:highlight w:val="green"/>
          <w:lang w:val="en-US"/>
        </w:rPr>
        <w:t>, except for PFU</w:t>
      </w:r>
      <w:r w:rsidR="008032F3" w:rsidRPr="00B543D7">
        <w:rPr>
          <w:highlight w:val="green"/>
          <w:lang w:val="en-US"/>
        </w:rPr>
        <w:t>nDA, PFTeDA, Br-PFOS, and 2:2 FTSA</w:t>
      </w:r>
      <w:r w:rsidR="003774E3"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003774E3"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r w:rsidR="008032F3" w:rsidRPr="00B543D7">
        <w:rPr>
          <w:highlight w:val="green"/>
          <w:lang w:val="en-US"/>
        </w:rPr>
        <w:t>biodilution or biomagnification</w:t>
      </w:r>
      <w:r w:rsidR="003774E3"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AB5A35" w:rsidR="003774E3" w:rsidRDefault="003774E3" w:rsidP="003774E3">
      <w:pPr>
        <w:pStyle w:val="Lgende"/>
        <w:rPr>
          <w:lang w:val="en-US"/>
        </w:rPr>
      </w:pPr>
      <w:bookmarkStart w:id="51" w:name="_Ref200965437"/>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E50086">
        <w:rPr>
          <w:noProof/>
          <w:highlight w:val="green"/>
          <w:lang w:val="en-US"/>
        </w:rPr>
        <w:t>11</w:t>
      </w:r>
      <w:r w:rsidRPr="007B167E">
        <w:rPr>
          <w:highlight w:val="green"/>
        </w:rPr>
        <w:fldChar w:fldCharType="end"/>
      </w:r>
      <w:bookmarkEnd w:id="51"/>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63228F">
      <w:pPr>
        <w:pStyle w:val="Titre3"/>
        <w:numPr>
          <w:ilvl w:val="2"/>
          <w:numId w:val="8"/>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25B6B9CA" w:rsidR="00D8789F" w:rsidRDefault="00165B63" w:rsidP="00D8789F">
      <w:pPr>
        <w:rPr>
          <w:highlight w:val="green"/>
          <w:lang w:val="en-US"/>
        </w:rPr>
      </w:pPr>
      <w:r w:rsidRPr="00165B63">
        <w:rPr>
          <w:highlight w:val="green"/>
          <w:lang w:val="en-US"/>
        </w:rPr>
        <w:t>For a given perfluorinated chain length of eight carbon atoms, perfluoroalkyl sulfonates (PFSAs) exhibit higher median BMF estimates, indicating biomagnification, whereas the other sub-families show patterns consistent with biodilution. In contrast, within the perfluoroalkyl carboxylic acids (PFCAs) sub-family, BMF estimates show no clear trend with increasing chain length</w:t>
      </w:r>
      <w:r w:rsidR="00D322CD">
        <w:rPr>
          <w:highlight w:val="green"/>
          <w:lang w:val="en-US"/>
        </w:rPr>
        <w:t xml:space="preserve">: compounds with 11 (PFUnDA) </w:t>
      </w:r>
      <w:r w:rsidR="00D322CD">
        <w:rPr>
          <w:highlight w:val="green"/>
          <w:lang w:val="en-US"/>
        </w:rPr>
        <w:lastRenderedPageBreak/>
        <w:t>and 14 (PFTeDA) carbon atoms in their perfluorinated chains have median values below 1 whereas the others are above 1</w:t>
      </w:r>
      <w:r w:rsidRPr="00165B63">
        <w:rPr>
          <w:highlight w:val="green"/>
          <w:lang w:val="en-US"/>
        </w:rPr>
        <w:t>.</w:t>
      </w:r>
    </w:p>
    <w:p w14:paraId="0A54D554" w14:textId="66530506" w:rsidR="00D322CD" w:rsidRPr="00A41C19" w:rsidRDefault="00A41C19" w:rsidP="00A41C19">
      <w:pPr>
        <w:rPr>
          <w:highlight w:val="green"/>
        </w:rPr>
      </w:pPr>
      <w:r w:rsidRPr="00A41C19">
        <w:rPr>
          <w:highlight w:val="green"/>
          <w:lang w:val="en-US"/>
        </w:rPr>
        <w:t>L-PFOS, commonly used as a reference compound for PFAS biomagnification, showed median BMF values above 1 across all scenarios, suggesting its biomagnification despite minimum values slightly below 1. Six out of eleven PFAS exhibited median BMF values greater than 1, indicating potential biomagnification, in good agreement with previous findings on PCBs and PFAS in the Gironde estuary</w:t>
      </w:r>
      <w:r w:rsidRPr="00A41C19">
        <w:rPr>
          <w:highlight w:val="green"/>
          <w:lang w:val="en-US"/>
        </w:rPr>
        <w:t xml:space="preserve"> </w:t>
      </w:r>
      <w:r w:rsidR="00D322CD" w:rsidRPr="00A41C19">
        <w:rPr>
          <w:highlight w:val="green"/>
        </w:rPr>
        <w:fldChar w:fldCharType="begin"/>
      </w:r>
      <w:r w:rsidR="00D322CD" w:rsidRPr="00A41C19">
        <w:rPr>
          <w:highlight w:val="green"/>
          <w:lang w:val="en-US"/>
        </w:rPr>
        <w:instrText xml:space="preserve"> ADDIN ZOTERO_ITEM CSL_CITATION {"citationID":"rGHZkuXZ","properties":{"formattedCitation":"(Munoz {\\i{}et al.}, 2017; Lauzent, 2018)","plainCitation":"(Munoz et al., 2017; Lauzent, 2018)","noteIndex":0},"citationItems":[{"id":806,"uris":["http://zotero.org/users/3305729/items/VL5XE288"],"itemData":{"id":806,"type":"article-journal","abstract":"The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w:instrText>
      </w:r>
      <w:r w:rsidR="00D322CD" w:rsidRPr="00A41C19">
        <w:rPr>
          <w:highlight w:val="green"/>
        </w:rPr>
        <w:instrText>Σ</w:instrText>
      </w:r>
      <w:r w:rsidR="00D322CD" w:rsidRPr="00A41C19">
        <w:rPr>
          <w:highlight w:val="green"/>
          <w:lang w:val="en-US"/>
        </w:rPr>
        <w:instrText xml:space="preserve">PFASs ranged between 0.66−45 ng per g of wet weight of the whole body. Benthic organisms had relatively high </w:instrText>
      </w:r>
      <w:r w:rsidR="00D322CD" w:rsidRPr="00A41C19">
        <w:rPr>
          <w:highlight w:val="green"/>
        </w:rPr>
        <w:instrText>Σ</w:instrText>
      </w:r>
      <w:r w:rsidR="00D322CD" w:rsidRPr="00A41C19">
        <w:rPr>
          <w:highlight w:val="green"/>
          <w:lang w:val="en-US"/>
        </w:rPr>
        <w:instrText xml:space="preserve">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w:instrText>
      </w:r>
      <w:r w:rsidR="00D322CD" w:rsidRPr="00A41C19">
        <w:rPr>
          <w:highlight w:val="green"/>
        </w:rPr>
        <w:instrText>δ</w:instrText>
      </w:r>
      <w:r w:rsidR="00D322CD" w:rsidRPr="00A41C19">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id":386,"uris":["http://zotero.org/users/3305729/items/5ACZKVDC"],</w:instrText>
      </w:r>
      <w:r w:rsidR="00D322CD" w:rsidRPr="00A41C19">
        <w:rPr>
          <w:highlight w:val="green"/>
        </w:rPr>
        <w:instrText xml:space="preserve">"itemData":{"id":386,"type":"article-journal","title":"Etude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D322CD" w:rsidRPr="00A41C19">
        <w:rPr>
          <w:highlight w:val="green"/>
        </w:rPr>
        <w:fldChar w:fldCharType="separate"/>
      </w:r>
      <w:r w:rsidR="00D322CD" w:rsidRPr="00A41C19">
        <w:rPr>
          <w:rFonts w:ascii="Calibri" w:hAnsi="Calibri" w:cs="Calibri"/>
          <w:szCs w:val="24"/>
          <w:highlight w:val="green"/>
        </w:rPr>
        <w:t xml:space="preserve">(Munoz </w:t>
      </w:r>
      <w:r w:rsidR="00D322CD" w:rsidRPr="00A41C19">
        <w:rPr>
          <w:rFonts w:ascii="Calibri" w:hAnsi="Calibri" w:cs="Calibri"/>
          <w:i/>
          <w:iCs/>
          <w:szCs w:val="24"/>
          <w:highlight w:val="green"/>
        </w:rPr>
        <w:t>et al.</w:t>
      </w:r>
      <w:r w:rsidR="00D322CD" w:rsidRPr="00A41C19">
        <w:rPr>
          <w:rFonts w:ascii="Calibri" w:hAnsi="Calibri" w:cs="Calibri"/>
          <w:szCs w:val="24"/>
          <w:highlight w:val="green"/>
        </w:rPr>
        <w:t>, 2017; Lauzent, 2018)</w:t>
      </w:r>
      <w:r w:rsidR="00D322CD" w:rsidRPr="00A41C19">
        <w:rPr>
          <w:highlight w:val="green"/>
        </w:rPr>
        <w:fldChar w:fldCharType="end"/>
      </w:r>
      <w:r w:rsidR="00D322CD" w:rsidRPr="00A41C19">
        <w:rPr>
          <w:highlight w:val="green"/>
        </w:rPr>
        <w:t>.</w:t>
      </w:r>
    </w:p>
    <w:p w14:paraId="1F6F564A" w14:textId="77777777" w:rsidR="00165B63" w:rsidRPr="00165B63" w:rsidRDefault="00D8789F" w:rsidP="00165B63">
      <w:pPr>
        <w:keepNext/>
        <w:rPr>
          <w:highlight w:val="green"/>
        </w:rPr>
      </w:pPr>
      <w:r w:rsidRPr="00165B63">
        <w:rPr>
          <w:noProof/>
          <w:highlight w:val="green"/>
          <w:lang w:val="en-US"/>
        </w:rPr>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5F7CC219"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E50086">
        <w:rPr>
          <w:noProof/>
          <w:highlight w:val="green"/>
          <w:lang w:val="en-US"/>
        </w:rPr>
        <w:t>12</w:t>
      </w:r>
      <w:r w:rsidRPr="00165B63">
        <w:rPr>
          <w:highlight w:val="green"/>
        </w:rPr>
        <w:fldChar w:fldCharType="end"/>
      </w:r>
      <w:r w:rsidRPr="00165B63">
        <w:rPr>
          <w:highlight w:val="green"/>
          <w:lang w:val="en-US"/>
        </w:rPr>
        <w:t xml:space="preserve"> – Comparison of diet-based BMFs for PFASs estimated using the ROS method, by perfluorinated chain length and sub-family.</w:t>
      </w:r>
    </w:p>
    <w:p w14:paraId="535BC1FA" w14:textId="57D5FA50" w:rsidR="001B7A28" w:rsidRPr="009A6374" w:rsidRDefault="00FA23AA" w:rsidP="009A6374">
      <w:pPr>
        <w:pStyle w:val="Titre1"/>
        <w:rPr>
          <w:lang w:val="fr-FR"/>
        </w:rPr>
      </w:pPr>
      <w:bookmarkStart w:id="52" w:name="_Toc199498314"/>
      <w:r w:rsidRPr="0060211A">
        <w:t>Discussion</w:t>
      </w:r>
      <w:bookmarkStart w:id="53" w:name="_Toc199498315"/>
      <w:bookmarkEnd w:id="52"/>
    </w:p>
    <w:p w14:paraId="0D70137F" w14:textId="498CE462" w:rsidR="006A5A6A" w:rsidRPr="009A6374" w:rsidRDefault="009A6374" w:rsidP="0060211A">
      <w:pPr>
        <w:pStyle w:val="Titre2"/>
        <w:rPr>
          <w:lang w:val="fr-FR"/>
        </w:rPr>
      </w:pPr>
      <w:r w:rsidRPr="009A6374">
        <w:rPr>
          <w:lang w:val="fr-FR"/>
        </w:rPr>
        <w:t>Influences de la m</w:t>
      </w:r>
      <w:r w:rsidR="006A5A6A" w:rsidRPr="009A6374">
        <w:rPr>
          <w:lang w:val="fr-FR"/>
        </w:rPr>
        <w:t>éthode de calcul des BMF pour les PCB</w:t>
      </w:r>
    </w:p>
    <w:p w14:paraId="63234DFF" w14:textId="0198A727" w:rsidR="008D47C3" w:rsidRPr="00CA09D5" w:rsidRDefault="00CD5F44" w:rsidP="008D47C3">
      <w:pPr>
        <w:pStyle w:val="Titre3"/>
        <w:rPr>
          <w:highlight w:val="green"/>
          <w:lang w:val="en-US"/>
        </w:rPr>
      </w:pPr>
      <w:r w:rsidRPr="00CA09D5">
        <w:rPr>
          <w:highlight w:val="green"/>
          <w:lang w:val="en-US"/>
        </w:rPr>
        <w:t>General patterns indicating PCB biomagnification</w:t>
      </w:r>
    </w:p>
    <w:p w14:paraId="7B5DC072" w14:textId="0396D628" w:rsidR="009A6374" w:rsidRPr="00CA09D5" w:rsidRDefault="00CD5F44" w:rsidP="0060211A">
      <w:pPr>
        <w:rPr>
          <w:lang w:val="en-US"/>
        </w:rPr>
      </w:pPr>
      <w:r w:rsidRPr="00CA09D5">
        <w:rPr>
          <w:highlight w:val="green"/>
          <w:lang w:val="en-US"/>
        </w:rPr>
        <w:t>All four scenarios show similar results, indicating the biomagnification of CB153 and most PCBs overall.</w:t>
      </w:r>
      <w:r w:rsidRPr="00CA09D5">
        <w:rPr>
          <w:highlight w:val="green"/>
          <w:lang w:val="en-US"/>
        </w:rPr>
        <w:t xml:space="preserve"> </w:t>
      </w:r>
      <w:r w:rsidRPr="00CA09D5">
        <w:rPr>
          <w:highlight w:val="green"/>
          <w:lang w:val="en-US"/>
        </w:rPr>
        <w:t>Indeed, numerous experimental and in situ studies have reported PCB biomagnification</w:t>
      </w:r>
      <w:r w:rsidR="009C2E3B" w:rsidRPr="00CA09D5">
        <w:rPr>
          <w:highlight w:val="green"/>
          <w:lang w:val="en-US"/>
        </w:rPr>
        <w:t xml:space="preserve"> </w:t>
      </w:r>
      <w:r w:rsidR="00F940CE" w:rsidRPr="00CA09D5">
        <w:rPr>
          <w:highlight w:val="green"/>
        </w:rPr>
        <w:fldChar w:fldCharType="begin"/>
      </w:r>
      <w:r w:rsidR="000C4928" w:rsidRPr="00CA09D5">
        <w:rPr>
          <w:highlight w:val="green"/>
          <w:lang w:val="en-US"/>
        </w:rPr>
        <w:instrText xml:space="preserve"> ADDIN ZOTERO_ITEM CSL_CITATION {"citationID":"H4U2Bkyt","properties":{"formattedCitation":"(Fisk {\\i{}et al.}, 1998; Loizeau, Abarnou and M\\uc0\\u233{}nesguen, 2001; Walters {\\i{}et al.}, 2011; Kobayashi {\\i{}et al.}, 2015)","plainCitation":"(Fisk et al., 1998; Loizeau, Abarnou and Ménesguen, 2001; Walters et al., 2011; Kobayashi et al., 2015)","noteIndex":0},"citationItems":[{"id":362,"uris":["http://zotero.org/users/3305729/items/7DVKV6X4"],"itemData":{"id":362,"type":"article-journal","abstract":"Dietary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w:instrText>
      </w:r>
      <w:r w:rsidR="000C4928" w:rsidRPr="00CA09D5">
        <w:rPr>
          <w:highlight w:val="green"/>
        </w:rPr>
        <w:instrText xml:space="preserve">ume":"17","author":[{"family":"Fisk","given":"Aaron T."},{"family":"Norstrom","given":"Roos J."},{"family":"Cymbalisty","given":"Chris D."},{"family":"Muir","given":"Derek G.G."}],"issued":{"date-parts":[["1998"]]},"citation-key":"fiskDietaryAccumulationDepuration1998"}},{"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sidR="00F940CE" w:rsidRPr="00CA09D5">
        <w:rPr>
          <w:highlight w:val="green"/>
        </w:rPr>
        <w:fldChar w:fldCharType="separate"/>
      </w:r>
      <w:r w:rsidR="000C4928" w:rsidRPr="00CA09D5">
        <w:rPr>
          <w:rFonts w:ascii="Calibri" w:hAnsi="Calibri" w:cs="Calibri"/>
          <w:szCs w:val="24"/>
          <w:highlight w:val="green"/>
        </w:rPr>
        <w:t xml:space="preserve">(Fisk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xml:space="preserve">, 1998; Loizeau, Abarnou and Ménesguen, 2001; Walters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xml:space="preserve">, 2011; Kobayashi </w:t>
      </w:r>
      <w:r w:rsidR="000C4928" w:rsidRPr="00CA09D5">
        <w:rPr>
          <w:rFonts w:ascii="Calibri" w:hAnsi="Calibri" w:cs="Calibri"/>
          <w:i/>
          <w:iCs/>
          <w:szCs w:val="24"/>
          <w:highlight w:val="green"/>
        </w:rPr>
        <w:t>et al.</w:t>
      </w:r>
      <w:r w:rsidR="000C4928" w:rsidRPr="00CA09D5">
        <w:rPr>
          <w:rFonts w:ascii="Calibri" w:hAnsi="Calibri" w:cs="Calibri"/>
          <w:szCs w:val="24"/>
          <w:highlight w:val="green"/>
        </w:rPr>
        <w:t>, 2015)</w:t>
      </w:r>
      <w:r w:rsidR="00F940CE" w:rsidRPr="00CA09D5">
        <w:rPr>
          <w:highlight w:val="green"/>
        </w:rPr>
        <w:fldChar w:fldCharType="end"/>
      </w:r>
      <w:r w:rsidR="003F58CD" w:rsidRPr="00CA09D5">
        <w:rPr>
          <w:highlight w:val="green"/>
        </w:rPr>
        <w:t xml:space="preserve">. </w:t>
      </w:r>
      <w:r w:rsidRPr="00CA09D5">
        <w:rPr>
          <w:highlight w:val="green"/>
          <w:lang w:val="en-US"/>
        </w:rPr>
        <w:t>However, some studies report higher BMF values</w:t>
      </w:r>
      <w:r w:rsidR="000E0616" w:rsidRPr="00CA09D5">
        <w:rPr>
          <w:highlight w:val="green"/>
          <w:lang w:val="en-US"/>
        </w:rPr>
        <w:t xml:space="preserve">. </w:t>
      </w:r>
      <w:r w:rsidRPr="00CA09D5">
        <w:rPr>
          <w:highlight w:val="green"/>
          <w:lang w:val="en-US"/>
        </w:rPr>
        <w:t>For example, the BMF of CB153 was estimated at 16 in a dietary exposure experiment on rainbow trout</w:t>
      </w:r>
      <w:r w:rsidR="003F58CD" w:rsidRPr="00CA09D5">
        <w:rPr>
          <w:highlight w:val="green"/>
          <w:lang w:val="en-US"/>
        </w:rPr>
        <w:t xml:space="preserve"> </w:t>
      </w:r>
      <w:r w:rsidR="003F58CD" w:rsidRPr="00CA09D5">
        <w:rPr>
          <w:highlight w:val="green"/>
        </w:rPr>
        <w:fldChar w:fldCharType="begin"/>
      </w:r>
      <w:r w:rsidR="003F58CD" w:rsidRPr="00CA09D5">
        <w:rPr>
          <w:highlight w:val="green"/>
          <w:lang w:val="en-US"/>
        </w:rPr>
        <w:instrText xml:space="preserve"> ADDIN ZOTERO_ITEM CSL_CITATION {"citationID":"jpTiG6Pw","properties":{"formattedCitation":"(Fisk {\\i{}et al.}, 1998)","plainCitation":"(Fisk et al., 1998)","noteIndex":0},"citationItems":[{"id":362,"uris":["http://zotero.org/users/3305729/items/7DVKV6X4"],"itemData":{"id":362,"type":"article-journal","abstract":"Dietary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w:instrText>
      </w:r>
      <w:r w:rsidR="003F58CD" w:rsidRPr="00CA09D5">
        <w:rPr>
          <w:highlight w:val="green"/>
        </w:rPr>
        <w:instrText xml:space="preserve">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G.G."}],"issued":{"date-parts":[["1998"]]},"citation-key":"fiskDietaryAccumulationDepuration1998"}}],"schema":"https://github.com/citation-style-language/schema/raw/master/csl-citation.json"} </w:instrText>
      </w:r>
      <w:r w:rsidR="003F58CD" w:rsidRPr="00CA09D5">
        <w:rPr>
          <w:highlight w:val="green"/>
        </w:rPr>
        <w:fldChar w:fldCharType="separate"/>
      </w:r>
      <w:r w:rsidR="003F58CD" w:rsidRPr="00CA09D5">
        <w:rPr>
          <w:rFonts w:ascii="Calibri" w:hAnsi="Calibri" w:cs="Calibri"/>
          <w:highlight w:val="green"/>
        </w:rPr>
        <w:t xml:space="preserve">(Fisk </w:t>
      </w:r>
      <w:r w:rsidR="003F58CD" w:rsidRPr="00CA09D5">
        <w:rPr>
          <w:rFonts w:ascii="Calibri" w:hAnsi="Calibri" w:cs="Calibri"/>
          <w:i/>
          <w:iCs/>
          <w:highlight w:val="green"/>
        </w:rPr>
        <w:t>et al.</w:t>
      </w:r>
      <w:r w:rsidR="003F58CD" w:rsidRPr="00CA09D5">
        <w:rPr>
          <w:rFonts w:ascii="Calibri" w:hAnsi="Calibri" w:cs="Calibri"/>
          <w:highlight w:val="green"/>
        </w:rPr>
        <w:t>, 1998)</w:t>
      </w:r>
      <w:r w:rsidR="003F58CD" w:rsidRPr="00CA09D5">
        <w:rPr>
          <w:highlight w:val="green"/>
        </w:rPr>
        <w:fldChar w:fldCharType="end"/>
      </w:r>
      <w:r w:rsidR="00C10679" w:rsidRPr="00CA09D5">
        <w:rPr>
          <w:highlight w:val="green"/>
        </w:rPr>
        <w:t>.</w:t>
      </w:r>
      <w:r w:rsidR="003F58CD" w:rsidRPr="00CA09D5">
        <w:rPr>
          <w:highlight w:val="green"/>
        </w:rPr>
        <w:t xml:space="preserve"> </w:t>
      </w:r>
      <w:r w:rsidRPr="00CA09D5">
        <w:rPr>
          <w:highlight w:val="green"/>
          <w:lang w:val="en-US"/>
        </w:rPr>
        <w:t>In this case, t</w:t>
      </w:r>
      <w:r w:rsidRPr="00CA09D5">
        <w:rPr>
          <w:highlight w:val="green"/>
          <w:lang w:val="en-US"/>
        </w:rPr>
        <w:t>he lower values observed here could be due to (1)</w:t>
      </w:r>
      <w:r w:rsidRPr="00CA09D5">
        <w:rPr>
          <w:highlight w:val="green"/>
          <w:lang w:val="en-US"/>
        </w:rPr>
        <w:t xml:space="preserve"> </w:t>
      </w:r>
      <w:r w:rsidRPr="00CA09D5">
        <w:rPr>
          <w:highlight w:val="green"/>
          <w:lang w:val="en-US"/>
        </w:rPr>
        <w:t>the rapid lipid metabolism in small, fast-growing sole, which also have relatively low lipid contents</w:t>
      </w:r>
      <w:r w:rsidRPr="00CA09D5">
        <w:rPr>
          <w:highlight w:val="green"/>
          <w:lang w:val="en-US"/>
        </w:rPr>
        <w:t xml:space="preserve"> </w:t>
      </w:r>
      <w:r w:rsidR="00335349" w:rsidRPr="00CA09D5">
        <w:rPr>
          <w:highlight w:val="green"/>
        </w:rPr>
        <w:fldChar w:fldCharType="begin"/>
      </w:r>
      <w:r w:rsidR="00335349" w:rsidRPr="00CA09D5">
        <w:rPr>
          <w:highlight w:val="green"/>
          <w:lang w:val="en-US"/>
        </w:rPr>
        <w:instrText xml:space="preserve"> ADDIN ZOTERO_ITEM CSL_CITATION {"citationID":"qMuDBC7A","properties":{"formattedCitation":"(Fisk {\\i{}et al.}, 1998; Antunes {\\i{}et al.}, 2008)","plainCitation":"(Fisk et al., 1998; Antunes et al., 2008)","noteIndex":0},"citationItems":[{"id":362,"uris":["http://zotero.org/users/3305729/items/7DVKV6X4"],"itemData":{"id":362,"type":"article-journal","abstract":"Dietary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w:instrText>
      </w:r>
      <w:r w:rsidR="00335349" w:rsidRPr="00CA09D5">
        <w:rPr>
          <w:highlight w:val="green"/>
        </w:rPr>
        <w:instrText>/2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G.G."}],"issued":{"date-parts":[["1998"]]},"citation-key":"fiskDietaryAccumulationDepuration1998"}},{"id":108,"uris":["http://zotero.org/users/3305729/items/6RHGETJD"],"itemData":{"id":108,"type":"article-journal","abstract":"The present study quantifies and explains the differences between measured organ-specific polychlorinated biphenyls (PCBs) accumulation and elimination kinetics in seabass (Dicentrarchus labrax), comparing these results with calculations using the generic model OMEGA. Specimens of approximately 250??g were selected and fed with contaminated f</w:instrText>
      </w:r>
      <w:r w:rsidR="00335349" w:rsidRPr="00CA09D5">
        <w:rPr>
          <w:highlight w:val="green"/>
          <w:lang w:val="en-US"/>
        </w:rPr>
        <w:instrText xml:space="preserve">ood with PCBs 18, 44, 49, 52, 101, 105, 118, 138, 180 and 187. The OMEGA model was applied using a measured biomass (re)production coefficient and the food ingestion coefficient. It produced estimations of total body concentrations within a factor between 1.5 and 7.0 times of the measured and it also reproduced the general trend of the PCB concentrations during the experiment. This study allows us to confirm that internal distribution of PCBs is slow, producing significant differences in the tissues elimination rate constants and consequently in tissues bioaccumulation factors (BAF). The distribution of PCBs within the organism was slower than reported before, due to the bigger body size and the high lipid content of these fish. ?? 2008 Elsevier B.V. All rights reserved.","container-title":"Science of the Total Environment","DOI":"10.1016/j.scitotenv.2008.09.005","ISSN":"0048-9697","issue":"1","page":"204-210","title":"Organ-specific accumulation and elimination patterns of PCBs in adult seabass (Dicentrarchus labrax)","volume":"407","author":[{"family":"Antunes","given":"Paulo"},{"family":"Hendriks","given":"A. Jan"},{"family":"Huijbregts","given":"Mar"},{"family":"Gil","given":"O."},{"family":"Reis-Henriques","given":"M.","dropping-particle":"a."}],"issued":{"date-parts":[["2008"]]},"citation-key":"antunesOrganspecificAccumulationElimination2008"}}],"schema":"https://github.com/citation-style-language/schema/raw/master/csl-citation.json"} </w:instrText>
      </w:r>
      <w:r w:rsidR="00335349" w:rsidRPr="00CA09D5">
        <w:rPr>
          <w:highlight w:val="green"/>
        </w:rPr>
        <w:fldChar w:fldCharType="separate"/>
      </w:r>
      <w:r w:rsidR="00335349" w:rsidRPr="00CA09D5">
        <w:rPr>
          <w:rFonts w:ascii="Calibri" w:hAnsi="Calibri" w:cs="Calibri"/>
          <w:szCs w:val="24"/>
          <w:highlight w:val="green"/>
          <w:lang w:val="en-US"/>
        </w:rPr>
        <w:t xml:space="preserve">(Fisk </w:t>
      </w:r>
      <w:r w:rsidR="00335349" w:rsidRPr="00CA09D5">
        <w:rPr>
          <w:rFonts w:ascii="Calibri" w:hAnsi="Calibri" w:cs="Calibri"/>
          <w:i/>
          <w:iCs/>
          <w:szCs w:val="24"/>
          <w:highlight w:val="green"/>
          <w:lang w:val="en-US"/>
        </w:rPr>
        <w:t>et al.</w:t>
      </w:r>
      <w:r w:rsidR="00335349" w:rsidRPr="00CA09D5">
        <w:rPr>
          <w:rFonts w:ascii="Calibri" w:hAnsi="Calibri" w:cs="Calibri"/>
          <w:szCs w:val="24"/>
          <w:highlight w:val="green"/>
          <w:lang w:val="en-US"/>
        </w:rPr>
        <w:t xml:space="preserve">, 1998; Antunes </w:t>
      </w:r>
      <w:r w:rsidR="00335349" w:rsidRPr="00CA09D5">
        <w:rPr>
          <w:rFonts w:ascii="Calibri" w:hAnsi="Calibri" w:cs="Calibri"/>
          <w:i/>
          <w:iCs/>
          <w:szCs w:val="24"/>
          <w:highlight w:val="green"/>
          <w:lang w:val="en-US"/>
        </w:rPr>
        <w:t>et al.</w:t>
      </w:r>
      <w:r w:rsidR="00335349" w:rsidRPr="00CA09D5">
        <w:rPr>
          <w:rFonts w:ascii="Calibri" w:hAnsi="Calibri" w:cs="Calibri"/>
          <w:szCs w:val="24"/>
          <w:highlight w:val="green"/>
          <w:lang w:val="en-US"/>
        </w:rPr>
        <w:t>, 2008)</w:t>
      </w:r>
      <w:r w:rsidR="00335349" w:rsidRPr="00CA09D5">
        <w:rPr>
          <w:highlight w:val="green"/>
        </w:rPr>
        <w:fldChar w:fldCharType="end"/>
      </w:r>
      <w:r w:rsidRPr="00CA09D5">
        <w:rPr>
          <w:highlight w:val="green"/>
          <w:lang w:val="en-US"/>
        </w:rPr>
        <w:t>, and</w:t>
      </w:r>
      <w:r w:rsidR="00335349" w:rsidRPr="00CA09D5">
        <w:rPr>
          <w:highlight w:val="green"/>
          <w:lang w:val="en-US"/>
        </w:rPr>
        <w:t xml:space="preserve"> (2) </w:t>
      </w:r>
      <w:r w:rsidRPr="00CA09D5">
        <w:rPr>
          <w:highlight w:val="green"/>
          <w:lang w:val="en-US"/>
        </w:rPr>
        <w:t>the lower contamination levels and lipid contents in the prey compared to the commercial food pellets used in dietary accumulation experiments</w:t>
      </w:r>
      <w:r w:rsidRPr="00CA09D5">
        <w:rPr>
          <w:highlight w:val="green"/>
          <w:lang w:val="en-US"/>
        </w:rPr>
        <w:t xml:space="preserve"> </w:t>
      </w:r>
      <w:r w:rsidR="00335349" w:rsidRPr="00CA09D5">
        <w:rPr>
          <w:highlight w:val="green"/>
        </w:rPr>
        <w:fldChar w:fldCharType="begin"/>
      </w:r>
      <w:r w:rsidR="00D46F1A" w:rsidRPr="00CA09D5">
        <w:rPr>
          <w:highlight w:val="green"/>
          <w:lang w:val="en-US"/>
        </w:rPr>
        <w:instrText xml:space="preserve"> ADDIN ZOTERO_ITEM CSL_CITATION {"citationID":"eKmZyyoj","properties":{"formattedCitation":"(Burreau {\\i{}et al.}, 1997; Fisk {\\i{}et al.}, 1998; Gobas {\\i{}et al.}, 1999; Liu, Haffner and Drouillard, 2010)","plainCitation":"(Burreau et al., 1997; Fisk et al., 1998; Gobas et al., 1999; Liu, Haffner and Drouillard, 2010)","noteIndex":0},"citationItems":[{"id":601,"uris":["http://zotero.org/users/3305729/items/GD3GKBKS"],"itemData":{"id":601,"type":"article-journal","container-title":"Environmental Toxicology and Chemistry","DOI":"10.1002/etc.5620161211","issue":"12","page":"2508-2513","title":"Dietary uptake in pike ( Esox lucius ) of some polychlorinated biphenyls, polychlorinated naphthalenes and polybrominated diphenyl ethers administered in natural diet","volume":"16","author":[{"family":"Burreau","given":"Sven"},{"family":"Axelman","given":"Johan"},{"family":"Broman","given":"Dag"},{"family":"Jakobsson","given":"Eva"}],"issued":{"date-parts":[["1997",12]]},"citation-key":"burreauDietaryUptakePike1997"}},{"id":362,"uris":["http://zotero.org/users/3305729/items/7DVKV6X4"],"itemData":{"id":362,"type":"article-journal","abstract":"Dietary accumulation of 23 hydrophobic organochlorines (OCs) by juvenile rainbow trout (Oncorhynchus mykiss) was studied with the objective of obtaining relationships between bioaccumulat</w:instrText>
      </w:r>
      <w:r w:rsidR="00D46F1A" w:rsidRPr="00CA09D5">
        <w:rPr>
          <w:highlight w:val="green"/>
        </w:rPr>
        <w:instrText xml:space="preserve">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335349" w:rsidRPr="00CA09D5">
        <w:rPr>
          <w:highlight w:val="green"/>
        </w:rPr>
        <w:fldChar w:fldCharType="separate"/>
      </w:r>
      <w:r w:rsidR="00D46F1A" w:rsidRPr="00CA09D5">
        <w:rPr>
          <w:rFonts w:ascii="Calibri" w:hAnsi="Calibri" w:cs="Calibri"/>
          <w:szCs w:val="24"/>
          <w:highlight w:val="green"/>
        </w:rPr>
        <w:t xml:space="preserve">(Burreau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xml:space="preserve">, 1997; Fisk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xml:space="preserve">, 1998; Gobas </w:t>
      </w:r>
      <w:r w:rsidR="00D46F1A" w:rsidRPr="00CA09D5">
        <w:rPr>
          <w:rFonts w:ascii="Calibri" w:hAnsi="Calibri" w:cs="Calibri"/>
          <w:i/>
          <w:iCs/>
          <w:szCs w:val="24"/>
          <w:highlight w:val="green"/>
        </w:rPr>
        <w:t>et al.</w:t>
      </w:r>
      <w:r w:rsidR="00D46F1A" w:rsidRPr="00CA09D5">
        <w:rPr>
          <w:rFonts w:ascii="Calibri" w:hAnsi="Calibri" w:cs="Calibri"/>
          <w:szCs w:val="24"/>
          <w:highlight w:val="green"/>
        </w:rPr>
        <w:t>, 1999; Liu, Haffner and Drouillard, 2010)</w:t>
      </w:r>
      <w:r w:rsidR="00335349" w:rsidRPr="00CA09D5">
        <w:rPr>
          <w:highlight w:val="green"/>
        </w:rPr>
        <w:fldChar w:fldCharType="end"/>
      </w:r>
      <w:r w:rsidR="000E0616" w:rsidRPr="00CA09D5">
        <w:rPr>
          <w:highlight w:val="green"/>
        </w:rPr>
        <w:t xml:space="preserve">. </w:t>
      </w:r>
      <w:r w:rsidRPr="00CA09D5">
        <w:rPr>
          <w:highlight w:val="green"/>
          <w:lang w:val="en-US"/>
        </w:rPr>
        <w:t>Other factors may influence BMF values: for instance, TL-BMFs ranged from 1 to 198 in the Northwater Polynya marine food web</w:t>
      </w:r>
      <w:r w:rsidRPr="00CA09D5">
        <w:rPr>
          <w:highlight w:val="green"/>
          <w:lang w:val="en-US"/>
        </w:rPr>
        <w:t xml:space="preserve"> </w:t>
      </w:r>
      <w:r w:rsidR="000E0616" w:rsidRPr="00CA09D5">
        <w:rPr>
          <w:highlight w:val="green"/>
        </w:rPr>
        <w:fldChar w:fldCharType="begin"/>
      </w:r>
      <w:r w:rsidR="000E0616" w:rsidRPr="00CA09D5">
        <w:rPr>
          <w:highlight w:val="green"/>
          <w:lang w:val="en-US"/>
        </w:rPr>
        <w:instrText xml:space="preserve"> ADDIN ZOTERO_ITEM CSL_CITATION {"citationID":"VRAtNvnY","properties":{"formattedCitation":"(Fisk,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000E0616" w:rsidRPr="00CA09D5">
        <w:rPr>
          <w:highlight w:val="green"/>
        </w:rPr>
        <w:instrText>δ</w:instrText>
      </w:r>
      <w:r w:rsidR="000E0616" w:rsidRPr="00CA09D5">
        <w:rPr>
          <w:highlight w:val="green"/>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w:instrText>
      </w:r>
      <w:r w:rsidR="000E0616" w:rsidRPr="00CA09D5">
        <w:rPr>
          <w:highlight w:val="green"/>
        </w:rPr>
        <w:instrText>ter energy requirement and subsequent feeding rates. Within the homeotherms, seabirds had greater BMFs than ringed seal</w:instrText>
      </w:r>
      <w:r w:rsidR="000E0616" w:rsidRPr="00CA09D5">
        <w:rPr>
          <w:highlight w:val="green"/>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000E0616" w:rsidRPr="00CA09D5">
        <w:rPr>
          <w:highlight w:val="green"/>
        </w:rPr>
        <w:instrText>δ</w:instrText>
      </w:r>
      <w:r w:rsidR="000E0616" w:rsidRPr="00CA09D5">
        <w:rPr>
          <w:highlight w:val="green"/>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000E0616" w:rsidRPr="00CA09D5">
        <w:rPr>
          <w:highlight w:val="green"/>
        </w:rPr>
        <w:fldChar w:fldCharType="separate"/>
      </w:r>
      <w:r w:rsidR="000E0616" w:rsidRPr="00CA09D5">
        <w:rPr>
          <w:rFonts w:ascii="Calibri" w:hAnsi="Calibri" w:cs="Calibri"/>
          <w:highlight w:val="green"/>
          <w:lang w:val="en-US"/>
        </w:rPr>
        <w:t>(Fisk, Hobson and Norstrom, 2001)</w:t>
      </w:r>
      <w:r w:rsidR="000E0616" w:rsidRPr="00CA09D5">
        <w:rPr>
          <w:highlight w:val="green"/>
        </w:rPr>
        <w:fldChar w:fldCharType="end"/>
      </w:r>
      <w:r w:rsidRPr="00CA09D5">
        <w:rPr>
          <w:highlight w:val="green"/>
          <w:lang w:val="en-US"/>
        </w:rPr>
        <w:t xml:space="preserve">, but the highest values corresponded to trophic links between fish and predators such as seabirds, which </w:t>
      </w:r>
      <w:r w:rsidRPr="00CA09D5">
        <w:rPr>
          <w:highlight w:val="green"/>
          <w:lang w:val="en-US"/>
        </w:rPr>
        <w:lastRenderedPageBreak/>
        <w:t xml:space="preserve">exhibit strong bioaccumulation likely due to </w:t>
      </w:r>
      <w:r w:rsidRPr="00CA09D5">
        <w:rPr>
          <w:highlight w:val="green"/>
          <w:lang w:val="en-US"/>
        </w:rPr>
        <w:t xml:space="preserve">(1) </w:t>
      </w:r>
      <w:r w:rsidRPr="00CA09D5">
        <w:rPr>
          <w:highlight w:val="green"/>
          <w:lang w:val="en-US"/>
        </w:rPr>
        <w:t>scavenging behaviors on marine mammals</w:t>
      </w:r>
      <w:r w:rsidR="001022B7" w:rsidRPr="00CA09D5">
        <w:rPr>
          <w:highlight w:val="green"/>
          <w:lang w:val="en-US"/>
        </w:rPr>
        <w:t xml:space="preserve"> </w:t>
      </w:r>
      <w:r w:rsidR="000C4928" w:rsidRPr="00CA09D5">
        <w:rPr>
          <w:highlight w:val="green"/>
        </w:rPr>
        <w:fldChar w:fldCharType="begin"/>
      </w:r>
      <w:r w:rsidR="000C4928" w:rsidRPr="00CA09D5">
        <w:rPr>
          <w:highlight w:val="green"/>
          <w:lang w:val="en-US"/>
        </w:rPr>
        <w:instrText xml:space="preserve"> ADDIN ZOTERO_ITEM CSL_CITATION {"citationID":"TrQE2YmG","properties":{"formattedCitation":"(Fisk,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000C4928" w:rsidRPr="00CA09D5">
        <w:rPr>
          <w:highlight w:val="green"/>
        </w:rPr>
        <w:instrText>δ</w:instrText>
      </w:r>
      <w:r w:rsidR="000C4928" w:rsidRPr="00CA09D5">
        <w:rPr>
          <w:highlight w:val="green"/>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w:instrText>
      </w:r>
      <w:r w:rsidR="000C4928" w:rsidRPr="00CA09D5">
        <w:rPr>
          <w:highlight w:val="green"/>
        </w:rPr>
        <w:instrText>rds and mammals), respectively. Greater biomagnification in homeotherms was attributed to their greater energy requirement and subsequent feeding rates. Within the homeotherms, seabirds had greater BMFs than ringed seal</w:instrText>
      </w:r>
      <w:r w:rsidR="000C4928" w:rsidRPr="00CA09D5">
        <w:rPr>
          <w:highlight w:val="green"/>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000C4928" w:rsidRPr="00CA09D5">
        <w:rPr>
          <w:highlight w:val="green"/>
        </w:rPr>
        <w:instrText>δ</w:instrText>
      </w:r>
      <w:r w:rsidR="000C4928" w:rsidRPr="00CA09D5">
        <w:rPr>
          <w:highlight w:val="green"/>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000C4928" w:rsidRPr="00CA09D5">
        <w:rPr>
          <w:highlight w:val="green"/>
        </w:rPr>
        <w:fldChar w:fldCharType="separate"/>
      </w:r>
      <w:r w:rsidR="000C4928" w:rsidRPr="00CA09D5">
        <w:rPr>
          <w:rFonts w:ascii="Calibri" w:hAnsi="Calibri" w:cs="Calibri"/>
          <w:highlight w:val="green"/>
          <w:lang w:val="en-US"/>
        </w:rPr>
        <w:t>(Fisk, Hobson and Norstrom, 2001)</w:t>
      </w:r>
      <w:r w:rsidR="000C4928" w:rsidRPr="00CA09D5">
        <w:rPr>
          <w:highlight w:val="green"/>
        </w:rPr>
        <w:fldChar w:fldCharType="end"/>
      </w:r>
      <w:r w:rsidRPr="00CA09D5">
        <w:rPr>
          <w:highlight w:val="green"/>
          <w:lang w:val="en-US"/>
        </w:rPr>
        <w:t>,</w:t>
      </w:r>
      <w:r w:rsidR="00CA09D5" w:rsidRPr="00CA09D5">
        <w:rPr>
          <w:highlight w:val="green"/>
          <w:lang w:val="en-US"/>
        </w:rPr>
        <w:t xml:space="preserve"> (2)</w:t>
      </w:r>
      <w:r w:rsidRPr="00CA09D5">
        <w:rPr>
          <w:highlight w:val="green"/>
          <w:lang w:val="en-US"/>
        </w:rPr>
        <w:t xml:space="preserve"> their long lifespan and higher energetic demands (and thus higher feeding rates as homeotherms)</w:t>
      </w:r>
      <w:r w:rsidR="00CA09D5" w:rsidRPr="00CA09D5">
        <w:rPr>
          <w:highlight w:val="green"/>
          <w:lang w:val="en-US"/>
        </w:rPr>
        <w:t xml:space="preserve">, or </w:t>
      </w:r>
      <w:r w:rsidR="00CA09D5" w:rsidRPr="00CA09D5">
        <w:rPr>
          <w:highlight w:val="green"/>
          <w:lang w:val="en-US"/>
        </w:rPr>
        <w:t xml:space="preserve">(3) </w:t>
      </w:r>
      <w:r w:rsidR="00CA09D5" w:rsidRPr="00CA09D5">
        <w:rPr>
          <w:highlight w:val="green"/>
          <w:lang w:val="en-US"/>
        </w:rPr>
        <w:t>simply because measurements in birds are typically based on liver tissues, whereas whole-body concentrations are used for fish — and it is known that PCBs tend to accumulate strongly in the liver</w:t>
      </w:r>
      <w:r w:rsidR="00CA09D5" w:rsidRPr="00CA09D5">
        <w:rPr>
          <w:highlight w:val="green"/>
          <w:lang w:val="en-US"/>
        </w:rPr>
        <w:t xml:space="preserve"> </w:t>
      </w:r>
      <w:r w:rsidR="000C4928" w:rsidRPr="00CA09D5">
        <w:rPr>
          <w:highlight w:val="green"/>
        </w:rPr>
        <w:fldChar w:fldCharType="begin"/>
      </w:r>
      <w:r w:rsidR="00F250E5" w:rsidRPr="00CA09D5">
        <w:rPr>
          <w:highlight w:val="green"/>
          <w:lang w:val="en-US"/>
        </w:rPr>
        <w:instrText xml:space="preserve"> ADDIN ZOTERO_ITEM CSL_CITATION {"citationID":"rDVUwgeW","properties":{"formattedCitation":"(Hop {\\i{}et al.}, 2002; Borg\\uc0\\u229{} {\\i{}et al.}, 2004; Walters {\\i{}et al.}, 2011)","plainCitation":"(Hop et al., 2002; Borgå et al., 2004; Walters et al., 2011)","noteIndex":0},"citationItems":[{"id":1085,"uris":["http://zotero.org/users/3305729/items/BEDV7FZ8"],"itemData":{"id":1085,"type":"article-journal","abstract":"Food web magnification of persistent organic pollutants (POPs) was determined for the Barents Sea food web using </w:instrText>
      </w:r>
      <w:r w:rsidR="00F250E5" w:rsidRPr="00CA09D5">
        <w:rPr>
          <w:highlight w:val="green"/>
        </w:rPr>
        <w:instrText>δ</w:instrText>
      </w:r>
      <w:r w:rsidR="00F250E5" w:rsidRPr="00CA09D5">
        <w:rPr>
          <w:highlight w:val="green"/>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w:instrText>
      </w:r>
      <w:r w:rsidR="00F250E5" w:rsidRPr="00CA09D5">
        <w:rPr>
          <w:highlight w:val="green"/>
        </w:rPr>
        <w:instrText>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w:instrText>
      </w:r>
      <w:r w:rsidR="00F250E5" w:rsidRPr="00CA09D5">
        <w:rPr>
          <w:highlight w:val="green"/>
          <w:lang w:val="en-US"/>
        </w:rPr>
        <w:instrText xml:space="preserv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000C4928" w:rsidRPr="00CA09D5">
        <w:rPr>
          <w:highlight w:val="green"/>
        </w:rPr>
        <w:fldChar w:fldCharType="separate"/>
      </w:r>
      <w:r w:rsidR="00F250E5" w:rsidRPr="00CA09D5">
        <w:rPr>
          <w:rFonts w:ascii="Calibri" w:hAnsi="Calibri" w:cs="Calibri"/>
          <w:szCs w:val="24"/>
          <w:highlight w:val="green"/>
          <w:lang w:val="en-US"/>
        </w:rPr>
        <w:t xml:space="preserve">(Hop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xml:space="preserve">, 2002; Borgå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xml:space="preserve">, 2004; Walters </w:t>
      </w:r>
      <w:r w:rsidR="00F250E5" w:rsidRPr="00CA09D5">
        <w:rPr>
          <w:rFonts w:ascii="Calibri" w:hAnsi="Calibri" w:cs="Calibri"/>
          <w:i/>
          <w:iCs/>
          <w:szCs w:val="24"/>
          <w:highlight w:val="green"/>
          <w:lang w:val="en-US"/>
        </w:rPr>
        <w:t>et al.</w:t>
      </w:r>
      <w:r w:rsidR="00F250E5" w:rsidRPr="00CA09D5">
        <w:rPr>
          <w:rFonts w:ascii="Calibri" w:hAnsi="Calibri" w:cs="Calibri"/>
          <w:szCs w:val="24"/>
          <w:highlight w:val="green"/>
          <w:lang w:val="en-US"/>
        </w:rPr>
        <w:t>, 2011)</w:t>
      </w:r>
      <w:r w:rsidR="000C4928" w:rsidRPr="00CA09D5">
        <w:rPr>
          <w:highlight w:val="green"/>
        </w:rPr>
        <w:fldChar w:fldCharType="end"/>
      </w:r>
      <w:r w:rsidR="00FF3615" w:rsidRPr="00CA09D5">
        <w:rPr>
          <w:highlight w:val="green"/>
          <w:lang w:val="en-US"/>
        </w:rPr>
        <w:t xml:space="preserve">. </w:t>
      </w:r>
      <w:r w:rsidR="00CA09D5" w:rsidRPr="00CA09D5">
        <w:rPr>
          <w:highlight w:val="green"/>
          <w:lang w:val="en-US"/>
        </w:rPr>
        <w:t>In contrast, BMF values similar to ours have been reported for comparable trophic links, such as between fish and predatory copepods</w:t>
      </w:r>
      <w:r w:rsidR="00FF3615" w:rsidRPr="00CA09D5">
        <w:rPr>
          <w:highlight w:val="green"/>
          <w:lang w:val="en-US"/>
        </w:rPr>
        <w:t>.</w:t>
      </w:r>
      <w:r w:rsidR="00307945" w:rsidRPr="00CA09D5">
        <w:rPr>
          <w:sz w:val="24"/>
          <w:szCs w:val="24"/>
          <w:lang w:val="en-US"/>
        </w:rPr>
        <w:t xml:space="preserve"> </w:t>
      </w:r>
    </w:p>
    <w:p w14:paraId="644D39E2" w14:textId="4292F3D3" w:rsidR="009A6374" w:rsidRDefault="00CA09D5" w:rsidP="00CA09D5">
      <w:pPr>
        <w:pStyle w:val="Titre3"/>
        <w:rPr>
          <w:lang w:val="en-US"/>
        </w:rPr>
      </w:pPr>
      <w:r w:rsidRPr="00CA09D5">
        <w:rPr>
          <w:lang w:val="en-US"/>
        </w:rPr>
        <w:t xml:space="preserve">Marked </w:t>
      </w:r>
      <w:r>
        <w:rPr>
          <w:lang w:val="en-US"/>
        </w:rPr>
        <w:t>i</w:t>
      </w:r>
      <w:r w:rsidRPr="00CA09D5">
        <w:rPr>
          <w:lang w:val="en-US"/>
        </w:rPr>
        <w:t>nter-</w:t>
      </w:r>
      <w:r w:rsidR="00523DB4">
        <w:rPr>
          <w:lang w:val="en-US"/>
        </w:rPr>
        <w:t xml:space="preserve"> and intra-</w:t>
      </w:r>
      <w:r>
        <w:rPr>
          <w:lang w:val="en-US"/>
        </w:rPr>
        <w:t>s</w:t>
      </w:r>
      <w:r w:rsidRPr="00CA09D5">
        <w:rPr>
          <w:lang w:val="en-US"/>
        </w:rPr>
        <w:t xml:space="preserve">pecific </w:t>
      </w:r>
      <w:r>
        <w:rPr>
          <w:lang w:val="en-US"/>
        </w:rPr>
        <w:t>v</w:t>
      </w:r>
      <w:r w:rsidRPr="00CA09D5">
        <w:rPr>
          <w:lang w:val="en-US"/>
        </w:rPr>
        <w:t xml:space="preserve">ariability in </w:t>
      </w:r>
      <w:r>
        <w:rPr>
          <w:lang w:val="en-US"/>
        </w:rPr>
        <w:t>p</w:t>
      </w:r>
      <w:r w:rsidRPr="00CA09D5">
        <w:rPr>
          <w:lang w:val="en-US"/>
        </w:rPr>
        <w:t>redator-</w:t>
      </w:r>
      <w:r>
        <w:rPr>
          <w:lang w:val="en-US"/>
        </w:rPr>
        <w:t>p</w:t>
      </w:r>
      <w:r w:rsidRPr="00CA09D5">
        <w:rPr>
          <w:lang w:val="en-US"/>
        </w:rPr>
        <w:t>rey BMFs</w:t>
      </w:r>
    </w:p>
    <w:p w14:paraId="10C76926" w14:textId="68207352" w:rsidR="0021097B" w:rsidRDefault="00D37CC3" w:rsidP="00D37CC3">
      <w:pPr>
        <w:rPr>
          <w:lang w:val="en-US"/>
        </w:rPr>
      </w:pPr>
      <w:r w:rsidRPr="00D37CC3">
        <w:rPr>
          <w:lang w:val="en-US"/>
        </w:rPr>
        <w:t xml:space="preserve">Our results reveal substantial interspecific variability in BMFs, </w:t>
      </w:r>
      <w:r w:rsidR="00282CF6">
        <w:rPr>
          <w:lang w:val="en-US"/>
        </w:rPr>
        <w:t xml:space="preserve">ranging </w:t>
      </w:r>
      <w:r w:rsidR="00523DB4">
        <w:rPr>
          <w:lang w:val="en-US"/>
        </w:rPr>
        <w:t>from biodilution to biomagnification</w:t>
      </w:r>
      <w:r w:rsidR="00282CF6">
        <w:rPr>
          <w:lang w:val="en-US"/>
        </w:rPr>
        <w:t>. This variability</w:t>
      </w:r>
      <w:r w:rsidRPr="00D37CC3">
        <w:rPr>
          <w:lang w:val="en-US"/>
        </w:rPr>
        <w:t xml:space="preserve"> appears to be closely linked to the heterogeneous contamination levels of prey species</w:t>
      </w:r>
      <w:r w:rsidRPr="00D37CC3">
        <w:rPr>
          <w:lang w:val="en-US"/>
        </w:rPr>
        <w:t xml:space="preserve"> </w:t>
      </w:r>
      <w:r w:rsidR="00CA09D5" w:rsidRPr="00D37CC3">
        <w:rPr>
          <w:lang w:val="en-US"/>
        </w:rPr>
        <w:t xml:space="preserve">(SI section 2.2). </w:t>
      </w:r>
      <w:r w:rsidR="00282CF6">
        <w:rPr>
          <w:lang w:val="en-US"/>
        </w:rPr>
        <w:t>As</w:t>
      </w:r>
      <w:r w:rsidR="00282CF6" w:rsidRPr="00D37CC3">
        <w:rPr>
          <w:lang w:val="en-US"/>
        </w:rPr>
        <w:t xml:space="preserve"> previously noted by </w:t>
      </w:r>
      <w:r w:rsidR="00282CF6" w:rsidRPr="00CA09D5">
        <w:fldChar w:fldCharType="begin"/>
      </w:r>
      <w:r w:rsidR="00282CF6" w:rsidRPr="00D37CC3">
        <w:rPr>
          <w:lang w:val="en-US"/>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82CF6" w:rsidRPr="00CA09D5">
        <w:fldChar w:fldCharType="separate"/>
      </w:r>
      <w:r w:rsidR="00282CF6" w:rsidRPr="00D37CC3">
        <w:rPr>
          <w:rFonts w:ascii="Calibri" w:hAnsi="Calibri" w:cs="Calibri"/>
          <w:lang w:val="en-US"/>
        </w:rPr>
        <w:t xml:space="preserve">(Schäfer </w:t>
      </w:r>
      <w:r w:rsidR="00282CF6" w:rsidRPr="00D37CC3">
        <w:rPr>
          <w:rFonts w:ascii="Calibri" w:hAnsi="Calibri" w:cs="Calibri"/>
          <w:i/>
          <w:iCs/>
          <w:lang w:val="en-US"/>
        </w:rPr>
        <w:t>et al.</w:t>
      </w:r>
      <w:r w:rsidR="00282CF6" w:rsidRPr="00D37CC3">
        <w:rPr>
          <w:rFonts w:ascii="Calibri" w:hAnsi="Calibri" w:cs="Calibri"/>
          <w:lang w:val="en-US"/>
        </w:rPr>
        <w:t>, 2015)</w:t>
      </w:r>
      <w:r w:rsidR="00282CF6" w:rsidRPr="00CA09D5">
        <w:fldChar w:fldCharType="end"/>
      </w:r>
      <w:r w:rsidRPr="00D37CC3">
        <w:rPr>
          <w:lang w:val="en-US"/>
        </w:rPr>
        <w:t xml:space="preserve">, the selection of </w:t>
      </w:r>
      <w:r w:rsidR="00282CF6">
        <w:rPr>
          <w:lang w:val="en-US"/>
        </w:rPr>
        <w:t xml:space="preserve">prey </w:t>
      </w:r>
      <w:r w:rsidRPr="00D37CC3">
        <w:rPr>
          <w:lang w:val="en-US"/>
        </w:rPr>
        <w:t xml:space="preserve">species included in BMF calculations </w:t>
      </w:r>
      <w:r w:rsidR="00282CF6">
        <w:rPr>
          <w:lang w:val="en-US"/>
        </w:rPr>
        <w:t xml:space="preserve">can </w:t>
      </w:r>
      <w:r w:rsidRPr="00D37CC3">
        <w:rPr>
          <w:lang w:val="en-US"/>
        </w:rPr>
        <w:t>significantly influence the outcome of biomagnification assessments</w:t>
      </w:r>
      <w:r w:rsidR="00CA09D5" w:rsidRPr="00D37CC3">
        <w:rPr>
          <w:lang w:val="en-US"/>
        </w:rPr>
        <w:t xml:space="preserve">. </w:t>
      </w:r>
      <w:r w:rsidR="0021097B">
        <w:rPr>
          <w:lang w:val="en-US"/>
        </w:rPr>
        <w:t>In our study, all</w:t>
      </w:r>
      <w:r w:rsidR="00282CF6">
        <w:rPr>
          <w:lang w:val="en-US"/>
        </w:rPr>
        <w:t xml:space="preserve"> </w:t>
      </w:r>
      <w:r w:rsidR="0021097B">
        <w:rPr>
          <w:lang w:val="en-US"/>
        </w:rPr>
        <w:t>these prey</w:t>
      </w:r>
      <w:r w:rsidR="00282CF6">
        <w:rPr>
          <w:lang w:val="en-US"/>
        </w:rPr>
        <w:t xml:space="preserve"> </w:t>
      </w:r>
      <w:r w:rsidR="0021097B">
        <w:rPr>
          <w:lang w:val="en-US"/>
        </w:rPr>
        <w:t>s</w:t>
      </w:r>
      <w:r w:rsidR="00282CF6">
        <w:rPr>
          <w:lang w:val="en-US"/>
        </w:rPr>
        <w:t>pecies</w:t>
      </w:r>
      <w:r w:rsidR="0021097B">
        <w:rPr>
          <w:lang w:val="en-US"/>
        </w:rPr>
        <w:t xml:space="preserve"> could </w:t>
      </w:r>
      <w:r w:rsidR="00282CF6">
        <w:rPr>
          <w:lang w:val="en-US"/>
        </w:rPr>
        <w:t>potentially contribute to the diet of sole</w:t>
      </w:r>
      <w:r w:rsidR="00D43015">
        <w:rPr>
          <w:lang w:val="en-US"/>
        </w:rPr>
        <w:t xml:space="preserve">, which is supported by comparable estimates for predator-prey BMFs and TL-BMFs </w:t>
      </w:r>
      <w:r w:rsidR="00D43015">
        <w:rPr>
          <w:lang w:val="en-US"/>
        </w:rPr>
        <w:fldChar w:fldCharType="begin"/>
      </w:r>
      <w:r w:rsidR="00D43015">
        <w:rPr>
          <w:lang w:val="en-US"/>
        </w:rPr>
        <w:instrText xml:space="preserve"> ADDIN ZOTERO_ITEM CSL_CITATION {"citationID":"ULDsBGXb","properties":{"formattedCitation":"(Borg\\uc0\\u229{}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D43015">
        <w:rPr>
          <w:lang w:val="en-US"/>
        </w:rPr>
        <w:fldChar w:fldCharType="separate"/>
      </w:r>
      <w:r w:rsidR="00D43015" w:rsidRPr="00D43015">
        <w:rPr>
          <w:rFonts w:ascii="Calibri" w:hAnsi="Calibri" w:cs="Calibri"/>
          <w:szCs w:val="24"/>
          <w:lang w:val="en-US"/>
        </w:rPr>
        <w:t xml:space="preserve">(Borgå </w:t>
      </w:r>
      <w:r w:rsidR="00D43015" w:rsidRPr="00D43015">
        <w:rPr>
          <w:rFonts w:ascii="Calibri" w:hAnsi="Calibri" w:cs="Calibri"/>
          <w:i/>
          <w:iCs/>
          <w:szCs w:val="24"/>
          <w:lang w:val="en-US"/>
        </w:rPr>
        <w:t>et al.</w:t>
      </w:r>
      <w:r w:rsidR="00D43015" w:rsidRPr="00D43015">
        <w:rPr>
          <w:rFonts w:ascii="Calibri" w:hAnsi="Calibri" w:cs="Calibri"/>
          <w:szCs w:val="24"/>
          <w:lang w:val="en-US"/>
        </w:rPr>
        <w:t>, 2004)</w:t>
      </w:r>
      <w:r w:rsidR="00D43015">
        <w:rPr>
          <w:lang w:val="en-US"/>
        </w:rPr>
        <w:fldChar w:fldCharType="end"/>
      </w:r>
      <w:r w:rsidR="0021097B">
        <w:rPr>
          <w:lang w:val="en-US"/>
        </w:rPr>
        <w:t xml:space="preserve">. However, </w:t>
      </w:r>
      <w:r w:rsidR="00282CF6">
        <w:rPr>
          <w:lang w:val="en-US"/>
        </w:rPr>
        <w:t>for most</w:t>
      </w:r>
      <w:r w:rsidR="0021097B">
        <w:rPr>
          <w:lang w:val="en-US"/>
        </w:rPr>
        <w:t xml:space="preserve"> species, </w:t>
      </w:r>
      <w:r w:rsidR="00282CF6">
        <w:rPr>
          <w:lang w:val="en-US"/>
        </w:rPr>
        <w:t xml:space="preserve">their relative importance in the diet could not be </w:t>
      </w:r>
      <w:r w:rsidR="0021097B">
        <w:rPr>
          <w:lang w:val="en-US"/>
        </w:rPr>
        <w:t>direct</w:t>
      </w:r>
      <w:r w:rsidR="00282CF6">
        <w:rPr>
          <w:lang w:val="en-US"/>
        </w:rPr>
        <w:t xml:space="preserve">ly </w:t>
      </w:r>
      <w:r w:rsidR="0021097B">
        <w:rPr>
          <w:lang w:val="en-US"/>
        </w:rPr>
        <w:t xml:space="preserve">from stomach content </w:t>
      </w:r>
      <w:r w:rsidR="00282CF6">
        <w:rPr>
          <w:lang w:val="en-US"/>
        </w:rPr>
        <w:t xml:space="preserve">analyses </w:t>
      </w:r>
      <w:r w:rsidR="0021097B">
        <w:rPr>
          <w:lang w:val="en-US"/>
        </w:rPr>
        <w:t xml:space="preserve">(see next </w:t>
      </w:r>
      <w:r w:rsidR="00D43015">
        <w:rPr>
          <w:lang w:val="en-US"/>
        </w:rPr>
        <w:t>section</w:t>
      </w:r>
      <w:r w:rsidR="0021097B">
        <w:rPr>
          <w:lang w:val="en-US"/>
        </w:rPr>
        <w:t>). The</w:t>
      </w:r>
      <w:r w:rsidR="00282CF6">
        <w:rPr>
          <w:lang w:val="en-US"/>
        </w:rPr>
        <w:t>refore, the</w:t>
      </w:r>
      <w:r w:rsidR="0021097B">
        <w:rPr>
          <w:lang w:val="en-US"/>
        </w:rPr>
        <w:t xml:space="preserve"> overall </w:t>
      </w:r>
      <w:r w:rsidR="00282CF6">
        <w:rPr>
          <w:lang w:val="en-US"/>
        </w:rPr>
        <w:t xml:space="preserve">predator-prey </w:t>
      </w:r>
      <w:r w:rsidR="0021097B">
        <w:rPr>
          <w:lang w:val="en-US"/>
        </w:rPr>
        <w:t xml:space="preserve">BMF </w:t>
      </w:r>
      <w:r w:rsidR="00282CF6">
        <w:rPr>
          <w:lang w:val="en-US"/>
        </w:rPr>
        <w:t>calculated</w:t>
      </w:r>
      <w:r w:rsidR="0021097B">
        <w:rPr>
          <w:lang w:val="en-US"/>
        </w:rPr>
        <w:t xml:space="preserve"> </w:t>
      </w:r>
      <w:r w:rsidR="00282CF6">
        <w:rPr>
          <w:lang w:val="en-US"/>
        </w:rPr>
        <w:t>as the</w:t>
      </w:r>
      <w:r w:rsidR="0021097B">
        <w:rPr>
          <w:lang w:val="en-US"/>
        </w:rPr>
        <w:t xml:space="preserve"> median species</w:t>
      </w:r>
      <w:r w:rsidR="00282CF6">
        <w:rPr>
          <w:lang w:val="en-US"/>
        </w:rPr>
        <w:t>-specific</w:t>
      </w:r>
      <w:r w:rsidR="0021097B">
        <w:rPr>
          <w:lang w:val="en-US"/>
        </w:rPr>
        <w:t xml:space="preserve"> median, minimum</w:t>
      </w:r>
      <w:r w:rsidR="00282CF6">
        <w:rPr>
          <w:lang w:val="en-US"/>
        </w:rPr>
        <w:t>,</w:t>
      </w:r>
      <w:r w:rsidR="0021097B">
        <w:rPr>
          <w:lang w:val="en-US"/>
        </w:rPr>
        <w:t xml:space="preserve"> and maximum</w:t>
      </w:r>
      <w:r w:rsidR="00282CF6">
        <w:rPr>
          <w:lang w:val="en-US"/>
        </w:rPr>
        <w:t xml:space="preserve"> BMFs</w:t>
      </w:r>
      <w:r w:rsidR="0021097B">
        <w:rPr>
          <w:lang w:val="en-US"/>
        </w:rPr>
        <w:t xml:space="preserve">. The </w:t>
      </w:r>
      <w:r w:rsidR="00282CF6">
        <w:rPr>
          <w:lang w:val="en-US"/>
        </w:rPr>
        <w:t>approach</w:t>
      </w:r>
      <w:r w:rsidR="0021097B">
        <w:rPr>
          <w:lang w:val="en-US"/>
        </w:rPr>
        <w:t xml:space="preserve"> (1) flattened </w:t>
      </w:r>
      <w:r w:rsidR="00282CF6">
        <w:rPr>
          <w:lang w:val="en-US"/>
        </w:rPr>
        <w:t>the interspecific</w:t>
      </w:r>
      <w:r w:rsidR="0021097B">
        <w:rPr>
          <w:lang w:val="en-US"/>
        </w:rPr>
        <w:t xml:space="preserve"> variability and (2) </w:t>
      </w:r>
      <w:r w:rsidR="00282CF6">
        <w:rPr>
          <w:lang w:val="en-US"/>
        </w:rPr>
        <w:t>assigned equal</w:t>
      </w:r>
      <w:r w:rsidR="0021097B">
        <w:rPr>
          <w:lang w:val="en-US"/>
        </w:rPr>
        <w:t xml:space="preserve"> weight to each species</w:t>
      </w:r>
      <w:r w:rsidR="00282CF6">
        <w:rPr>
          <w:lang w:val="en-US"/>
        </w:rPr>
        <w:t>, regardless of their dietary relevance.</w:t>
      </w:r>
      <w:r w:rsidR="0021097B">
        <w:rPr>
          <w:lang w:val="en-US"/>
        </w:rPr>
        <w:t xml:space="preserve"> As a </w:t>
      </w:r>
      <w:r w:rsidR="003266FB">
        <w:rPr>
          <w:lang w:val="en-US"/>
        </w:rPr>
        <w:t>result</w:t>
      </w:r>
      <w:r w:rsidR="0021097B">
        <w:rPr>
          <w:lang w:val="en-US"/>
        </w:rPr>
        <w:t>, compared to diet-based BMF</w:t>
      </w:r>
      <w:r w:rsidR="003266FB">
        <w:rPr>
          <w:lang w:val="en-US"/>
        </w:rPr>
        <w:t xml:space="preserve"> estimated</w:t>
      </w:r>
      <w:r w:rsidR="0021097B">
        <w:rPr>
          <w:lang w:val="en-US"/>
        </w:rPr>
        <w:t xml:space="preserve">, predator-prey BMFs </w:t>
      </w:r>
      <w:r w:rsidR="003266FB">
        <w:rPr>
          <w:lang w:val="en-US"/>
        </w:rPr>
        <w:t>appear</w:t>
      </w:r>
      <w:r w:rsidR="0021097B">
        <w:rPr>
          <w:lang w:val="en-US"/>
        </w:rPr>
        <w:t xml:space="preserve"> less variable but also indicate </w:t>
      </w:r>
      <w:r w:rsidR="003266FB">
        <w:rPr>
          <w:lang w:val="en-US"/>
        </w:rPr>
        <w:t>lower overall</w:t>
      </w:r>
      <w:r w:rsidR="0021097B">
        <w:rPr>
          <w:lang w:val="en-US"/>
        </w:rPr>
        <w:t xml:space="preserve"> biomagnification of PCB</w:t>
      </w:r>
      <w:r w:rsidR="003266FB">
        <w:rPr>
          <w:lang w:val="en-US"/>
        </w:rPr>
        <w:t>s,</w:t>
      </w:r>
      <w:r w:rsidR="0021097B">
        <w:rPr>
          <w:lang w:val="en-US"/>
        </w:rPr>
        <w:t xml:space="preserve"> due to </w:t>
      </w:r>
      <w:r w:rsidR="003266FB">
        <w:rPr>
          <w:lang w:val="en-US"/>
        </w:rPr>
        <w:t xml:space="preserve">the disproportionate influence of low </w:t>
      </w:r>
      <w:r w:rsidR="0021097B">
        <w:rPr>
          <w:lang w:val="en-US"/>
        </w:rPr>
        <w:t>BMF</w:t>
      </w:r>
      <w:r w:rsidR="003266FB">
        <w:rPr>
          <w:lang w:val="en-US"/>
        </w:rPr>
        <w:t xml:space="preserve"> values from</w:t>
      </w:r>
      <w:r w:rsidR="0021097B">
        <w:rPr>
          <w:lang w:val="en-US"/>
        </w:rPr>
        <w:t xml:space="preserve"> </w:t>
      </w:r>
      <w:r w:rsidR="0021097B" w:rsidRPr="00282CF6">
        <w:rPr>
          <w:i/>
          <w:iCs/>
          <w:lang w:val="en-US"/>
        </w:rPr>
        <w:t>L. balthica</w:t>
      </w:r>
      <w:r w:rsidR="0021097B">
        <w:rPr>
          <w:lang w:val="en-US"/>
        </w:rPr>
        <w:t xml:space="preserve"> and </w:t>
      </w:r>
      <w:r w:rsidR="0021097B" w:rsidRPr="00282CF6">
        <w:rPr>
          <w:i/>
          <w:iCs/>
          <w:lang w:val="en-US"/>
        </w:rPr>
        <w:t>H. diversicolor</w:t>
      </w:r>
      <w:r w:rsidR="00282CF6">
        <w:rPr>
          <w:i/>
          <w:iCs/>
          <w:lang w:val="en-US"/>
        </w:rPr>
        <w:t>,</w:t>
      </w:r>
      <w:r w:rsidR="0021097B">
        <w:rPr>
          <w:lang w:val="en-US"/>
        </w:rPr>
        <w:t xml:space="preserve"> </w:t>
      </w:r>
      <w:r w:rsidR="00282CF6">
        <w:rPr>
          <w:lang w:val="en-US"/>
        </w:rPr>
        <w:t xml:space="preserve">even though </w:t>
      </w:r>
      <w:r w:rsidR="003266FB">
        <w:rPr>
          <w:lang w:val="en-US"/>
        </w:rPr>
        <w:t>these taxa are less frequently consumed.</w:t>
      </w:r>
    </w:p>
    <w:p w14:paraId="78572FFA" w14:textId="48706DFE" w:rsidR="00D37CC3" w:rsidRPr="003266FB" w:rsidRDefault="003266FB" w:rsidP="00D37CC3">
      <w:pPr>
        <w:rPr>
          <w:lang w:val="en-US"/>
        </w:rPr>
      </w:pPr>
      <w:r>
        <w:rPr>
          <w:lang w:val="en-US"/>
        </w:rPr>
        <w:t>Regarding this</w:t>
      </w:r>
      <w:r w:rsidR="00D37CC3" w:rsidRPr="00D37CC3">
        <w:rPr>
          <w:lang w:val="en-US"/>
        </w:rPr>
        <w:t xml:space="preserve"> </w:t>
      </w:r>
      <w:r w:rsidR="00282CF6">
        <w:rPr>
          <w:lang w:val="en-US"/>
        </w:rPr>
        <w:t xml:space="preserve">interspecific </w:t>
      </w:r>
      <w:r w:rsidR="00D37CC3" w:rsidRPr="00D37CC3">
        <w:rPr>
          <w:lang w:val="en-US"/>
        </w:rPr>
        <w:t>variability</w:t>
      </w:r>
      <w:r>
        <w:rPr>
          <w:lang w:val="en-US"/>
        </w:rPr>
        <w:t>, out study</w:t>
      </w:r>
      <w:r w:rsidR="00D37CC3" w:rsidRPr="00D37CC3">
        <w:rPr>
          <w:lang w:val="en-US"/>
        </w:rPr>
        <w:t xml:space="preserve"> </w:t>
      </w:r>
      <w:r>
        <w:rPr>
          <w:lang w:val="en-US"/>
        </w:rPr>
        <w:t>could not able to</w:t>
      </w:r>
      <w:r w:rsidR="00D37CC3" w:rsidRPr="00D37CC3">
        <w:rPr>
          <w:lang w:val="en-US"/>
        </w:rPr>
        <w:t xml:space="preserve"> clearly attribute</w:t>
      </w:r>
      <w:r>
        <w:rPr>
          <w:lang w:val="en-US"/>
        </w:rPr>
        <w:t xml:space="preserve"> a determining role</w:t>
      </w:r>
      <w:r w:rsidR="00D37CC3" w:rsidRPr="00D37CC3">
        <w:rPr>
          <w:lang w:val="en-US"/>
        </w:rPr>
        <w:t xml:space="preserve"> to prey taxonomic group </w:t>
      </w:r>
      <w:r w:rsidRPr="003266FB">
        <w:rPr>
          <w:lang w:val="en-US"/>
        </w:rPr>
        <w:t>—which could reflect metabolic differences—</w:t>
      </w:r>
      <w:r w:rsidRPr="003266FB">
        <w:rPr>
          <w:lang w:val="en-US"/>
        </w:rPr>
        <w:t xml:space="preserve"> </w:t>
      </w:r>
      <w:r w:rsidR="00D37CC3" w:rsidRPr="00D37CC3">
        <w:rPr>
          <w:lang w:val="en-US"/>
        </w:rPr>
        <w:t>or feeding strategy</w:t>
      </w:r>
      <w:r>
        <w:rPr>
          <w:lang w:val="en-US"/>
        </w:rPr>
        <w:t xml:space="preserve">, </w:t>
      </w:r>
      <w:r w:rsidR="00D37CC3" w:rsidRPr="00D37CC3">
        <w:rPr>
          <w:lang w:val="en-US"/>
        </w:rPr>
        <w:t>which m</w:t>
      </w:r>
      <w:r>
        <w:rPr>
          <w:lang w:val="en-US"/>
        </w:rPr>
        <w:t>ay</w:t>
      </w:r>
      <w:r w:rsidR="00D37CC3" w:rsidRPr="00D37CC3">
        <w:rPr>
          <w:lang w:val="en-US"/>
        </w:rPr>
        <w:t xml:space="preserve"> influence exposure </w:t>
      </w:r>
      <w:r>
        <w:rPr>
          <w:lang w:val="en-US"/>
        </w:rPr>
        <w:t>pathways (e.g.</w:t>
      </w:r>
      <w:r w:rsidR="00D37CC3" w:rsidRPr="00D37CC3">
        <w:rPr>
          <w:lang w:val="en-US"/>
        </w:rPr>
        <w:t xml:space="preserve">, </w:t>
      </w:r>
      <w:r>
        <w:rPr>
          <w:lang w:val="en-US"/>
        </w:rPr>
        <w:t>greater</w:t>
      </w:r>
      <w:r w:rsidR="00D37CC3" w:rsidRPr="00D37CC3">
        <w:rPr>
          <w:lang w:val="en-US"/>
        </w:rPr>
        <w:t xml:space="preserve"> waterborne uptake in filter feeders or </w:t>
      </w:r>
      <w:r>
        <w:rPr>
          <w:lang w:val="en-US"/>
        </w:rPr>
        <w:t xml:space="preserve">increased </w:t>
      </w:r>
      <w:r w:rsidR="00D37CC3" w:rsidRPr="00D37CC3">
        <w:rPr>
          <w:lang w:val="en-US"/>
        </w:rPr>
        <w:t>sediment exposure in burrowers)</w:t>
      </w:r>
      <w:r>
        <w:rPr>
          <w:lang w:val="en-US"/>
        </w:rPr>
        <w:t>. A</w:t>
      </w:r>
      <w:r w:rsidR="00D37CC3" w:rsidRPr="00D37CC3">
        <w:rPr>
          <w:lang w:val="en-US"/>
        </w:rPr>
        <w:t xml:space="preserve">lthough these factors are well known to </w:t>
      </w:r>
      <w:r>
        <w:rPr>
          <w:lang w:val="en-US"/>
        </w:rPr>
        <w:t>affect</w:t>
      </w:r>
      <w:r w:rsidR="00D37CC3" w:rsidRPr="00D37CC3">
        <w:rPr>
          <w:lang w:val="en-US"/>
        </w:rPr>
        <w:t xml:space="preserve"> contaminant uptake and biomagnification potential</w:t>
      </w:r>
      <w:r w:rsidR="00D43015">
        <w:rPr>
          <w:lang w:val="en-US"/>
        </w:rPr>
        <w:t xml:space="preserve"> </w:t>
      </w:r>
      <w:r w:rsidR="00D43015">
        <w:rPr>
          <w:lang w:val="en-US"/>
        </w:rPr>
        <w:fldChar w:fldCharType="begin"/>
      </w:r>
      <w:r w:rsidR="00D43015">
        <w:rPr>
          <w:lang w:val="en-US"/>
        </w:rPr>
        <w:instrText xml:space="preserve"> ADDIN ZOTERO_ITEM CSL_CITATION {"citationID":"hj35EP1m","properties":{"formattedCitation":"(Borg\\uc0\\u229{}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D43015">
        <w:rPr>
          <w:lang w:val="en-US"/>
        </w:rPr>
        <w:fldChar w:fldCharType="separate"/>
      </w:r>
      <w:r w:rsidR="00D43015" w:rsidRPr="00D43015">
        <w:rPr>
          <w:rFonts w:ascii="Calibri" w:hAnsi="Calibri" w:cs="Calibri"/>
          <w:szCs w:val="24"/>
          <w:lang w:val="en-US"/>
        </w:rPr>
        <w:t xml:space="preserve">(Borgå </w:t>
      </w:r>
      <w:r w:rsidR="00D43015" w:rsidRPr="00D43015">
        <w:rPr>
          <w:rFonts w:ascii="Calibri" w:hAnsi="Calibri" w:cs="Calibri"/>
          <w:i/>
          <w:iCs/>
          <w:szCs w:val="24"/>
          <w:lang w:val="en-US"/>
        </w:rPr>
        <w:t>et al.</w:t>
      </w:r>
      <w:r w:rsidR="00D43015" w:rsidRPr="00D43015">
        <w:rPr>
          <w:rFonts w:ascii="Calibri" w:hAnsi="Calibri" w:cs="Calibri"/>
          <w:szCs w:val="24"/>
          <w:lang w:val="en-US"/>
        </w:rPr>
        <w:t>, 2004)</w:t>
      </w:r>
      <w:r w:rsidR="00D43015">
        <w:rPr>
          <w:lang w:val="en-US"/>
        </w:rPr>
        <w:fldChar w:fldCharType="end"/>
      </w:r>
      <w:r w:rsidRPr="003266FB">
        <w:rPr>
          <w:lang w:val="en-US"/>
        </w:rPr>
        <w:t>, they did not appear to consistently explain the observed variability in our dataset.</w:t>
      </w:r>
    </w:p>
    <w:p w14:paraId="434A3EA1" w14:textId="6C2B37EE" w:rsidR="00CA09D5" w:rsidRPr="00523DB4" w:rsidRDefault="00523DB4" w:rsidP="00CA09D5">
      <w:pPr>
        <w:rPr>
          <w:color w:val="000000"/>
          <w:highlight w:val="yellow"/>
        </w:rPr>
      </w:pPr>
      <w:r>
        <w:rPr>
          <w:lang w:val="en-US"/>
        </w:rPr>
        <w:t>For example, i</w:t>
      </w:r>
      <w:r w:rsidRPr="00523DB4">
        <w:rPr>
          <w:lang w:val="en-US"/>
        </w:rPr>
        <w:t xml:space="preserve">n our study, PCB contamination levels in </w:t>
      </w:r>
      <w:r w:rsidRPr="00523DB4">
        <w:rPr>
          <w:i/>
          <w:iCs/>
          <w:lang w:val="en-US"/>
        </w:rPr>
        <w:t>Limecola balthica</w:t>
      </w:r>
      <w:r w:rsidRPr="00523DB4">
        <w:rPr>
          <w:lang w:val="en-US"/>
        </w:rPr>
        <w:t xml:space="preserve"> were found to be two to three times higher than in other deposit-feeding bivalves, resulting in BMF values indicative of strong biodilution</w:t>
      </w:r>
      <w:r>
        <w:rPr>
          <w:lang w:val="en-US"/>
        </w:rPr>
        <w:t>, which is unexpected from PCBs and unexplained by taxonomic group or feeding mode</w:t>
      </w:r>
      <w:r w:rsidRPr="00523DB4">
        <w:rPr>
          <w:lang w:val="en-US"/>
        </w:rPr>
        <w:t xml:space="preserve">. This </w:t>
      </w:r>
      <w:r>
        <w:rPr>
          <w:lang w:val="en-US"/>
        </w:rPr>
        <w:t xml:space="preserve">species also </w:t>
      </w:r>
      <w:r w:rsidR="0021097B">
        <w:rPr>
          <w:lang w:val="en-US"/>
        </w:rPr>
        <w:t>exerts</w:t>
      </w:r>
      <w:r>
        <w:rPr>
          <w:lang w:val="en-US"/>
        </w:rPr>
        <w:t xml:space="preserve"> a large intra-specific </w:t>
      </w:r>
      <w:r w:rsidRPr="00523DB4">
        <w:rPr>
          <w:lang w:val="en-US"/>
        </w:rPr>
        <w:t>variation</w:t>
      </w:r>
      <w:r>
        <w:rPr>
          <w:lang w:val="en-US"/>
        </w:rPr>
        <w:t>, that</w:t>
      </w:r>
      <w:r w:rsidRPr="00523DB4">
        <w:rPr>
          <w:lang w:val="en-US"/>
        </w:rPr>
        <w:t xml:space="preserve"> may be partly attributed to spatio-temporal heterogeneity, especially given that </w:t>
      </w:r>
      <w:r w:rsidR="003266FB" w:rsidRPr="00523DB4">
        <w:rPr>
          <w:lang w:val="en-US"/>
        </w:rPr>
        <w:t xml:space="preserve">that </w:t>
      </w:r>
      <w:r w:rsidR="003266FB" w:rsidRPr="00523DB4">
        <w:rPr>
          <w:i/>
          <w:iCs/>
          <w:lang w:val="en-US"/>
        </w:rPr>
        <w:t>L. balthica</w:t>
      </w:r>
      <w:r w:rsidR="003266FB" w:rsidRPr="00523DB4">
        <w:rPr>
          <w:lang w:val="en-US"/>
        </w:rPr>
        <w:t xml:space="preserve"> displayed particularly high intra-specific variability (SI section 2.2 – a threefold difference between the least and most contaminated individuals)</w:t>
      </w:r>
      <w:r w:rsidR="003266FB">
        <w:rPr>
          <w:lang w:val="en-US"/>
        </w:rPr>
        <w:t xml:space="preserve"> while </w:t>
      </w:r>
      <w:r w:rsidRPr="00523DB4">
        <w:rPr>
          <w:lang w:val="en-US"/>
        </w:rPr>
        <w:t>each of the five samples was collected from a different site</w:t>
      </w:r>
      <w:r w:rsidR="003266FB">
        <w:rPr>
          <w:lang w:val="en-US"/>
        </w:rPr>
        <w:t>, and at different seasons</w:t>
      </w:r>
      <w:r w:rsidRPr="00523DB4">
        <w:rPr>
          <w:lang w:val="en-US"/>
        </w:rPr>
        <w:t xml:space="preserve">. Contaminant levels in estuarine environments are known to vary both spatially and temporally </w:t>
      </w:r>
      <w:r w:rsidRPr="00523DB4">
        <w:fldChar w:fldCharType="begin"/>
      </w:r>
      <w:r w:rsidRPr="00523DB4">
        <w:rPr>
          <w:lang w:val="en-US"/>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w:instrText>
      </w:r>
      <w:r w:rsidRPr="00523DB4">
        <w:instrText>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523DB4">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523DB4">
        <w:fldChar w:fldCharType="separate"/>
      </w:r>
      <w:r w:rsidRPr="00523DB4">
        <w:rPr>
          <w:rFonts w:ascii="Calibri" w:hAnsi="Calibri" w:cs="Calibri"/>
          <w:lang w:val="en-US"/>
        </w:rPr>
        <w:t xml:space="preserve">(Van Ael </w:t>
      </w:r>
      <w:r w:rsidRPr="00523DB4">
        <w:rPr>
          <w:rFonts w:ascii="Calibri" w:hAnsi="Calibri" w:cs="Calibri"/>
          <w:i/>
          <w:iCs/>
          <w:lang w:val="en-US"/>
        </w:rPr>
        <w:t>et al.</w:t>
      </w:r>
      <w:r w:rsidRPr="00523DB4">
        <w:rPr>
          <w:rFonts w:ascii="Calibri" w:hAnsi="Calibri" w:cs="Calibri"/>
          <w:lang w:val="en-US"/>
        </w:rPr>
        <w:t xml:space="preserve">, 2012; Olisah, Adams and Rubidge, 2021; Pitacco </w:t>
      </w:r>
      <w:r w:rsidRPr="00523DB4">
        <w:rPr>
          <w:rFonts w:ascii="Calibri" w:hAnsi="Calibri" w:cs="Calibri"/>
          <w:i/>
          <w:iCs/>
          <w:lang w:val="en-US"/>
        </w:rPr>
        <w:t>et al.</w:t>
      </w:r>
      <w:r w:rsidRPr="00523DB4">
        <w:rPr>
          <w:rFonts w:ascii="Calibri" w:hAnsi="Calibri" w:cs="Calibri"/>
          <w:lang w:val="en-US"/>
        </w:rPr>
        <w:t>, 2021; Fremlin, Elliott and Gobas, 2025)</w:t>
      </w:r>
      <w:r w:rsidRPr="00523DB4">
        <w:fldChar w:fldCharType="end"/>
      </w:r>
      <w:r w:rsidRPr="00523DB4">
        <w:rPr>
          <w:lang w:val="en-US"/>
        </w:rPr>
        <w:t xml:space="preserve">, </w:t>
      </w:r>
      <w:r w:rsidRPr="00523DB4">
        <w:rPr>
          <w:lang w:val="en-US"/>
        </w:rPr>
        <w:t xml:space="preserve">but this aspect could not be fully investigated here due to insufficient sampling across all species. Sediment-to-benthos transfer of PCBs may also be influenced by local sediment characteristics such as clay content, or water parameters like conductivity, which varies along the estuarine gradient </w:t>
      </w:r>
      <w:r w:rsidRPr="00523DB4">
        <w:fldChar w:fldCharType="begin"/>
      </w:r>
      <w:r w:rsidRPr="00523DB4">
        <w:rPr>
          <w:lang w:val="en-US"/>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w:instrText>
      </w:r>
      <w:r w:rsidRPr="00523DB4">
        <w:instrText>4ng PBDEs/g ww). Lowest tissue loads were measured in brown shrimp (from 3.27 to 39.9ng PCBs/g ww, from 0.05 to 0.47ng PBDEs/g ww</w:instrText>
      </w:r>
      <w:r w:rsidRPr="00523DB4">
        <w:rPr>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Pr="00523DB4">
        <w:fldChar w:fldCharType="separate"/>
      </w:r>
      <w:r w:rsidRPr="00523DB4">
        <w:rPr>
          <w:rFonts w:ascii="Calibri" w:hAnsi="Calibri" w:cs="Calibri"/>
          <w:lang w:val="en-US"/>
        </w:rPr>
        <w:t xml:space="preserve">(Van Ael </w:t>
      </w:r>
      <w:r w:rsidRPr="00523DB4">
        <w:rPr>
          <w:rFonts w:ascii="Calibri" w:hAnsi="Calibri" w:cs="Calibri"/>
          <w:i/>
          <w:iCs/>
          <w:lang w:val="en-US"/>
        </w:rPr>
        <w:t>et al.</w:t>
      </w:r>
      <w:r w:rsidRPr="00523DB4">
        <w:rPr>
          <w:rFonts w:ascii="Calibri" w:hAnsi="Calibri" w:cs="Calibri"/>
          <w:lang w:val="en-US"/>
        </w:rPr>
        <w:t>, 2012)</w:t>
      </w:r>
      <w:r w:rsidRPr="00523DB4">
        <w:fldChar w:fldCharType="end"/>
      </w:r>
      <w:r w:rsidRPr="00523DB4">
        <w:rPr>
          <w:lang w:val="en-US"/>
        </w:rPr>
        <w:t xml:space="preserve">. </w:t>
      </w:r>
      <w:r w:rsidRPr="00523DB4">
        <w:rPr>
          <w:lang w:val="en-US"/>
        </w:rPr>
        <w:t xml:space="preserve">In addition, individual-level factors such as age and body size can influence bioaccumulation and contribute to intra-specific variability, underscoring the importance of pooling individuals by size class during sampling </w:t>
      </w:r>
      <w:r w:rsidR="00112C83" w:rsidRPr="00523DB4">
        <w:rPr>
          <w:color w:val="000000"/>
        </w:rPr>
        <w:fldChar w:fldCharType="begin"/>
      </w:r>
      <w:r w:rsidR="001224FA">
        <w:rPr>
          <w:color w:val="000000"/>
          <w:lang w:val="en-US"/>
        </w:rPr>
        <w:instrText xml:space="preserve"> ADDIN ZOTERO_ITEM CSL_CITATION {"citationID":"2qTjNn57","properties":{"formattedCitation":"(Borg\\uc0\\u229{} {\\i{}et al.}, 2004; Sch\\uc0\\u228{}fer {\\i{}et al.}, 2015)","plainCitation":"(Borgå et al., 2004; Schäfer et al., 2015)","noteIndex":0},"citationItems":[{"id":29,"uris":["http://zotero.org/users/3305729/items/5DLQNCVD"],"itemData":{"id":29,"type":"article-journal","container-title":"Environmental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12C83" w:rsidRPr="00523DB4">
        <w:rPr>
          <w:color w:val="000000"/>
        </w:rPr>
        <w:fldChar w:fldCharType="separate"/>
      </w:r>
      <w:r w:rsidR="001224FA" w:rsidRPr="001224FA">
        <w:rPr>
          <w:rFonts w:ascii="Calibri" w:hAnsi="Calibri" w:cs="Calibri"/>
          <w:szCs w:val="24"/>
        </w:rPr>
        <w:t xml:space="preserve">(Borgå </w:t>
      </w:r>
      <w:r w:rsidR="001224FA" w:rsidRPr="001224FA">
        <w:rPr>
          <w:rFonts w:ascii="Calibri" w:hAnsi="Calibri" w:cs="Calibri"/>
          <w:i/>
          <w:iCs/>
          <w:szCs w:val="24"/>
        </w:rPr>
        <w:t>et al.</w:t>
      </w:r>
      <w:r w:rsidR="001224FA" w:rsidRPr="001224FA">
        <w:rPr>
          <w:rFonts w:ascii="Calibri" w:hAnsi="Calibri" w:cs="Calibri"/>
          <w:szCs w:val="24"/>
        </w:rPr>
        <w:t xml:space="preserve">, 2004; Schäfer </w:t>
      </w:r>
      <w:r w:rsidR="001224FA" w:rsidRPr="001224FA">
        <w:rPr>
          <w:rFonts w:ascii="Calibri" w:hAnsi="Calibri" w:cs="Calibri"/>
          <w:i/>
          <w:iCs/>
          <w:szCs w:val="24"/>
        </w:rPr>
        <w:t>et al.</w:t>
      </w:r>
      <w:r w:rsidR="001224FA" w:rsidRPr="001224FA">
        <w:rPr>
          <w:rFonts w:ascii="Calibri" w:hAnsi="Calibri" w:cs="Calibri"/>
          <w:szCs w:val="24"/>
        </w:rPr>
        <w:t>, 2015)</w:t>
      </w:r>
      <w:r w:rsidR="00112C83" w:rsidRPr="00523DB4">
        <w:rPr>
          <w:color w:val="000000"/>
        </w:rPr>
        <w:fldChar w:fldCharType="end"/>
      </w:r>
      <w:r w:rsidR="00112C83" w:rsidRPr="00523DB4">
        <w:rPr>
          <w:color w:val="000000"/>
        </w:rPr>
        <w:t>.</w:t>
      </w:r>
      <w:r w:rsidR="00112C83">
        <w:rPr>
          <w:color w:val="000000"/>
          <w:highlight w:val="yellow"/>
        </w:rPr>
        <w:t xml:space="preserve"> </w:t>
      </w:r>
    </w:p>
    <w:p w14:paraId="6799971D" w14:textId="78E19E17" w:rsidR="00D9720F" w:rsidRDefault="00523DB4" w:rsidP="00D9720F">
      <w:pPr>
        <w:rPr>
          <w:lang w:val="en-US"/>
        </w:rPr>
      </w:pPr>
      <w:r w:rsidRPr="00D9720F">
        <w:rPr>
          <w:highlight w:val="yellow"/>
          <w:lang w:val="en-US"/>
        </w:rPr>
        <w:t>Strong biodilution was also o</w:t>
      </w:r>
      <w:r w:rsidR="00CA09D5" w:rsidRPr="00D9720F">
        <w:rPr>
          <w:highlight w:val="yellow"/>
          <w:lang w:val="en-US"/>
        </w:rPr>
        <w:t>bserve</w:t>
      </w:r>
      <w:r w:rsidRPr="00D9720F">
        <w:rPr>
          <w:highlight w:val="yellow"/>
          <w:lang w:val="en-US"/>
        </w:rPr>
        <w:t xml:space="preserve">d for </w:t>
      </w:r>
      <w:r w:rsidRPr="00D9720F">
        <w:rPr>
          <w:i/>
          <w:iCs/>
          <w:highlight w:val="yellow"/>
          <w:lang w:val="en-US"/>
        </w:rPr>
        <w:t>C.volutator</w:t>
      </w:r>
      <w:r w:rsidRPr="00D9720F">
        <w:rPr>
          <w:highlight w:val="yellow"/>
          <w:lang w:val="en-US"/>
        </w:rPr>
        <w:t xml:space="preserve">, due to </w:t>
      </w:r>
      <w:r w:rsidR="00D9720F">
        <w:rPr>
          <w:highlight w:val="yellow"/>
          <w:lang w:val="en-US"/>
        </w:rPr>
        <w:t>its</w:t>
      </w:r>
      <w:r w:rsidRPr="00D9720F">
        <w:rPr>
          <w:highlight w:val="yellow"/>
          <w:lang w:val="en-US"/>
        </w:rPr>
        <w:t xml:space="preserve"> high contamination levels relative to the other </w:t>
      </w:r>
      <w:r w:rsidR="00D9720F">
        <w:rPr>
          <w:highlight w:val="yellow"/>
          <w:lang w:val="en-US"/>
        </w:rPr>
        <w:t xml:space="preserve">prey species in general, and especially relative to the </w:t>
      </w:r>
      <w:r w:rsidRPr="00D9720F">
        <w:rPr>
          <w:highlight w:val="yellow"/>
          <w:lang w:val="en-US"/>
        </w:rPr>
        <w:t xml:space="preserve">crustacean </w:t>
      </w:r>
      <w:r w:rsidRPr="00D9720F">
        <w:rPr>
          <w:i/>
          <w:iCs/>
          <w:highlight w:val="yellow"/>
          <w:lang w:val="en-US"/>
        </w:rPr>
        <w:t>C. crangon</w:t>
      </w:r>
      <w:r w:rsidR="00D9720F">
        <w:rPr>
          <w:highlight w:val="yellow"/>
          <w:lang w:val="en-US"/>
        </w:rPr>
        <w:t>. This</w:t>
      </w:r>
      <w:r w:rsidR="00D9720F" w:rsidRPr="00D9720F">
        <w:rPr>
          <w:lang w:val="en-US"/>
        </w:rPr>
        <w:t xml:space="preserve"> was unexpected given their </w:t>
      </w:r>
      <w:r w:rsidR="00D9720F">
        <w:rPr>
          <w:lang w:val="en-US"/>
        </w:rPr>
        <w:t>respective feeding strategies</w:t>
      </w:r>
      <w:r w:rsidR="00D9720F" w:rsidRPr="00D9720F">
        <w:rPr>
          <w:lang w:val="en-US"/>
        </w:rPr>
        <w:t xml:space="preserve"> </w:t>
      </w:r>
      <w:r w:rsidR="00D9720F" w:rsidRPr="00D9720F">
        <w:rPr>
          <w:lang w:val="en-US"/>
        </w:rPr>
        <w:t xml:space="preserve">—omnivorous for </w:t>
      </w:r>
      <w:r w:rsidR="00D9720F" w:rsidRPr="00D9720F">
        <w:rPr>
          <w:i/>
          <w:iCs/>
          <w:lang w:val="en-US"/>
        </w:rPr>
        <w:t>C. crangon</w:t>
      </w:r>
      <w:r w:rsidR="00D9720F" w:rsidRPr="00D9720F">
        <w:rPr>
          <w:lang w:val="en-US"/>
        </w:rPr>
        <w:t xml:space="preserve"> and deposit-feeding for </w:t>
      </w:r>
      <w:r w:rsidR="00D9720F" w:rsidRPr="00D9720F">
        <w:rPr>
          <w:i/>
          <w:iCs/>
          <w:lang w:val="en-US"/>
        </w:rPr>
        <w:t>C. volutator</w:t>
      </w:r>
      <w:r w:rsidR="00D9720F" w:rsidRPr="00D9720F">
        <w:rPr>
          <w:lang w:val="en-US"/>
        </w:rPr>
        <w:t>—</w:t>
      </w:r>
      <w:r w:rsidR="00D9720F">
        <w:rPr>
          <w:lang w:val="en-US"/>
        </w:rPr>
        <w:t xml:space="preserve"> which are also s</w:t>
      </w:r>
      <w:r w:rsidR="00D9720F" w:rsidRPr="00D9720F">
        <w:rPr>
          <w:lang w:val="en-US"/>
        </w:rPr>
        <w:t>upported by stable isotope data</w:t>
      </w:r>
      <w:r w:rsidR="00D9720F">
        <w:rPr>
          <w:lang w:val="en-US"/>
        </w:rPr>
        <w:t>.</w:t>
      </w:r>
      <w:r w:rsidR="00D9720F" w:rsidRPr="00D9720F">
        <w:rPr>
          <w:lang w:val="en-US"/>
        </w:rPr>
        <w:t xml:space="preserve"> </w:t>
      </w:r>
      <w:r w:rsidR="00D9720F" w:rsidRPr="00D9720F">
        <w:rPr>
          <w:lang w:val="en-US"/>
        </w:rPr>
        <w:t xml:space="preserve">However, as only a single </w:t>
      </w:r>
      <w:r w:rsidR="00D9720F" w:rsidRPr="00D9720F">
        <w:rPr>
          <w:i/>
          <w:iCs/>
          <w:lang w:val="en-US"/>
        </w:rPr>
        <w:t xml:space="preserve">C. </w:t>
      </w:r>
      <w:r w:rsidR="00D9720F" w:rsidRPr="00D9720F">
        <w:rPr>
          <w:i/>
          <w:iCs/>
          <w:lang w:val="en-US"/>
        </w:rPr>
        <w:lastRenderedPageBreak/>
        <w:t>volutator</w:t>
      </w:r>
      <w:r w:rsidR="00D9720F" w:rsidRPr="00D9720F">
        <w:rPr>
          <w:lang w:val="en-US"/>
        </w:rPr>
        <w:t xml:space="preserve"> sample was analyzed, this result </w:t>
      </w:r>
      <w:r w:rsidR="00D9720F">
        <w:rPr>
          <w:lang w:val="en-US"/>
        </w:rPr>
        <w:t>may reflect</w:t>
      </w:r>
      <w:r w:rsidR="00D9720F" w:rsidRPr="00D9720F">
        <w:rPr>
          <w:lang w:val="en-US"/>
        </w:rPr>
        <w:t xml:space="preserve"> strong intra-specific variability</w:t>
      </w:r>
      <w:r w:rsidR="00D9720F">
        <w:rPr>
          <w:lang w:val="en-US"/>
        </w:rPr>
        <w:t xml:space="preserve">, similar to that observed in </w:t>
      </w:r>
      <w:r w:rsidR="00D9720F" w:rsidRPr="00D9720F">
        <w:rPr>
          <w:i/>
          <w:iCs/>
          <w:lang w:val="en-US"/>
        </w:rPr>
        <w:t>L. blathica</w:t>
      </w:r>
      <w:r w:rsidR="00D9720F" w:rsidRPr="00D9720F">
        <w:rPr>
          <w:lang w:val="en-US"/>
        </w:rPr>
        <w:t xml:space="preserve">. Given its </w:t>
      </w:r>
      <w:r w:rsidR="00D9720F">
        <w:rPr>
          <w:lang w:val="en-US"/>
        </w:rPr>
        <w:t>significant</w:t>
      </w:r>
      <w:r w:rsidR="00D9720F" w:rsidRPr="00D9720F">
        <w:rPr>
          <w:lang w:val="en-US"/>
        </w:rPr>
        <w:t xml:space="preserve"> occurrence in stomach content analyses (11%), </w:t>
      </w:r>
      <w:r w:rsidR="00D9720F">
        <w:rPr>
          <w:lang w:val="en-US"/>
        </w:rPr>
        <w:t xml:space="preserve">gaining </w:t>
      </w:r>
      <w:r w:rsidR="00D9720F" w:rsidRPr="00D9720F">
        <w:rPr>
          <w:lang w:val="en-US"/>
        </w:rPr>
        <w:t xml:space="preserve">a more robust understanding of </w:t>
      </w:r>
      <w:r w:rsidR="00D9720F" w:rsidRPr="00D9720F">
        <w:rPr>
          <w:i/>
          <w:iCs/>
          <w:lang w:val="en-US"/>
        </w:rPr>
        <w:t>C. volutator</w:t>
      </w:r>
      <w:r w:rsidR="00D9720F" w:rsidRPr="00D9720F">
        <w:rPr>
          <w:lang w:val="en-US"/>
        </w:rPr>
        <w:t xml:space="preserve"> contamination levels would be valuable.</w:t>
      </w:r>
    </w:p>
    <w:p w14:paraId="02B7A5C6" w14:textId="2480DD76" w:rsidR="00CA09D5" w:rsidRDefault="00D9720F" w:rsidP="00D9720F">
      <w:pPr>
        <w:rPr>
          <w:lang w:val="en-US"/>
        </w:rPr>
      </w:pPr>
      <w:r w:rsidRPr="00D9720F">
        <w:rPr>
          <w:lang w:val="en-US"/>
        </w:rPr>
        <w:t xml:space="preserve">In the case of </w:t>
      </w:r>
      <w:r w:rsidRPr="00D9720F">
        <w:rPr>
          <w:i/>
          <w:iCs/>
          <w:lang w:val="en-US"/>
        </w:rPr>
        <w:t>Hediste diversicolor</w:t>
      </w:r>
      <w:r w:rsidRPr="00D9720F">
        <w:rPr>
          <w:lang w:val="en-US"/>
        </w:rPr>
        <w:t xml:space="preserve">, the </w:t>
      </w:r>
      <w:r>
        <w:rPr>
          <w:lang w:val="en-US"/>
        </w:rPr>
        <w:t xml:space="preserve">unexpected </w:t>
      </w:r>
      <w:r w:rsidRPr="00D9720F">
        <w:rPr>
          <w:lang w:val="en-US"/>
        </w:rPr>
        <w:t xml:space="preserve">marked biodilution </w:t>
      </w:r>
      <w:r>
        <w:rPr>
          <w:lang w:val="en-US"/>
        </w:rPr>
        <w:t xml:space="preserve">for PCBs </w:t>
      </w:r>
      <w:r w:rsidRPr="00D9720F">
        <w:rPr>
          <w:lang w:val="en-US"/>
        </w:rPr>
        <w:t>observed in its predator-prey BMFs may be explained by its omnivorous feeding strategy and its relatively high trophic position among polychaetes, as indicated by isotopic analysis.</w:t>
      </w:r>
      <w:r w:rsidR="00D43015">
        <w:rPr>
          <w:lang w:val="en-US"/>
        </w:rPr>
        <w:t xml:space="preserve"> Indeed, among polychaetes, stable isotopic ratios seems to be more clearly related to inter-specific variations of BMFs (see SI section 3.2).</w:t>
      </w:r>
    </w:p>
    <w:p w14:paraId="42C0BC43" w14:textId="69C71E68" w:rsidR="0021097B" w:rsidRPr="0021097B" w:rsidRDefault="00D9720F" w:rsidP="00D9720F">
      <w:pPr>
        <w:rPr>
          <w:lang w:val="en-US"/>
        </w:rPr>
      </w:pPr>
      <w:r w:rsidRPr="00D9720F">
        <w:rPr>
          <w:lang w:val="en-US"/>
        </w:rPr>
        <w:t xml:space="preserve">Overall, numerous factors contribute to the variability of BMF estimates based on predator-prey pairs. Failing to consider this complexity can compromise both the monitoring of persistent organic pollutants (POPs) and the reliability of BMF assessments. In field studies, </w:t>
      </w:r>
      <w:r w:rsidR="00193F74">
        <w:rPr>
          <w:lang w:val="en-US"/>
        </w:rPr>
        <w:t>spatio-temporal</w:t>
      </w:r>
      <w:r w:rsidRPr="00D9720F">
        <w:rPr>
          <w:lang w:val="en-US"/>
        </w:rPr>
        <w:t xml:space="preserve"> variations in prey contamination introduce uncertainties that may challenge the accuracy of BMF values.</w:t>
      </w:r>
      <w:r>
        <w:rPr>
          <w:lang w:val="en-US"/>
        </w:rPr>
        <w:t xml:space="preserve"> </w:t>
      </w:r>
      <w:r w:rsidRPr="00D9720F">
        <w:rPr>
          <w:lang w:val="en-US"/>
        </w:rPr>
        <w:t xml:space="preserve">To investigate spatio-temporal effects, complementary approaches using standardized passive </w:t>
      </w:r>
      <w:r w:rsidR="004A7DB5" w:rsidRPr="009A6374">
        <w:rPr>
          <w:highlight w:val="yellow"/>
        </w:rPr>
        <w:fldChar w:fldCharType="begin"/>
      </w:r>
      <w:r w:rsidR="004A7DB5" w:rsidRPr="004A7DB5">
        <w:rPr>
          <w:highlight w:val="yellow"/>
          <w:lang w:val="en-US"/>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A7DB5" w:rsidRPr="009A6374">
        <w:rPr>
          <w:highlight w:val="yellow"/>
        </w:rPr>
        <w:fldChar w:fldCharType="separate"/>
      </w:r>
      <w:r w:rsidR="004A7DB5" w:rsidRPr="004A7DB5">
        <w:rPr>
          <w:rFonts w:ascii="Calibri" w:hAnsi="Calibri" w:cs="Calibri"/>
          <w:highlight w:val="yellow"/>
          <w:lang w:val="en-US"/>
        </w:rPr>
        <w:t xml:space="preserve">(Schäfer </w:t>
      </w:r>
      <w:r w:rsidR="004A7DB5" w:rsidRPr="004A7DB5">
        <w:rPr>
          <w:rFonts w:ascii="Calibri" w:hAnsi="Calibri" w:cs="Calibri"/>
          <w:i/>
          <w:iCs/>
          <w:highlight w:val="yellow"/>
          <w:lang w:val="en-US"/>
        </w:rPr>
        <w:t>et al.</w:t>
      </w:r>
      <w:r w:rsidR="004A7DB5" w:rsidRPr="004A7DB5">
        <w:rPr>
          <w:rFonts w:ascii="Calibri" w:hAnsi="Calibri" w:cs="Calibri"/>
          <w:highlight w:val="yellow"/>
          <w:lang w:val="en-US"/>
        </w:rPr>
        <w:t>, 2015)</w:t>
      </w:r>
      <w:r w:rsidR="004A7DB5" w:rsidRPr="009A6374">
        <w:rPr>
          <w:highlight w:val="yellow"/>
        </w:rPr>
        <w:fldChar w:fldCharType="end"/>
      </w:r>
      <w:r w:rsidR="004A7DB5" w:rsidRPr="004A7DB5">
        <w:rPr>
          <w:color w:val="000000"/>
          <w:highlight w:val="yellow"/>
          <w:lang w:val="en-US"/>
        </w:rPr>
        <w:t xml:space="preserve"> </w:t>
      </w:r>
      <w:r w:rsidRPr="00D9720F">
        <w:rPr>
          <w:lang w:val="en-US"/>
        </w:rPr>
        <w:t>or sentinel organisms</w:t>
      </w:r>
      <w:r w:rsidR="004A7DB5">
        <w:rPr>
          <w:lang w:val="en-US"/>
        </w:rPr>
        <w:t xml:space="preserve"> </w:t>
      </w:r>
      <w:r w:rsidRPr="00D9720F">
        <w:rPr>
          <w:lang w:val="en-US"/>
        </w:rPr>
        <w:t xml:space="preserve">—such as the burrowing polychaete </w:t>
      </w:r>
      <w:r w:rsidRPr="00D9720F">
        <w:rPr>
          <w:i/>
          <w:iCs/>
          <w:lang w:val="en-US"/>
        </w:rPr>
        <w:t>Nereis diversicolor</w:t>
      </w:r>
      <w:r w:rsidRPr="00D9720F">
        <w:rPr>
          <w:lang w:val="en-US"/>
        </w:rPr>
        <w:t xml:space="preserve">, a common estuarine species and known prey of sole </w:t>
      </w:r>
      <w:r w:rsidR="004A7DB5" w:rsidRPr="009A6374">
        <w:rPr>
          <w:color w:val="000000"/>
          <w:highlight w:val="yellow"/>
        </w:rPr>
        <w:fldChar w:fldCharType="begin"/>
      </w:r>
      <w:r w:rsidR="004A7DB5" w:rsidRPr="004A7DB5">
        <w:rPr>
          <w:color w:val="000000"/>
          <w:highlight w:val="yellow"/>
          <w:lang w:val="en-US"/>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4A7DB5" w:rsidRPr="009A6374">
        <w:rPr>
          <w:color w:val="000000"/>
          <w:highlight w:val="yellow"/>
        </w:rPr>
        <w:fldChar w:fldCharType="separate"/>
      </w:r>
      <w:r w:rsidR="004A7DB5" w:rsidRPr="004A7DB5">
        <w:rPr>
          <w:rFonts w:ascii="Calibri" w:hAnsi="Calibri" w:cs="Calibri"/>
          <w:highlight w:val="yellow"/>
          <w:lang w:val="en-US"/>
        </w:rPr>
        <w:t xml:space="preserve">(Durou </w:t>
      </w:r>
      <w:r w:rsidR="004A7DB5" w:rsidRPr="004A7DB5">
        <w:rPr>
          <w:rFonts w:ascii="Calibri" w:hAnsi="Calibri" w:cs="Calibri"/>
          <w:i/>
          <w:iCs/>
          <w:highlight w:val="yellow"/>
          <w:lang w:val="en-US"/>
        </w:rPr>
        <w:t>et al.</w:t>
      </w:r>
      <w:r w:rsidR="004A7DB5" w:rsidRPr="004A7DB5">
        <w:rPr>
          <w:rFonts w:ascii="Calibri" w:hAnsi="Calibri" w:cs="Calibri"/>
          <w:highlight w:val="yellow"/>
          <w:lang w:val="en-US"/>
        </w:rPr>
        <w:t>, 2007)</w:t>
      </w:r>
      <w:r w:rsidR="004A7DB5" w:rsidRPr="009A6374">
        <w:rPr>
          <w:color w:val="000000"/>
          <w:highlight w:val="yellow"/>
        </w:rPr>
        <w:fldChar w:fldCharType="end"/>
      </w:r>
      <w:r w:rsidRPr="00D9720F">
        <w:rPr>
          <w:lang w:val="en-US"/>
        </w:rPr>
        <w:t>—</w:t>
      </w:r>
      <w:r w:rsidR="004A7DB5">
        <w:rPr>
          <w:lang w:val="en-US"/>
        </w:rPr>
        <w:t xml:space="preserve"> </w:t>
      </w:r>
      <w:r w:rsidRPr="00D9720F">
        <w:rPr>
          <w:lang w:val="en-US"/>
        </w:rPr>
        <w:t>could help normalize observed contaminant levels in prey species. However, while such methodologies offer means to account for or reduce intra-specific and spatio-temporal variability, they alone may not yield representative BMF values. This is because prey species differ in their bioaccumulation capacities depending on taxonomy and feeding behavior. Their relative contribution to the predator’s diet thus remains essential, and stomach content analysis provides a robust method to estimate it.</w:t>
      </w:r>
    </w:p>
    <w:p w14:paraId="2E681097" w14:textId="20FA254E" w:rsidR="009A6374" w:rsidRDefault="009A6374" w:rsidP="004A7DB5">
      <w:pPr>
        <w:pStyle w:val="Titre3"/>
      </w:pPr>
      <w:r>
        <w:t>Influence de la c</w:t>
      </w:r>
      <w:r w:rsidRPr="0060211A">
        <w:t>omposition du régime alimentaire utilisée</w:t>
      </w:r>
    </w:p>
    <w:p w14:paraId="40D365D1" w14:textId="338CA1DE" w:rsidR="009A6374" w:rsidRDefault="009A6374" w:rsidP="009A6374">
      <w:r w:rsidRPr="00326BCB">
        <w:t xml:space="preserve">Les BMF PCB plus élevés pour les scenario diet-based sont due à la concentration du diet est inférieure à la concentration médiane des proies. En effet le régime alimentaire contient une majorité de crustacés alors que ces derniers sont le groupe taxonomique le moins contaminé </w:t>
      </w:r>
      <w:r>
        <w:t xml:space="preserve">(lipid-normalised concentrations) </w:t>
      </w:r>
      <w:r w:rsidRPr="00326BCB">
        <w:t xml:space="preserve">et qu’ils ne représentent que 7 points de mesure dans le calcul de la médiane des espèces calculées sur 44 mesures. </w:t>
      </w:r>
      <w:r>
        <w:t xml:space="preserve">Aussi, les crustacés ayant une carapace non digestible, il est possible que l’efficacité de l’assimilation des contaminants en soit affectée </w:t>
      </w:r>
      <w:r w:rsidR="000E5564">
        <w:fldChar w:fldCharType="begin"/>
      </w:r>
      <w:r w:rsidR="000E5564">
        <w:instrText xml:space="preserve"> ADDIN ZOTERO_ITEM CSL_CITATION {"citationID":"k1XtGTkd","properties":{"formattedCitation":"(Gobas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0E5564">
        <w:fldChar w:fldCharType="separate"/>
      </w:r>
      <w:r w:rsidR="000E5564" w:rsidRPr="000E5564">
        <w:rPr>
          <w:rFonts w:ascii="Calibri" w:hAnsi="Calibri" w:cs="Calibri"/>
          <w:szCs w:val="24"/>
        </w:rPr>
        <w:t xml:space="preserve">(Gobas </w:t>
      </w:r>
      <w:r w:rsidR="000E5564" w:rsidRPr="000E5564">
        <w:rPr>
          <w:rFonts w:ascii="Calibri" w:hAnsi="Calibri" w:cs="Calibri"/>
          <w:i/>
          <w:iCs/>
          <w:szCs w:val="24"/>
        </w:rPr>
        <w:t>et al.</w:t>
      </w:r>
      <w:r w:rsidR="000E5564" w:rsidRPr="000E5564">
        <w:rPr>
          <w:rFonts w:ascii="Calibri" w:hAnsi="Calibri" w:cs="Calibri"/>
          <w:szCs w:val="24"/>
        </w:rPr>
        <w:t>, 1999)</w:t>
      </w:r>
      <w:r w:rsidR="000E5564">
        <w:fldChar w:fldCharType="end"/>
      </w:r>
      <w:r>
        <w:t xml:space="preserve">. </w:t>
      </w:r>
      <w:r w:rsidR="000E5564">
        <w:t xml:space="preserve">Toutefois, les crustacés présentent également les plus forts taux de lipides parmi les proies (voir SI section 2.3 </w:t>
      </w:r>
      <w:r w:rsidR="000E5564" w:rsidRPr="000E5564">
        <w:rPr>
          <w:highlight w:val="yellow"/>
        </w:rPr>
        <w:t>REF</w:t>
      </w:r>
      <w:r w:rsidR="000E5564">
        <w:t>)</w:t>
      </w:r>
    </w:p>
    <w:p w14:paraId="3D4495A4" w14:textId="2C1FA083" w:rsidR="00D43015" w:rsidRDefault="00D43015" w:rsidP="009A6374">
      <w:r>
        <w:t>Les contenus stomacaux peuvent ne pas bien représenter le régime alimentaire en raison de différence de digestibilité et d’identification des différents types de proies, pouvant surestimer la présence des moins digestibles donc plus facilement identifiables, et sous-estimer la présence des plus digestibles</w:t>
      </w:r>
      <w:r w:rsidR="001224FA">
        <w:t xml:space="preserve">. L’utilisation des isotopes stables pour l’estimation du régime alimentaire pourrait alors mieux intégrer le comportement alimentaire sur une longue période de temps </w:t>
      </w:r>
      <w:r w:rsidR="001224FA">
        <w:fldChar w:fldCharType="begin"/>
      </w:r>
      <w:r w:rsidR="001224FA">
        <w:instrText xml:space="preserve"> ADDIN ZOTERO_ITEM CSL_CITATION {"citationID":"q7Xf0lJ2","properties":{"formattedCitation":"(Borg\\uc0\\u229{}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1224FA">
        <w:fldChar w:fldCharType="separate"/>
      </w:r>
      <w:r w:rsidR="001224FA" w:rsidRPr="001224FA">
        <w:rPr>
          <w:rFonts w:ascii="Calibri" w:hAnsi="Calibri" w:cs="Calibri"/>
          <w:szCs w:val="24"/>
        </w:rPr>
        <w:t xml:space="preserve">(Borgå </w:t>
      </w:r>
      <w:r w:rsidR="001224FA" w:rsidRPr="001224FA">
        <w:rPr>
          <w:rFonts w:ascii="Calibri" w:hAnsi="Calibri" w:cs="Calibri"/>
          <w:i/>
          <w:iCs/>
          <w:szCs w:val="24"/>
        </w:rPr>
        <w:t>et al.</w:t>
      </w:r>
      <w:r w:rsidR="001224FA" w:rsidRPr="001224FA">
        <w:rPr>
          <w:rFonts w:ascii="Calibri" w:hAnsi="Calibri" w:cs="Calibri"/>
          <w:szCs w:val="24"/>
        </w:rPr>
        <w:t>, 2004)</w:t>
      </w:r>
      <w:r w:rsidR="001224FA">
        <w:fldChar w:fldCharType="end"/>
      </w:r>
      <w:r w:rsidR="001224FA">
        <w:t>.</w:t>
      </w:r>
    </w:p>
    <w:p w14:paraId="545D8852" w14:textId="005C845D" w:rsidR="001224FA" w:rsidRDefault="001224FA" w:rsidP="009A6374">
      <w:r>
        <w:t xml:space="preserve">Les contenus stomacaux peuvent varier en fonction des zones </w:t>
      </w:r>
      <w:r w:rsidR="00193F74">
        <w:t xml:space="preserve">et des saisons </w:t>
      </w:r>
      <w:r>
        <w:t xml:space="preserve">en raison de préférences alimentaires différentes, pour des présences/absences des différentes proies dans leur habitat </w:t>
      </w:r>
      <w:r>
        <w:fldChar w:fldCharType="begin"/>
      </w:r>
      <w:r>
        <w:instrText xml:space="preserve"> ADDIN ZOTERO_ITEM CSL_CITATION {"citationID":"BxDVlSgE","properties":{"formattedCitation":"(Borg\\uc0\\u229{}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fldChar w:fldCharType="separate"/>
      </w:r>
      <w:r w:rsidRPr="001224FA">
        <w:rPr>
          <w:rFonts w:ascii="Calibri" w:hAnsi="Calibri" w:cs="Calibri"/>
          <w:szCs w:val="24"/>
        </w:rPr>
        <w:t xml:space="preserve">(Borgå </w:t>
      </w:r>
      <w:r w:rsidRPr="001224FA">
        <w:rPr>
          <w:rFonts w:ascii="Calibri" w:hAnsi="Calibri" w:cs="Calibri"/>
          <w:i/>
          <w:iCs/>
          <w:szCs w:val="24"/>
        </w:rPr>
        <w:t>et al.</w:t>
      </w:r>
      <w:r w:rsidRPr="001224FA">
        <w:rPr>
          <w:rFonts w:ascii="Calibri" w:hAnsi="Calibri" w:cs="Calibri"/>
          <w:szCs w:val="24"/>
        </w:rPr>
        <w:t>, 2004)</w:t>
      </w:r>
      <w:r>
        <w:fldChar w:fldCharType="end"/>
      </w:r>
    </w:p>
    <w:p w14:paraId="3775E4B3" w14:textId="5C5F4EA6" w:rsidR="009A6374" w:rsidRPr="009A6374" w:rsidRDefault="009A6374" w:rsidP="009A6374">
      <w:r>
        <w:t xml:space="preserve">Ces résultats montrent bien que la préférence alimentaire a un impact sur la bioaccumulation et qu’il est utile de la considérer dans l’estimation de facteurs de biomagnification </w:t>
      </w:r>
      <w:r>
        <w:fldChar w:fldCharType="begin"/>
      </w:r>
      <w:r>
        <w:instrText xml:space="preserve"> ADDIN ZOTERO_ITEM CSL_CITATION {"citationID":"fgFvsQak","properties":{"formattedCitation":"(Loizeau, Abarnou and M\\uc0\\u233{}nesguen, 2001; Borg\\uc0\\u229{} {\\i{}et al.}, 2004)","plainCitation":"(Loizeau, Abarnou and Ménesguen, 2001; Borgå et al., 2004)","noteIndex":0},"citationItems":[{"id":746,"uris":["http://zotero.org/users/3305729/items/BK9XLG2R","http://zotero.org/users/3305729/items/4E4I8L42"],"itemData":{"id":746,"type":"article-journal","abstract":"Polychlorinated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w:instrText>
      </w:r>
      <w:r w:rsidRPr="009A6374">
        <w:instrText xml:space="preserve">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fldChar w:fldCharType="separate"/>
      </w:r>
      <w:r w:rsidRPr="009A6374">
        <w:rPr>
          <w:rFonts w:ascii="Calibri" w:hAnsi="Calibri" w:cs="Calibri"/>
          <w:szCs w:val="24"/>
        </w:rPr>
        <w:t xml:space="preserve">(Loizeau, Abarnou and Ménesguen, 2001; Borgå </w:t>
      </w:r>
      <w:r w:rsidRPr="009A6374">
        <w:rPr>
          <w:rFonts w:ascii="Calibri" w:hAnsi="Calibri" w:cs="Calibri"/>
          <w:i/>
          <w:iCs/>
          <w:szCs w:val="24"/>
        </w:rPr>
        <w:t>et al.</w:t>
      </w:r>
      <w:r w:rsidRPr="009A6374">
        <w:rPr>
          <w:rFonts w:ascii="Calibri" w:hAnsi="Calibri" w:cs="Calibri"/>
          <w:szCs w:val="24"/>
        </w:rPr>
        <w:t>, 2004)</w:t>
      </w:r>
      <w:r>
        <w:fldChar w:fldCharType="end"/>
      </w:r>
      <w:r>
        <w:t>.</w:t>
      </w:r>
    </w:p>
    <w:p w14:paraId="69514213" w14:textId="03133620" w:rsidR="009A6374" w:rsidRDefault="009A6374" w:rsidP="0063228F">
      <w:pPr>
        <w:pStyle w:val="Paragraphedeliste"/>
        <w:numPr>
          <w:ilvl w:val="0"/>
          <w:numId w:val="4"/>
        </w:numPr>
      </w:pPr>
      <w:r>
        <w:t xml:space="preserve">Groupe taxonomique des hexanauplia représente 32% du régime alimentaire (dont 31.5% d’harpacticoida) mais n’a pas du tout été dosé chimiquement alors que les copepodes sont connus pour bioconcentrer les PCB à partir de l’eau </w:t>
      </w:r>
      <w:r>
        <w:fldChar w:fldCharType="begin"/>
      </w:r>
      <w:r w:rsidR="001815EC">
        <w:instrText xml:space="preserve"> ADDIN ZOTERO_ITEM CSL_CITATION {"citationID":"KjpOkpWC","properties":{"formattedCitation":"(Loizeau, Abarnou and M\\uc0\\u233{}nesguen, 2001; Borg\\uc0\\u229{} {\\i{}et al.}, 2005)","plainCitation":"(Loizeau, Abarnou and Ménesguen, 2001; Borgå et al., 2005)","noteIndex":0},"citationItems":[{"id":746,"uris":["http://zotero.org/users/3305729/items/BK9XLG2R","http://zotero.org/users/3305729/items/4E4I8L42"],"itemData":{"id":746,"type":"article-journal","abstract":"Polychlorinated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G."}],"issued":{"date-parts":[["2005",6,1]]},"citation-key":"borgaBioaccumulationFactorsPCBs2005a"}}],"schema":"https://github.com/citation-style-language/schema/raw/master/csl-citation.json"} </w:instrText>
      </w:r>
      <w:r>
        <w:fldChar w:fldCharType="separate"/>
      </w:r>
      <w:r w:rsidR="001815EC" w:rsidRPr="001815EC">
        <w:rPr>
          <w:rFonts w:ascii="Calibri" w:hAnsi="Calibri" w:cs="Calibri"/>
          <w:szCs w:val="24"/>
        </w:rPr>
        <w:t xml:space="preserve">(Loizeau, Abarnou and Ménesguen, 2001; Borgå </w:t>
      </w:r>
      <w:r w:rsidR="001815EC" w:rsidRPr="001815EC">
        <w:rPr>
          <w:rFonts w:ascii="Calibri" w:hAnsi="Calibri" w:cs="Calibri"/>
          <w:i/>
          <w:iCs/>
          <w:szCs w:val="24"/>
        </w:rPr>
        <w:t>et al.</w:t>
      </w:r>
      <w:r w:rsidR="001815EC" w:rsidRPr="001815EC">
        <w:rPr>
          <w:rFonts w:ascii="Calibri" w:hAnsi="Calibri" w:cs="Calibri"/>
          <w:szCs w:val="24"/>
        </w:rPr>
        <w:t>, 2005)</w:t>
      </w:r>
      <w:r>
        <w:fldChar w:fldCharType="end"/>
      </w:r>
    </w:p>
    <w:p w14:paraId="6D60CF35" w14:textId="77777777" w:rsidR="009A6374" w:rsidRDefault="009A6374" w:rsidP="0063228F">
      <w:pPr>
        <w:pStyle w:val="Paragraphedeliste"/>
        <w:numPr>
          <w:ilvl w:val="0"/>
          <w:numId w:val="4"/>
        </w:numPr>
      </w:pPr>
      <w:r>
        <w:t xml:space="preserve">Toutefois, les proportions estimées ici étant basées sur un nombre d’individus présents dans les estomacs, cette forte proportion est surestimée car les copépodes du groupe hexanauplia </w:t>
      </w:r>
      <w:r>
        <w:lastRenderedPageBreak/>
        <w:t xml:space="preserve">ont une masse individuelle très faible en comparaison de celles des espèces du groupe des Malocostraca (espèces majoritairement retrouvées : 11.5% de </w:t>
      </w:r>
      <w:r w:rsidRPr="00FA5858">
        <w:rPr>
          <w:i/>
          <w:iCs/>
        </w:rPr>
        <w:t>Corophium volutator</w:t>
      </w:r>
      <w:r>
        <w:t xml:space="preserve"> et 1.6% de </w:t>
      </w:r>
      <w:r w:rsidRPr="00FA5858">
        <w:rPr>
          <w:i/>
          <w:iCs/>
        </w:rPr>
        <w:t>Crangon crangon</w:t>
      </w:r>
      <w:r>
        <w:t>). En effet les proportions recherchées pour estimer la composition du régime alimentaire devraient être estimées en masse pour étudier la bioaccumulation.</w:t>
      </w:r>
    </w:p>
    <w:p w14:paraId="35FA0B35" w14:textId="77777777" w:rsidR="009A6374" w:rsidRDefault="009A6374" w:rsidP="0063228F">
      <w:pPr>
        <w:pStyle w:val="Paragraphedeliste"/>
        <w:numPr>
          <w:ilvl w:val="0"/>
          <w:numId w:val="4"/>
        </w:numPr>
      </w:pPr>
      <w:r>
        <w:t xml:space="preserve">Etant donné la forte variabilité de contamination entre espèces au sein d’un groupe taxonomique, la composition du régime alimentaire par espèces dosées en contaminant serait importante pour estimer la composition du régime alimentaire. </w:t>
      </w:r>
    </w:p>
    <w:p w14:paraId="548CB9E8" w14:textId="77777777" w:rsidR="009A6374" w:rsidRDefault="009A6374" w:rsidP="0063228F">
      <w:pPr>
        <w:pStyle w:val="Paragraphedeliste"/>
        <w:numPr>
          <w:ilvl w:val="1"/>
          <w:numId w:val="4"/>
        </w:numPr>
      </w:pPr>
      <w:r>
        <w:t xml:space="preserve">Toutefois, les contenus stomacaux permettent difficilement de différencier les espèces de bivalves car la plupart du temps seuls les siphons sont retrouvés (11.5% de bivalves non identifiables dans les contenus stomacaux, 4 espèces dosées en contaminants sur 6 n’ont pas été identifiables). </w:t>
      </w:r>
    </w:p>
    <w:p w14:paraId="35C4E853" w14:textId="77777777" w:rsidR="009A6374" w:rsidRPr="00FB7468" w:rsidRDefault="009A6374" w:rsidP="0063228F">
      <w:pPr>
        <w:pStyle w:val="Paragraphedeliste"/>
        <w:numPr>
          <w:ilvl w:val="1"/>
          <w:numId w:val="4"/>
        </w:numPr>
      </w:pPr>
      <w:r>
        <w:t xml:space="preserve">Dans le cas des arthropodes malacostraca de très nombreuses espèces ont été identifiées mais seules deux d’entre elles ont été dosées en contaminant alors que certaines étaient en proportions équivalentes à celle de Crangon crangon (1.03% pour </w:t>
      </w:r>
      <w:r w:rsidRPr="00FB7468">
        <w:rPr>
          <w:rFonts w:ascii="Calibri" w:eastAsia="Times New Roman" w:hAnsi="Calibri" w:cs="Calibri"/>
          <w:color w:val="000000"/>
          <w:lang w:eastAsia="fr-FR"/>
        </w:rPr>
        <w:t>Diastylis bradyi)</w:t>
      </w:r>
      <w:r>
        <w:t xml:space="preserve"> </w:t>
      </w:r>
    </w:p>
    <w:p w14:paraId="1FE73767" w14:textId="4DE676AC" w:rsidR="00A45044" w:rsidRPr="00A45044" w:rsidRDefault="009A6374" w:rsidP="0063228F">
      <w:pPr>
        <w:pStyle w:val="Paragraphedeliste"/>
        <w:numPr>
          <w:ilvl w:val="1"/>
          <w:numId w:val="4"/>
        </w:numPr>
        <w:rPr>
          <w:sz w:val="24"/>
          <w:szCs w:val="24"/>
          <w:highlight w:val="yellow"/>
        </w:rPr>
      </w:pPr>
      <w:r>
        <w:t>Dans le cas des polychètes, l’espèce majoritaire dans les contenus stomacaux 24.0% de Polydora ciliata, n’a pas été dosées en contaminants. Celles dosées ont des proportions inférieures à 1% dans le régime alimentaire (0.4% pour Owenia fusiformis, 0.53% pour Lagis koreni, 0.18% pour Lanice conchilega) voir non identifiées (Hediste diversicolor et Nephtys sp.)</w:t>
      </w:r>
      <w:bookmarkStart w:id="54" w:name="_Toc199498322"/>
    </w:p>
    <w:p w14:paraId="4540F7B0" w14:textId="6E27E2DD" w:rsidR="00A45044" w:rsidRPr="00A45044" w:rsidRDefault="00A45044" w:rsidP="00A45044">
      <w:pPr>
        <w:rPr>
          <w:highlight w:val="yellow"/>
        </w:rPr>
      </w:pPr>
      <w:r w:rsidRPr="00A45044">
        <w:rPr>
          <w:highlight w:val="yellow"/>
        </w:rPr>
        <w:t xml:space="preserve">L’une des contributions majeures de cette étude est la mise en évidence de l’impact de la méthodologie sur l’estimation des BMFs. En effet, la prise en compte de la composition du régime alimentaire des soles, la méthode la plus proche de la définition théorique du BMF </w:t>
      </w:r>
      <w:r w:rsidRPr="00A45044">
        <w:rPr>
          <w:highlight w:val="yellow"/>
        </w:rPr>
        <w:fldChar w:fldCharType="begin"/>
      </w:r>
      <w:r w:rsidRPr="00A45044">
        <w:rPr>
          <w:highlight w:val="yellow"/>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(Gobas </w:t>
      </w:r>
      <w:r w:rsidRPr="00A45044">
        <w:rPr>
          <w:rFonts w:ascii="Calibri" w:hAnsi="Calibri" w:cs="Calibri"/>
          <w:i/>
          <w:iCs/>
          <w:highlight w:val="yellow"/>
        </w:rPr>
        <w:t>et al.</w:t>
      </w:r>
      <w:r w:rsidRPr="00A45044">
        <w:rPr>
          <w:rFonts w:ascii="Calibri" w:hAnsi="Calibri" w:cs="Calibri"/>
          <w:highlight w:val="yellow"/>
        </w:rPr>
        <w:t>, 1999)</w:t>
      </w:r>
      <w:r w:rsidRPr="00A45044">
        <w:rPr>
          <w:highlight w:val="yellow"/>
        </w:rPr>
        <w:fldChar w:fldCharType="end"/>
      </w:r>
      <w:r w:rsidRPr="00A45044">
        <w:rPr>
          <w:highlight w:val="yellow"/>
        </w:rPr>
        <w:t xml:space="preserve">, a conduit à des BMFs plus élevés pour les PFASs et HBCDDs. Ceci suggère que l’approche traditionnelle basée uniquement sur les concentrations des proies individuelles peut sous-estimer la biomagnification réelle, surtout dans le cas d’un régime alimentaire varié </w:t>
      </w:r>
      <w:r w:rsidRPr="00A45044">
        <w:rPr>
          <w:highlight w:val="yellow"/>
        </w:rPr>
        <w:fldChar w:fldCharType="begin"/>
      </w:r>
      <w:r w:rsidRPr="00A45044">
        <w:rPr>
          <w:highlight w:val="yellow"/>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(Mounier </w:t>
      </w:r>
      <w:r w:rsidRPr="00A45044">
        <w:rPr>
          <w:rFonts w:ascii="Calibri" w:hAnsi="Calibri" w:cs="Calibri"/>
          <w:i/>
          <w:iCs/>
          <w:highlight w:val="yellow"/>
        </w:rPr>
        <w:t>et al.</w:t>
      </w:r>
      <w:r w:rsidRPr="00A45044">
        <w:rPr>
          <w:rFonts w:ascii="Calibri" w:hAnsi="Calibri" w:cs="Calibri"/>
          <w:highlight w:val="yellow"/>
        </w:rPr>
        <w:t>, 2020)</w:t>
      </w:r>
      <w:r w:rsidRPr="00A45044">
        <w:rPr>
          <w:highlight w:val="yellow"/>
        </w:rPr>
        <w:fldChar w:fldCharType="end"/>
      </w:r>
      <w:r w:rsidRPr="00A45044">
        <w:rPr>
          <w:highlight w:val="yellow"/>
        </w:rPr>
        <w:t xml:space="preserve">. Ce biais méthodologique pourrait expliquer certaines incohérences dans la littérature concernant les tendances de transfert trophique des PFASs </w:t>
      </w:r>
      <w:r w:rsidRPr="00A45044">
        <w:rPr>
          <w:highlight w:val="yellow"/>
        </w:rPr>
        <w:fldChar w:fldCharType="begin"/>
      </w:r>
      <w:r w:rsidRPr="00A45044">
        <w:rPr>
          <w:highlight w:val="yellow"/>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(Houde </w:t>
      </w:r>
      <w:r w:rsidRPr="00A45044">
        <w:rPr>
          <w:rFonts w:ascii="Calibri" w:hAnsi="Calibri" w:cs="Calibri"/>
          <w:i/>
          <w:iCs/>
          <w:highlight w:val="yellow"/>
        </w:rPr>
        <w:t>et al.</w:t>
      </w:r>
      <w:r w:rsidRPr="00A45044">
        <w:rPr>
          <w:rFonts w:ascii="Calibri" w:hAnsi="Calibri" w:cs="Calibri"/>
          <w:highlight w:val="yellow"/>
        </w:rPr>
        <w:t xml:space="preserve">, 2006; Conder </w:t>
      </w:r>
      <w:r w:rsidRPr="00A45044">
        <w:rPr>
          <w:rFonts w:ascii="Calibri" w:hAnsi="Calibri" w:cs="Calibri"/>
          <w:i/>
          <w:iCs/>
          <w:highlight w:val="yellow"/>
        </w:rPr>
        <w:t>et al.</w:t>
      </w:r>
      <w:r w:rsidRPr="00A45044">
        <w:rPr>
          <w:rFonts w:ascii="Calibri" w:hAnsi="Calibri" w:cs="Calibri"/>
          <w:highlight w:val="yellow"/>
        </w:rPr>
        <w:t xml:space="preserve">, 2008; Loi </w:t>
      </w:r>
      <w:r w:rsidRPr="00A45044">
        <w:rPr>
          <w:rFonts w:ascii="Calibri" w:hAnsi="Calibri" w:cs="Calibri"/>
          <w:i/>
          <w:iCs/>
          <w:highlight w:val="yellow"/>
        </w:rPr>
        <w:t>et al.</w:t>
      </w:r>
      <w:r w:rsidRPr="00A45044">
        <w:rPr>
          <w:rFonts w:ascii="Calibri" w:hAnsi="Calibri" w:cs="Calibri"/>
          <w:highlight w:val="yellow"/>
        </w:rPr>
        <w:t xml:space="preserve">, 2011; Munoz </w:t>
      </w:r>
      <w:r w:rsidRPr="00A45044">
        <w:rPr>
          <w:rFonts w:ascii="Calibri" w:hAnsi="Calibri" w:cs="Calibri"/>
          <w:i/>
          <w:iCs/>
          <w:highlight w:val="yellow"/>
        </w:rPr>
        <w:t>et al.</w:t>
      </w:r>
      <w:r w:rsidRPr="00A45044">
        <w:rPr>
          <w:rFonts w:ascii="Calibri" w:hAnsi="Calibri" w:cs="Calibri"/>
          <w:highlight w:val="yellow"/>
        </w:rPr>
        <w:t>, 2017)</w:t>
      </w:r>
      <w:r w:rsidRPr="00A45044">
        <w:rPr>
          <w:highlight w:val="yellow"/>
        </w:rPr>
        <w:fldChar w:fldCharType="end"/>
      </w:r>
      <w:r w:rsidRPr="00A45044">
        <w:rPr>
          <w:highlight w:val="yellow"/>
        </w:rPr>
        <w:t xml:space="preserve">. L’influence de la composition de la nourriture a par ailleurs été montrée en expérimentation </w:t>
      </w:r>
      <w:r w:rsidRPr="00A45044">
        <w:rPr>
          <w:highlight w:val="yellow"/>
        </w:rPr>
        <w:fldChar w:fldCharType="begin"/>
      </w:r>
      <w:r w:rsidRPr="00A45044">
        <w:rPr>
          <w:highlight w:val="yellow"/>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Pr="00A45044">
        <w:rPr>
          <w:highlight w:val="yellow"/>
        </w:rPr>
        <w:fldChar w:fldCharType="separate"/>
      </w:r>
      <w:r w:rsidRPr="00A45044">
        <w:rPr>
          <w:rFonts w:ascii="Calibri" w:hAnsi="Calibri" w:cs="Calibri"/>
          <w:highlight w:val="yellow"/>
        </w:rPr>
        <w:t>(Liu, Haffner and Drouillard, 2010)</w:t>
      </w:r>
      <w:r w:rsidRPr="00A45044">
        <w:rPr>
          <w:highlight w:val="yellow"/>
        </w:rPr>
        <w:fldChar w:fldCharType="end"/>
      </w:r>
      <w:r w:rsidRPr="00A45044">
        <w:rPr>
          <w:color w:val="000000"/>
          <w:highlight w:val="yellow"/>
        </w:rPr>
        <w:t xml:space="preserve">. Celle-ci serait également un facteur clé en milieu naturel, en raison des différences de digestibilité et de biodisponibilité dans les proies, pouvant être notamment liées à leur teneur en lipides dans le cas des PCB, et amener à des concentrations encore plus élevées du bol alimentaire durant la digestion </w:t>
      </w:r>
      <w:r w:rsidRPr="00A45044">
        <w:rPr>
          <w:color w:val="000000"/>
          <w:highlight w:val="yellow"/>
        </w:rPr>
        <w:fldChar w:fldCharType="begin"/>
      </w:r>
      <w:r w:rsidRPr="00A45044">
        <w:rPr>
          <w:color w:val="000000"/>
          <w:highlight w:val="yellow"/>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color w:val="000000"/>
          <w:highlight w:val="yellow"/>
        </w:rPr>
        <w:fldChar w:fldCharType="separate"/>
      </w:r>
      <w:r w:rsidRPr="00A45044">
        <w:rPr>
          <w:rFonts w:ascii="Calibri" w:hAnsi="Calibri" w:cs="Calibri"/>
          <w:highlight w:val="yellow"/>
        </w:rPr>
        <w:t xml:space="preserve">(Gobas </w:t>
      </w:r>
      <w:r w:rsidRPr="00A45044">
        <w:rPr>
          <w:rFonts w:ascii="Calibri" w:hAnsi="Calibri" w:cs="Calibri"/>
          <w:i/>
          <w:iCs/>
          <w:highlight w:val="yellow"/>
        </w:rPr>
        <w:t>et al.</w:t>
      </w:r>
      <w:r w:rsidRPr="00A45044">
        <w:rPr>
          <w:rFonts w:ascii="Calibri" w:hAnsi="Calibri" w:cs="Calibri"/>
          <w:highlight w:val="yellow"/>
        </w:rPr>
        <w:t>, 1999)</w:t>
      </w:r>
      <w:r w:rsidRPr="00A45044">
        <w:rPr>
          <w:color w:val="000000"/>
          <w:highlight w:val="yellow"/>
        </w:rPr>
        <w:fldChar w:fldCharType="end"/>
      </w:r>
      <w:r w:rsidRPr="00A45044">
        <w:rPr>
          <w:color w:val="000000"/>
          <w:highlight w:val="yellow"/>
        </w:rPr>
        <w:t>.</w:t>
      </w:r>
    </w:p>
    <w:p w14:paraId="686AE364" w14:textId="77777777" w:rsidR="00A45044" w:rsidRPr="00F92A4A" w:rsidRDefault="00A45044" w:rsidP="00A45044">
      <w:r w:rsidRPr="00A45044">
        <w:rPr>
          <w:highlight w:val="yellow"/>
        </w:rPr>
        <w:t>Ces résultats soulignent la nécessité d’une approche intégrative prenant en compte les préférences alimentaires et les proportions relatives des proies consommées, voire de leur digestibilité, pour affiner l’évaluation des risques écotoxicologiques. De plus, ils confirment que les PFASs, en particulier L-PFOS et PFNA, présentent un fort potentiel de biomagnification, ce qui doit être pris en compte dans les stratégies de surveillance environnementale et de gestion des polluants émergents.</w:t>
      </w:r>
      <w:r w:rsidRPr="00F92A4A">
        <w:t xml:space="preserve"> </w:t>
      </w:r>
    </w:p>
    <w:p w14:paraId="67A265F7" w14:textId="77777777" w:rsidR="00A45044" w:rsidRPr="00F92A4A" w:rsidRDefault="00A45044" w:rsidP="00A45044"/>
    <w:p w14:paraId="5C2EB17C" w14:textId="77777777" w:rsidR="00A45044" w:rsidRPr="00BE6B5A" w:rsidRDefault="00A45044" w:rsidP="00A45044">
      <w:pPr>
        <w:rPr>
          <w:color w:val="000000"/>
          <w:sz w:val="24"/>
          <w:szCs w:val="24"/>
          <w:lang w:val="en-US"/>
        </w:rPr>
      </w:pPr>
      <w:r w:rsidRPr="00F92A4A">
        <w:rPr>
          <w:sz w:val="24"/>
          <w:szCs w:val="24"/>
          <w:lang w:val="en-GB"/>
        </w:rPr>
        <w:t xml:space="preserve">Several reviews explore the use of monitoring-derived trophic biomagnification factors to assess the bioaccumulation potential of chemicals and </w:t>
      </w:r>
      <w:r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Pr="00F92A4A">
        <w:rPr>
          <w:color w:val="FF0000"/>
          <w:sz w:val="24"/>
          <w:szCs w:val="24"/>
          <w:highlight w:val="yellow"/>
          <w:lang w:val="en-GB"/>
        </w:rPr>
        <w:t>studies</w:t>
      </w:r>
      <w:r>
        <w:rPr>
          <w:color w:val="FF0000"/>
          <w:sz w:val="24"/>
          <w:szCs w:val="24"/>
          <w:highlight w:val="yellow"/>
          <w:lang w:val="en-GB"/>
        </w:rPr>
        <w:t xml:space="preserve"> </w:t>
      </w:r>
      <w:r>
        <w:rPr>
          <w:color w:val="FF0000"/>
          <w:sz w:val="24"/>
          <w:szCs w:val="24"/>
          <w:highlight w:val="yellow"/>
          <w:lang w:val="en-GB"/>
        </w:rPr>
        <w:fldChar w:fldCharType="begin"/>
      </w:r>
      <w:r>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FF0000"/>
          <w:sz w:val="24"/>
          <w:szCs w:val="24"/>
          <w:highlight w:val="yellow"/>
          <w:lang w:val="en-GB"/>
        </w:rPr>
        <w:fldChar w:fldCharType="separate"/>
      </w:r>
      <w:r w:rsidRPr="00FE1121">
        <w:rPr>
          <w:rFonts w:ascii="Calibri" w:hAnsi="Calibri" w:cs="Calibri"/>
          <w:sz w:val="24"/>
          <w:szCs w:val="24"/>
        </w:rPr>
        <w:t xml:space="preserve">(Borgå </w:t>
      </w:r>
      <w:r w:rsidRPr="00FE1121">
        <w:rPr>
          <w:rFonts w:ascii="Calibri" w:hAnsi="Calibri" w:cs="Calibri"/>
          <w:i/>
          <w:iCs/>
          <w:sz w:val="24"/>
          <w:szCs w:val="24"/>
        </w:rPr>
        <w:t>et al.</w:t>
      </w:r>
      <w:r w:rsidRPr="00FE1121">
        <w:rPr>
          <w:rFonts w:ascii="Calibri" w:hAnsi="Calibri" w:cs="Calibri"/>
          <w:sz w:val="24"/>
          <w:szCs w:val="24"/>
        </w:rPr>
        <w:t xml:space="preserve">, 2012; Conder </w:t>
      </w:r>
      <w:r w:rsidRPr="00FE1121">
        <w:rPr>
          <w:rFonts w:ascii="Calibri" w:hAnsi="Calibri" w:cs="Calibri"/>
          <w:i/>
          <w:iCs/>
          <w:sz w:val="24"/>
          <w:szCs w:val="24"/>
        </w:rPr>
        <w:t>et al.</w:t>
      </w:r>
      <w:r w:rsidRPr="00FE1121">
        <w:rPr>
          <w:rFonts w:ascii="Calibri" w:hAnsi="Calibri" w:cs="Calibri"/>
          <w:sz w:val="24"/>
          <w:szCs w:val="24"/>
        </w:rPr>
        <w:t xml:space="preserve">, 2012; Kim </w:t>
      </w:r>
      <w:r w:rsidRPr="00FE1121">
        <w:rPr>
          <w:rFonts w:ascii="Calibri" w:hAnsi="Calibri" w:cs="Calibri"/>
          <w:i/>
          <w:iCs/>
          <w:sz w:val="24"/>
          <w:szCs w:val="24"/>
        </w:rPr>
        <w:t>et al.</w:t>
      </w:r>
      <w:r w:rsidRPr="00FE1121">
        <w:rPr>
          <w:rFonts w:ascii="Calibri" w:hAnsi="Calibri" w:cs="Calibri"/>
          <w:sz w:val="24"/>
          <w:szCs w:val="24"/>
        </w:rPr>
        <w:t xml:space="preserve">, 2016; Arnot </w:t>
      </w:r>
      <w:r w:rsidRPr="00FE1121">
        <w:rPr>
          <w:rFonts w:ascii="Calibri" w:hAnsi="Calibri" w:cs="Calibri"/>
          <w:i/>
          <w:iCs/>
          <w:sz w:val="24"/>
          <w:szCs w:val="24"/>
        </w:rPr>
        <w:t>et al.</w:t>
      </w:r>
      <w:r w:rsidRPr="00FE1121">
        <w:rPr>
          <w:rFonts w:ascii="Calibri" w:hAnsi="Calibri" w:cs="Calibri"/>
          <w:sz w:val="24"/>
          <w:szCs w:val="24"/>
        </w:rPr>
        <w:t>, 2023; Fremlin, Elliott and Gobas, 2025)</w:t>
      </w:r>
      <w:r>
        <w:rPr>
          <w:color w:val="FF0000"/>
          <w:sz w:val="24"/>
          <w:szCs w:val="24"/>
          <w:highlight w:val="yellow"/>
          <w:lang w:val="en-GB"/>
        </w:rPr>
        <w:fldChar w:fldCharType="end"/>
      </w:r>
      <w:r w:rsidRPr="00FE1121">
        <w:rPr>
          <w:color w:val="FF0000"/>
          <w:sz w:val="24"/>
          <w:szCs w:val="24"/>
        </w:rPr>
        <w:t xml:space="preserve">. </w:t>
      </w:r>
      <w:r w:rsidRPr="00F92A4A">
        <w:rPr>
          <w:color w:val="000000"/>
          <w:sz w:val="24"/>
          <w:szCs w:val="24"/>
          <w:lang w:val="en-GB"/>
        </w:rPr>
        <w:t xml:space="preserve">Furthermore, information on prey/predator trophic interaction and exact trophic positions of the studied </w:t>
      </w:r>
      <w:r w:rsidRPr="00F92A4A">
        <w:rPr>
          <w:color w:val="000000"/>
          <w:sz w:val="24"/>
          <w:szCs w:val="24"/>
          <w:lang w:val="en-GB"/>
        </w:rPr>
        <w:lastRenderedPageBreak/>
        <w:t>species have to be confirmed (e.g. by stomach content analyses or carbon and nitrogen stable isotope ratio shifts (δ13C, δ15N)</w:t>
      </w:r>
      <w:r>
        <w:rPr>
          <w:color w:val="000000"/>
          <w:sz w:val="24"/>
          <w:szCs w:val="24"/>
          <w:lang w:val="en-GB"/>
        </w:rPr>
        <w:t xml:space="preserve"> </w:t>
      </w:r>
      <w:r w:rsidRPr="00F92A4A">
        <w:rPr>
          <w:color w:val="000000"/>
          <w:sz w:val="24"/>
          <w:szCs w:val="24"/>
          <w:lang w:val="en-GB"/>
        </w:rPr>
        <w:t>;</w:t>
      </w:r>
      <w:r>
        <w:rPr>
          <w:color w:val="000000"/>
          <w:sz w:val="24"/>
          <w:szCs w:val="24"/>
          <w:lang w:val="en-GB"/>
        </w:rPr>
        <w:t xml:space="preserve"> </w:t>
      </w:r>
      <w:r>
        <w:rPr>
          <w:color w:val="000000"/>
          <w:sz w:val="24"/>
          <w:szCs w:val="24"/>
          <w:lang w:val="en-GB"/>
        </w:rPr>
        <w:fldChar w:fldCharType="begin"/>
      </w:r>
      <w:r>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color w:val="000000"/>
          <w:sz w:val="24"/>
          <w:szCs w:val="24"/>
          <w:lang w:val="en-GB"/>
        </w:rPr>
        <w:fldChar w:fldCharType="separate"/>
      </w:r>
      <w:r w:rsidRPr="00BE6B5A">
        <w:rPr>
          <w:rFonts w:ascii="Calibri" w:hAnsi="Calibri" w:cs="Calibri"/>
          <w:sz w:val="24"/>
          <w:szCs w:val="24"/>
          <w:lang w:val="en-US"/>
        </w:rPr>
        <w:t xml:space="preserve">(Borgå </w:t>
      </w:r>
      <w:r w:rsidRPr="00BE6B5A">
        <w:rPr>
          <w:rFonts w:ascii="Calibri" w:hAnsi="Calibri" w:cs="Calibri"/>
          <w:i/>
          <w:iCs/>
          <w:sz w:val="24"/>
          <w:szCs w:val="24"/>
          <w:lang w:val="en-US"/>
        </w:rPr>
        <w:t>et al.</w:t>
      </w:r>
      <w:r w:rsidRPr="00BE6B5A">
        <w:rPr>
          <w:rFonts w:ascii="Calibri" w:hAnsi="Calibri" w:cs="Calibri"/>
          <w:sz w:val="24"/>
          <w:szCs w:val="24"/>
          <w:lang w:val="en-US"/>
        </w:rPr>
        <w:t>, 2012)</w:t>
      </w:r>
      <w:r>
        <w:rPr>
          <w:color w:val="000000"/>
          <w:sz w:val="24"/>
          <w:szCs w:val="24"/>
          <w:lang w:val="en-GB"/>
        </w:rPr>
        <w:fldChar w:fldCharType="end"/>
      </w:r>
    </w:p>
    <w:p w14:paraId="288B8768" w14:textId="409BE5DA" w:rsidR="009A6374" w:rsidRDefault="009A6374" w:rsidP="000E5564">
      <w:pPr>
        <w:pStyle w:val="Titre3"/>
        <w:rPr>
          <w:highlight w:val="yellow"/>
          <w:lang w:val="en-US"/>
        </w:rPr>
      </w:pPr>
      <w:r w:rsidRPr="009A6374">
        <w:rPr>
          <w:highlight w:val="yellow"/>
          <w:lang w:val="en-US"/>
        </w:rPr>
        <w:t>BMF vs T</w:t>
      </w:r>
      <w:bookmarkEnd w:id="54"/>
      <w:r w:rsidR="000E5564">
        <w:rPr>
          <w:highlight w:val="yellow"/>
          <w:lang w:val="en-US"/>
        </w:rPr>
        <w:t>L-BMF</w:t>
      </w:r>
    </w:p>
    <w:p w14:paraId="462A45FF" w14:textId="77777777" w:rsidR="00975169" w:rsidRPr="00975169" w:rsidRDefault="00975169" w:rsidP="00975169">
      <w:pPr>
        <w:rPr>
          <w:lang w:val="en-US"/>
        </w:rPr>
      </w:pPr>
      <w:r w:rsidRPr="00975169">
        <w:rPr>
          <w:lang w:val="en-US"/>
        </w:rPr>
        <w:t xml:space="preserve">Although BMFs explicitly describe enrichment of chemicals between predator and prey, BMFs represent only a single trophic transfer. A BMF &gt; 1 indicates that the substance has biomagnified in the predator, compared to the given prey </w:t>
      </w:r>
      <w:r w:rsidRPr="00975169">
        <w:fldChar w:fldCharType="begin"/>
      </w:r>
      <w:r w:rsidRPr="00975169">
        <w:rPr>
          <w:lang w:val="en-US"/>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(Fremlin, Elliott and Gobas, 2025)</w:t>
      </w:r>
      <w:r w:rsidRPr="00975169">
        <w:fldChar w:fldCharType="end"/>
      </w:r>
      <w:r w:rsidRPr="00975169">
        <w:rPr>
          <w:lang w:val="en-US"/>
        </w:rPr>
        <w:t>. Variation in the ability of organisms to biotransform and eliminate chemicals can produce variation in BMFs among predator-prey relationships in a food web, and this can obscure the chemical’s overall food web biomagni</w:t>
      </w:r>
      <w:r w:rsidRPr="00975169">
        <w:t>ﬁ</w:t>
      </w:r>
      <w:r w:rsidRPr="00975169">
        <w:rPr>
          <w:lang w:val="en-US"/>
        </w:rPr>
        <w:t>cation behaviour. TMFs provide a characterization of the average degree of biomagni</w:t>
      </w:r>
      <w:r w:rsidRPr="00975169">
        <w:t>ﬁ</w:t>
      </w:r>
      <w:r w:rsidRPr="00975169">
        <w:rPr>
          <w:lang w:val="en-US"/>
        </w:rPr>
        <w:t xml:space="preserve">cation that occurs with increasing trophic position within organisms of an entire food web </w:t>
      </w:r>
      <w:r w:rsidRPr="00975169">
        <w:fldChar w:fldCharType="begin"/>
      </w:r>
      <w:r w:rsidRPr="00975169">
        <w:rPr>
          <w:lang w:val="en-US"/>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w:instrText>
      </w:r>
      <w:r w:rsidRPr="00975169">
        <w:instrTex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975169">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(Fremlin, Elliott and Gobas, 2025)</w:t>
      </w:r>
      <w:r w:rsidRPr="00975169">
        <w:fldChar w:fldCharType="end"/>
      </w:r>
      <w:r w:rsidRPr="00975169">
        <w:rPr>
          <w:lang w:val="en-US"/>
        </w:rPr>
        <w:t xml:space="preserve">. Thus, it needs to be incorporating multiple food web interactions </w:t>
      </w:r>
      <w:r w:rsidRPr="00975169">
        <w:fldChar w:fldCharType="begin"/>
      </w:r>
      <w:r w:rsidRPr="00975169">
        <w:rPr>
          <w:lang w:val="en-US"/>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w:instrText>
      </w:r>
      <w:r w:rsidRPr="00975169">
        <w:instrText>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As in our case the number of food web interactions is the same for BMF and TMF, they are representing the same thing, and thus can be directly compared to each over. On the contrary, TMF from this article should not be compared with other TMFs.</w:t>
      </w:r>
    </w:p>
    <w:p w14:paraId="5ECC2E96" w14:textId="77777777" w:rsidR="00975169" w:rsidRPr="00975169" w:rsidRDefault="00975169" w:rsidP="00975169">
      <w:r w:rsidRPr="00975169">
        <w:rPr>
          <w:lang w:val="en-US"/>
        </w:rPr>
        <w:t xml:space="preserve">The scientific consensus is that chemicals are considered bioaccumulative if TMF &gt; 1. However, TMF couldn’t be estimated from our limited part of trophic web, coupled with small sample size for prey species </w:t>
      </w:r>
      <w:r w:rsidRPr="00975169">
        <w:fldChar w:fldCharType="begin"/>
      </w:r>
      <w:r w:rsidRPr="00975169">
        <w:rPr>
          <w:lang w:val="en-US"/>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w:instrText>
      </w:r>
      <w:r w:rsidRPr="00975169">
        <w:instrText>δ</w:instrText>
      </w:r>
      <w:r w:rsidRPr="00975169">
        <w:rPr>
          <w:lang w:val="en-US"/>
        </w:rPr>
        <w:instrText xml:space="preserve">15N). In this article, we give the background for the development of TMFs, identify and discuss impacts of ecosystem and ecological variables on their values, and discuss challenges and uncertainties associated with contaminant measurements and the use of </w:instrText>
      </w:r>
      <w:r w:rsidRPr="00975169">
        <w:instrText>δ</w:instrText>
      </w:r>
      <w:r w:rsidRPr="00975169">
        <w:rPr>
          <w:lang w:val="en-US"/>
        </w:rPr>
        <w:instrText xml:space="preserve">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75169">
        <w:fldChar w:fldCharType="separate"/>
      </w:r>
      <w:r w:rsidRPr="00975169">
        <w:rPr>
          <w:lang w:val="en-US"/>
        </w:rPr>
        <w:t>(Borgå et al., 2012)</w:t>
      </w:r>
      <w:r w:rsidRPr="00975169">
        <w:fldChar w:fldCharType="end"/>
      </w:r>
      <w:r w:rsidRPr="00975169">
        <w:rPr>
          <w:lang w:val="en-US"/>
        </w:rPr>
        <w:t xml:space="preserve">.  Moreover, with a small sample size as ours, a TMF below 2 or 3 is unlikely to show a statistical difference from 1, even if the true TMF is above 1 </w:t>
      </w:r>
      <w:r w:rsidRPr="00975169">
        <w:fldChar w:fldCharType="begin"/>
      </w:r>
      <w:r w:rsidRPr="00975169">
        <w:rPr>
          <w:lang w:val="en-US"/>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w:instrText>
      </w:r>
      <w:r w:rsidRPr="00975169">
        <w:instrText xml:space="preserv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Indeed, we preferred considering trophic level-normalized biomagni</w:t>
      </w:r>
      <w:r w:rsidRPr="00975169">
        <w:t>ﬁ</w:t>
      </w:r>
      <w:r w:rsidRPr="00975169">
        <w:rPr>
          <w:lang w:val="en-US"/>
        </w:rPr>
        <w:t xml:space="preserve">cation factors (TL-BMFTL). TL-BMF is still the second preferred metric of bioaccumulation potential recommended by </w:t>
      </w:r>
      <w:r w:rsidRPr="00975169">
        <w:fldChar w:fldCharType="begin"/>
      </w:r>
      <w:r w:rsidRPr="00975169">
        <w:rPr>
          <w:lang w:val="en-US"/>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w:instrText>
      </w:r>
      <w:r w:rsidRPr="00975169">
        <w:instrText>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xml:space="preserve">. Indeed, although TL-BMF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 Moreover, TL-BMF values vary but they generally include the TMF range. This is expected since TMF can be viewed as the average BMF in the studied food web. When TMF data are unavailable, TL-BMF can be a useful substitute, though it may overestimate TMFs in cases where no biomagnification occurs </w:t>
      </w:r>
      <w:r w:rsidRPr="00975169">
        <w:fldChar w:fldCharType="begin"/>
      </w:r>
      <w:r w:rsidRPr="00975169">
        <w:rPr>
          <w:lang w:val="en-US"/>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w:instrText>
      </w:r>
      <w:r w:rsidRPr="00975169">
        <w:instrText xml:space="preserve">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t>(Conder et al., 2012)</w:t>
      </w:r>
      <w:r w:rsidRPr="00975169">
        <w:fldChar w:fldCharType="end"/>
      </w:r>
      <w:r w:rsidRPr="00975169">
        <w:t>.</w:t>
      </w:r>
    </w:p>
    <w:p w14:paraId="37CDB6A2" w14:textId="77777777" w:rsidR="00975169" w:rsidRPr="00975169" w:rsidRDefault="00975169" w:rsidP="00975169">
      <w:pPr>
        <w:rPr>
          <w:highlight w:val="yellow"/>
          <w:lang w:val="en-US"/>
        </w:rPr>
      </w:pPr>
    </w:p>
    <w:p w14:paraId="194EB679" w14:textId="7D12E1A8" w:rsidR="009A6374" w:rsidRDefault="009A6374" w:rsidP="009A6374">
      <w:pPr>
        <w:rPr>
          <w:highlight w:val="yellow"/>
          <w:lang w:val="en-US"/>
        </w:rPr>
      </w:pPr>
      <w:r w:rsidRPr="009A6374">
        <w:rPr>
          <w:highlight w:val="yellow"/>
          <w:lang w:val="en-US"/>
        </w:rPr>
        <w:t>Grande variabilité du TL-BMF diet compared to simple BMF diet</w:t>
      </w:r>
    </w:p>
    <w:p w14:paraId="5867D986" w14:textId="797C38FB" w:rsidR="00975169" w:rsidRPr="00975169" w:rsidRDefault="00975169" w:rsidP="009A6374">
      <w:pPr>
        <w:rPr>
          <w:highlight w:val="yellow"/>
        </w:rPr>
      </w:pPr>
      <w:r w:rsidRPr="00975169">
        <w:rPr>
          <w:highlight w:val="yellow"/>
        </w:rPr>
        <w:t>Mêmes résultats entre predateur-p</w:t>
      </w:r>
      <w:r>
        <w:rPr>
          <w:highlight w:val="yellow"/>
        </w:rPr>
        <w:t>roie et TL predateur proie</w:t>
      </w:r>
    </w:p>
    <w:p w14:paraId="0BD67634" w14:textId="77777777" w:rsidR="009A6374" w:rsidRPr="009A6374" w:rsidRDefault="009A6374" w:rsidP="009A6374">
      <w:pPr>
        <w:rPr>
          <w:highlight w:val="yellow"/>
        </w:rPr>
      </w:pPr>
      <w:r w:rsidRPr="00975169">
        <w:rPr>
          <w:highlight w:val="yellow"/>
          <w:lang w:val="en-US"/>
        </w:rPr>
        <w:t>Field- and laboratory-derived BAFs and bioconcentration factors are generally less accurate in predicting biomagni</w:t>
      </w:r>
      <w:r w:rsidRPr="009A6374">
        <w:rPr>
          <w:highlight w:val="yellow"/>
        </w:rPr>
        <w:t>ﬁ</w:t>
      </w:r>
      <w:r w:rsidRPr="00975169">
        <w:rPr>
          <w:highlight w:val="yellow"/>
          <w:lang w:val="en-US"/>
        </w:rPr>
        <w:t xml:space="preserve">cation </w:t>
      </w:r>
      <w:r w:rsidRPr="009A6374">
        <w:rPr>
          <w:highlight w:val="yellow"/>
        </w:rPr>
        <w:fldChar w:fldCharType="begin"/>
      </w:r>
      <w:r w:rsidRPr="00975169">
        <w:rPr>
          <w:highlight w:val="yellow"/>
          <w:lang w:val="en-US"/>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highlight w:val="yellow"/>
        </w:rPr>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w:instrText>
      </w:r>
      <w:r w:rsidRPr="009A6374">
        <w:rPr>
          <w:highlight w:val="yellow"/>
        </w:rPr>
        <w:instrText xml:space="preserve">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A6374">
        <w:rPr>
          <w:highlight w:val="yellow"/>
        </w:rPr>
        <w:fldChar w:fldCharType="separate"/>
      </w:r>
      <w:r w:rsidRPr="009A6374">
        <w:rPr>
          <w:highlight w:val="yellow"/>
        </w:rPr>
        <w:t>(Conder et al., 2012)</w:t>
      </w:r>
      <w:r w:rsidRPr="009A6374">
        <w:rPr>
          <w:highlight w:val="yellow"/>
        </w:rPr>
        <w:fldChar w:fldCharType="end"/>
      </w:r>
      <w:r w:rsidRPr="009A6374">
        <w:rPr>
          <w:highlight w:val="yellow"/>
        </w:rPr>
        <w:t xml:space="preserve">. </w:t>
      </w:r>
    </w:p>
    <w:p w14:paraId="63A05CBE" w14:textId="77777777" w:rsidR="009A6374" w:rsidRPr="009A6374" w:rsidRDefault="009A6374" w:rsidP="009A6374">
      <w:pPr>
        <w:rPr>
          <w:highlight w:val="yellow"/>
          <w:lang w:val="en-GB"/>
        </w:rPr>
      </w:pPr>
      <w:r w:rsidRPr="009A6374">
        <w:rPr>
          <w:highlight w:val="yellow"/>
        </w:rPr>
        <w:t xml:space="preserve">TMF prédit par un modèle pour les PCB - Fan Y. 2008. </w:t>
      </w:r>
      <w:r w:rsidRPr="009A6374">
        <w:rPr>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1A12C0BD" w14:textId="77777777" w:rsidR="009A6374" w:rsidRPr="009A6374" w:rsidRDefault="009A6374" w:rsidP="009A6374">
      <w:pPr>
        <w:rPr>
          <w:highlight w:val="yellow"/>
          <w:lang w:val="en-GB"/>
        </w:rPr>
      </w:pPr>
      <w:r w:rsidRPr="009A6374">
        <w:rPr>
          <w:highlight w:val="yellow"/>
          <w:lang w:val="en-GB"/>
        </w:rPr>
        <w:t xml:space="preserve">Supp data word  </w:t>
      </w:r>
      <w:r w:rsidRPr="009A6374">
        <w:rPr>
          <w:highlight w:val="yellow"/>
          <w:lang w:val="en-GB"/>
        </w:rPr>
        <w:fldChar w:fldCharType="begin"/>
      </w:r>
      <w:r w:rsidRPr="009A6374">
        <w:rPr>
          <w:highlight w:val="yellow"/>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lang w:val="en-US"/>
        </w:rPr>
        <w:t xml:space="preserve">(Conder </w:t>
      </w:r>
      <w:r w:rsidRPr="009A6374">
        <w:rPr>
          <w:rFonts w:ascii="Calibri" w:hAnsi="Calibri" w:cs="Calibri"/>
          <w:i/>
          <w:iCs/>
          <w:highlight w:val="yellow"/>
          <w:lang w:val="en-US"/>
        </w:rPr>
        <w:t>et al.</w:t>
      </w:r>
      <w:r w:rsidRPr="009A6374">
        <w:rPr>
          <w:rFonts w:ascii="Calibri" w:hAnsi="Calibri" w:cs="Calibri"/>
          <w:highlight w:val="yellow"/>
          <w:lang w:val="en-US"/>
        </w:rPr>
        <w:t>, 2012)</w:t>
      </w:r>
      <w:r w:rsidRPr="009A6374">
        <w:rPr>
          <w:highlight w:val="yellow"/>
          <w:lang w:val="en-GB"/>
        </w:rPr>
        <w:fldChar w:fldCharType="end"/>
      </w:r>
      <w:r w:rsidRPr="009A6374">
        <w:rPr>
          <w:highlight w:val="yellow"/>
          <w:lang w:val="en-GB"/>
        </w:rPr>
        <w:t xml:space="preserve"> : biblio TMF et BMFTL PFOS (Houde et al., 2006 Sarasota Bay + Tomy et al., 2004 Arctic) PCB 52(Houde et al., 2008 Wollaston, Thunder, Superior, Simcoe, Seneca, Sandybeach, Reindeer, Paguchi, Opeongo, Namur, La Ronge, Kingsmere, Grist, Eva, Cold, Champlain, Athabasca) ; PCB 153 (Hoekstra et al., 2003 Beaufort-Chukchi Sea Arctic + Fisk et al., 2001 Baffin Bay Arctic + Hop et al., 2002 Barents Sea + Houde et al., 2008 same locations as PCB 52), 209 (Mackintosh et al., 2004 Vancover, BC)</w:t>
      </w:r>
    </w:p>
    <w:p w14:paraId="2238E8A9" w14:textId="77777777" w:rsidR="009A6374" w:rsidRPr="0065333F" w:rsidRDefault="009A6374" w:rsidP="009A6374">
      <w:r w:rsidRPr="009A6374">
        <w:rPr>
          <w:highlight w:val="yellow"/>
        </w:rPr>
        <w:lastRenderedPageBreak/>
        <w:t xml:space="preserve">Le calcul du TMF est basé sur l’examen de la relation statistique entre le niveau moyen de contamination des espèces et leur niveau trophique moyen le long d’une chaine trophique </w:t>
      </w:r>
      <w:r w:rsidRPr="009A6374">
        <w:rPr>
          <w:highlight w:val="yellow"/>
        </w:rPr>
        <w:fldChar w:fldCharType="begin"/>
      </w:r>
      <w:r w:rsidRPr="009A6374">
        <w:rPr>
          <w:highlight w:val="yellow"/>
        </w:rP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A6374">
        <w:rPr>
          <w:highlight w:val="yellow"/>
        </w:rPr>
        <w:fldChar w:fldCharType="separate"/>
      </w:r>
      <w:r w:rsidRPr="009A6374">
        <w:rPr>
          <w:rFonts w:ascii="Calibri" w:hAnsi="Calibri" w:cs="Calibri"/>
          <w:highlight w:val="yellow"/>
        </w:rPr>
        <w:t xml:space="preserve">(Borgå </w:t>
      </w:r>
      <w:r w:rsidRPr="009A6374">
        <w:rPr>
          <w:rFonts w:ascii="Calibri" w:hAnsi="Calibri" w:cs="Calibri"/>
          <w:i/>
          <w:iCs/>
          <w:highlight w:val="yellow"/>
        </w:rPr>
        <w:t>et al.</w:t>
      </w:r>
      <w:r w:rsidRPr="009A6374">
        <w:rPr>
          <w:rFonts w:ascii="Calibri" w:hAnsi="Calibri" w:cs="Calibri"/>
          <w:highlight w:val="yellow"/>
        </w:rPr>
        <w:t>, 2012)</w:t>
      </w:r>
      <w:r w:rsidRPr="009A6374">
        <w:rPr>
          <w:highlight w:val="yellow"/>
        </w:rPr>
        <w:fldChar w:fldCharType="end"/>
      </w:r>
      <w:r w:rsidRPr="009A6374">
        <w:rPr>
          <w:highlight w:val="yellow"/>
        </w:rPr>
        <w:t xml:space="preserve">. Récemment, </w:t>
      </w:r>
      <w:r w:rsidRPr="009A6374">
        <w:rPr>
          <w:highlight w:val="yellow"/>
          <w:lang w:val="en-GB"/>
        </w:rPr>
        <w:fldChar w:fldCharType="begin"/>
      </w:r>
      <w:r w:rsidRPr="009A6374">
        <w:rPr>
          <w:highlight w:val="yellow"/>
        </w:rP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rPr>
        <w:t xml:space="preserve">(Munoz </w:t>
      </w:r>
      <w:r w:rsidRPr="009A6374">
        <w:rPr>
          <w:rFonts w:ascii="Calibri" w:hAnsi="Calibri" w:cs="Calibri"/>
          <w:i/>
          <w:iCs/>
          <w:highlight w:val="yellow"/>
        </w:rPr>
        <w:t>et al.</w:t>
      </w:r>
      <w:r w:rsidRPr="009A6374">
        <w:rPr>
          <w:rFonts w:ascii="Calibri" w:hAnsi="Calibri" w:cs="Calibri"/>
          <w:highlight w:val="yellow"/>
        </w:rPr>
        <w:t>, 2017)</w:t>
      </w:r>
      <w:r w:rsidRPr="009A6374">
        <w:rPr>
          <w:highlight w:val="yellow"/>
          <w:lang w:val="en-GB"/>
        </w:rPr>
        <w:fldChar w:fldCharType="end"/>
      </w:r>
      <w:r w:rsidRPr="009A6374">
        <w:rPr>
          <w:highlight w:val="yellow"/>
        </w:rPr>
        <w:t xml:space="preserve"> ont listé et évalués différentes méthodes statistiques pour estimer de façon pertinente les TMF compte-tenu des différents biais statistiques potentiels </w:t>
      </w:r>
      <w:r w:rsidRPr="009A6374">
        <w:rPr>
          <w:highlight w:val="yellow"/>
        </w:rPr>
        <w:fldChar w:fldCharType="begin"/>
      </w:r>
      <w:r w:rsidRPr="009A6374">
        <w:rPr>
          <w:highlight w:val="yellow"/>
        </w:rP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Pr="009A6374">
        <w:rPr>
          <w:highlight w:val="yellow"/>
        </w:rPr>
        <w:fldChar w:fldCharType="separate"/>
      </w:r>
      <w:r w:rsidRPr="009A6374">
        <w:rPr>
          <w:rFonts w:ascii="Calibri" w:hAnsi="Calibri" w:cs="Calibri"/>
          <w:highlight w:val="yellow"/>
        </w:rPr>
        <w:t xml:space="preserve">(Borgå </w:t>
      </w:r>
      <w:r w:rsidRPr="009A6374">
        <w:rPr>
          <w:rFonts w:ascii="Calibri" w:hAnsi="Calibri" w:cs="Calibri"/>
          <w:i/>
          <w:iCs/>
          <w:highlight w:val="yellow"/>
        </w:rPr>
        <w:t>et al.</w:t>
      </w:r>
      <w:r w:rsidRPr="009A6374">
        <w:rPr>
          <w:rFonts w:ascii="Calibri" w:hAnsi="Calibri" w:cs="Calibri"/>
          <w:highlight w:val="yellow"/>
        </w:rPr>
        <w:t xml:space="preserve">, 2012; Mackay </w:t>
      </w:r>
      <w:r w:rsidRPr="009A6374">
        <w:rPr>
          <w:rFonts w:ascii="Calibri" w:hAnsi="Calibri" w:cs="Calibri"/>
          <w:i/>
          <w:iCs/>
          <w:highlight w:val="yellow"/>
        </w:rPr>
        <w:t>et al.</w:t>
      </w:r>
      <w:r w:rsidRPr="009A6374">
        <w:rPr>
          <w:rFonts w:ascii="Calibri" w:hAnsi="Calibri" w:cs="Calibri"/>
          <w:highlight w:val="yellow"/>
        </w:rPr>
        <w:t>, 2016)</w:t>
      </w:r>
      <w:r w:rsidRPr="009A6374">
        <w:rPr>
          <w:highlight w:val="yellow"/>
        </w:rPr>
        <w:fldChar w:fldCharType="end"/>
      </w:r>
      <w:r w:rsidRPr="009A6374">
        <w:rPr>
          <w:highlight w:val="yellow"/>
        </w:rPr>
        <w:t xml:space="preserve">. Parmi ces méthodes, le package R « LMEC » </w:t>
      </w:r>
      <w:r w:rsidRPr="009A6374">
        <w:rPr>
          <w:highlight w:val="yellow"/>
        </w:rPr>
        <w:fldChar w:fldCharType="begin"/>
      </w:r>
      <w:r w:rsidRPr="009A6374">
        <w:rPr>
          <w:highlight w:val="yellow"/>
        </w:rP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Pr="009A6374">
        <w:rPr>
          <w:highlight w:val="yellow"/>
        </w:rPr>
        <w:fldChar w:fldCharType="separate"/>
      </w:r>
      <w:r w:rsidRPr="009A6374">
        <w:rPr>
          <w:rFonts w:ascii="Calibri" w:hAnsi="Calibri" w:cs="Calibri"/>
          <w:highlight w:val="yellow"/>
        </w:rPr>
        <w:t>(Vaida and Liu, 2009)</w:t>
      </w:r>
      <w:r w:rsidRPr="009A6374">
        <w:rPr>
          <w:highlight w:val="yellow"/>
        </w:rPr>
        <w:fldChar w:fldCharType="end"/>
      </w:r>
      <w:r w:rsidRPr="009A6374">
        <w:rPr>
          <w:highlight w:val="yellow"/>
        </w:rPr>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9A6374">
        <w:rPr>
          <w:highlight w:val="yellow"/>
          <w:lang w:val="en-GB"/>
        </w:rPr>
        <w:t>δ</w:t>
      </w:r>
      <w:r w:rsidRPr="009A6374">
        <w:rPr>
          <w:highlight w:val="yellow"/>
        </w:rPr>
        <w:t>15N, en utilisant un ou deux organismes pour la définition de la ligne de base.</w:t>
      </w:r>
    </w:p>
    <w:p w14:paraId="0231CF9D" w14:textId="77777777" w:rsidR="00917159" w:rsidRPr="00917159" w:rsidRDefault="00917159" w:rsidP="00917159">
      <w:pPr>
        <w:pStyle w:val="Titre2"/>
      </w:pPr>
      <w:bookmarkStart w:id="55" w:name="_Toc199498323"/>
      <w:r w:rsidRPr="00917159">
        <w:t>Influence de la prise en compte des valeurs manquantes</w:t>
      </w:r>
      <w:bookmarkEnd w:id="55"/>
    </w:p>
    <w:p w14:paraId="4BF6621F" w14:textId="77777777" w:rsidR="00917159" w:rsidRPr="00F92A4A" w:rsidRDefault="00917159" w:rsidP="00917159">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Pr="00F92A4A">
        <w:rPr>
          <w:b/>
          <w:bCs/>
          <w:color w:val="000000"/>
          <w:sz w:val="24"/>
          <w:szCs w:val="24"/>
        </w:rPr>
        <w:t>apparentes</w:t>
      </w:r>
      <w:r w:rsidRPr="00F92A4A">
        <w:rPr>
          <w:color w:val="000000"/>
          <w:sz w:val="24"/>
          <w:szCs w:val="24"/>
        </w:rPr>
        <w:t>.</w:t>
      </w:r>
    </w:p>
    <w:p w14:paraId="482B8C7D" w14:textId="0F061B4F" w:rsidR="00EB325C" w:rsidRDefault="00307945" w:rsidP="0060211A">
      <w:pPr>
        <w:pStyle w:val="Titre2"/>
        <w:rPr>
          <w:highlight w:val="green"/>
          <w:lang w:val="fr-FR"/>
        </w:rPr>
      </w:pPr>
      <w:r w:rsidRPr="00307945">
        <w:rPr>
          <w:highlight w:val="green"/>
          <w:lang w:val="fr-FR"/>
        </w:rPr>
        <w:t xml:space="preserve">Influence des propriétés physico-chimique sur </w:t>
      </w:r>
      <w:r>
        <w:rPr>
          <w:highlight w:val="green"/>
          <w:lang w:val="fr-FR"/>
        </w:rPr>
        <w:t>les B</w:t>
      </w:r>
      <w:r w:rsidR="0060211A" w:rsidRPr="00307945">
        <w:rPr>
          <w:highlight w:val="green"/>
          <w:lang w:val="fr-FR"/>
        </w:rPr>
        <w:t>MFs</w:t>
      </w:r>
    </w:p>
    <w:p w14:paraId="78525BDF" w14:textId="1D1AAAA7" w:rsidR="00975169" w:rsidRPr="00975169" w:rsidRDefault="00975169" w:rsidP="00975169">
      <w:pPr>
        <w:pStyle w:val="Titre3"/>
        <w:rPr>
          <w:highlight w:val="green"/>
        </w:rPr>
      </w:pPr>
      <w:r>
        <w:rPr>
          <w:highlight w:val="green"/>
          <w:lang w:val="en-US"/>
        </w:rPr>
        <w:t>Family</w:t>
      </w:r>
      <w:r>
        <w:rPr>
          <w:highlight w:val="green"/>
          <w:lang w:val="en-US"/>
        </w:rPr>
        <w:t xml:space="preserve"> comparison</w:t>
      </w:r>
    </w:p>
    <w:p w14:paraId="278F10AF" w14:textId="77777777" w:rsidR="00975169" w:rsidRPr="00975169" w:rsidRDefault="00975169" w:rsidP="00975169">
      <w:r w:rsidRPr="00975169">
        <w:t>PCB TL-diet : 0.02 CB31 – 3.94 CB118 (min : 0 CB31 – max : 12.31 CB118)</w:t>
      </w:r>
    </w:p>
    <w:p w14:paraId="367FCB36" w14:textId="77777777" w:rsidR="00975169" w:rsidRPr="00917159" w:rsidRDefault="00975169" w:rsidP="00975169">
      <w:r w:rsidRPr="00917159">
        <w:t xml:space="preserve">PFAS : </w:t>
      </w:r>
      <w:r>
        <w:t xml:space="preserve">médiane </w:t>
      </w:r>
      <w:r w:rsidRPr="00917159">
        <w:t>0.</w:t>
      </w:r>
      <w:r>
        <w:t xml:space="preserve">05 PFTeDA </w:t>
      </w:r>
      <w:r w:rsidRPr="00917159">
        <w:t>-</w:t>
      </w:r>
      <w:r>
        <w:t xml:space="preserve"> </w:t>
      </w:r>
      <w:r w:rsidRPr="00917159">
        <w:t>2.</w:t>
      </w:r>
      <w:r>
        <w:t>54 Br-PFOS</w:t>
      </w:r>
      <w:r w:rsidRPr="00917159">
        <w:t xml:space="preserve"> (min 0</w:t>
      </w:r>
      <w:r>
        <w:t>.03 pour PFTeDA, max : 7.3 Br-PFOS)</w:t>
      </w:r>
    </w:p>
    <w:p w14:paraId="38BF8CF3" w14:textId="2661C26B" w:rsidR="00975169" w:rsidRPr="00975169" w:rsidRDefault="00975169" w:rsidP="00975169">
      <w:pPr>
        <w:rPr>
          <w:sz w:val="24"/>
          <w:szCs w:val="24"/>
        </w:rPr>
      </w:pPr>
      <w:r w:rsidRPr="00975169">
        <w:t xml:space="preserve">Ce résultat est en accord avec les observations récentes sur la bioaccumulation des PFASs dans les écosystèmes aquatiques </w:t>
      </w:r>
      <w:r w:rsidRPr="00975169">
        <w:fldChar w:fldCharType="begin"/>
      </w:r>
      <w:r w:rsidRPr="00975169">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Pr="00975169">
        <w:fldChar w:fldCharType="separate"/>
      </w:r>
      <w:r w:rsidRPr="00975169">
        <w:t>(Houde et al., 2006; Conder et al., 2008; Ng and Hungerbuhler, 2014; Cara et al., 2022)</w:t>
      </w:r>
      <w:r w:rsidRPr="00975169">
        <w:fldChar w:fldCharType="end"/>
      </w:r>
      <w:r w:rsidRPr="00975169">
        <w:t xml:space="preserve">. Pour une meilleure estimation des BMFs, la normalisation des concentrations par le taux de protéine aurait pû être mesurée, les PFAS étant connus pour se lier aux protéines </w:t>
      </w:r>
      <w:r w:rsidRPr="00975169">
        <w:fldChar w:fldCharType="begin"/>
      </w:r>
      <w:r w:rsidRPr="00975169">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75169">
        <w:fldChar w:fldCharType="separate"/>
      </w:r>
      <w:r w:rsidRPr="00975169">
        <w:t>(Conder et al., 2012; Schäfer et al., 2015)</w:t>
      </w:r>
      <w:r w:rsidRPr="00975169">
        <w:fldChar w:fldCharType="end"/>
      </w:r>
      <w:r w:rsidRPr="00975169">
        <w:t xml:space="preserve">. Cette normalisation par les lipides polaires est aujourd’hui recommandée pour ces substances dites « ionisantes » dans l’estimation des BMFs et TMFs </w:t>
      </w:r>
      <w:r w:rsidRPr="00975169">
        <w:fldChar w:fldCharType="begin"/>
      </w:r>
      <w:r w:rsidRPr="00975169">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t>(Kelly et al., 2009; Fremlin, Elliott and Gobas, 2025)</w:t>
      </w:r>
      <w:r w:rsidRPr="00975169">
        <w:fldChar w:fldCharType="end"/>
      </w:r>
      <w:r w:rsidRPr="00975169">
        <w:t>.</w:t>
      </w:r>
    </w:p>
    <w:p w14:paraId="345D1CC7" w14:textId="5D5C4B3F" w:rsidR="00975169" w:rsidRPr="00975169" w:rsidRDefault="00975169" w:rsidP="00975169">
      <w:pPr>
        <w:rPr>
          <w:highlight w:val="yellow"/>
          <w:lang w:val="en-GB"/>
        </w:rPr>
      </w:pPr>
      <w:r w:rsidRPr="009A6374">
        <w:rPr>
          <w:highlight w:val="yellow"/>
          <w:lang w:val="en-GB"/>
        </w:rPr>
        <w:t xml:space="preserve">Several studies indicate that chemicals with a log KOW &gt; 4 have the potential to biomagnify in the food web and can exhibit a TMF&gt;1 </w:t>
      </w:r>
      <w:sdt>
        <w:sdtPr>
          <w:rPr>
            <w:highlight w:val="yellow"/>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F71F5BF45A1A40C9A8DEFF41CBC43F48"/>
          </w:placeholder>
        </w:sdtPr>
        <w:sdtContent>
          <w:r w:rsidRPr="009A6374">
            <w:rPr>
              <w:highlight w:val="yellow"/>
              <w:lang w:val="en-GB"/>
            </w:rPr>
            <w:t>(Conder et al., 2012)</w:t>
          </w:r>
        </w:sdtContent>
      </w:sdt>
    </w:p>
    <w:p w14:paraId="056DDA66" w14:textId="5FC8EB5B" w:rsidR="001B7A28" w:rsidRPr="001B7A28" w:rsidRDefault="001B7A28" w:rsidP="001B7A28">
      <w:pPr>
        <w:pStyle w:val="Titre3"/>
        <w:rPr>
          <w:highlight w:val="green"/>
          <w:lang w:val="en-US"/>
        </w:rPr>
      </w:pPr>
      <w:r>
        <w:rPr>
          <w:highlight w:val="green"/>
          <w:lang w:val="en-US"/>
        </w:rPr>
        <w:t>PCB family</w:t>
      </w:r>
    </w:p>
    <w:p w14:paraId="77B91931" w14:textId="72561818" w:rsidR="00C10679" w:rsidRPr="0060211A" w:rsidRDefault="0060211A" w:rsidP="0060211A">
      <w:pPr>
        <w:rPr>
          <w:lang w:val="en-US"/>
        </w:rPr>
      </w:pPr>
      <w:r w:rsidRPr="00F250E5">
        <w:rPr>
          <w:highlight w:val="green"/>
          <w:lang w:val="en-US"/>
        </w:rPr>
        <w:t>As exp</w:t>
      </w:r>
      <w:r w:rsidRPr="0060211A">
        <w:rPr>
          <w:highlight w:val="green"/>
          <w:lang w:val="en-US"/>
        </w:rPr>
        <w:t>ected based on numerous studies, the BMF estimation methods used for PCBs revealed an increase in bioaccumulation with rising logKow values, followed by a decline for logKow values above approximately 6.5–</w:t>
      </w:r>
      <w:r w:rsidRPr="00335349">
        <w:rPr>
          <w:highlight w:val="green"/>
          <w:lang w:val="en-US"/>
        </w:rPr>
        <w:t xml:space="preserve">7 </w:t>
      </w:r>
      <w:r w:rsidRPr="00335349">
        <w:rPr>
          <w:highlight w:val="green"/>
        </w:rPr>
        <w:fldChar w:fldCharType="begin"/>
      </w:r>
      <w:r w:rsidRPr="00335349">
        <w:rPr>
          <w:highlight w:val="green"/>
          <w:lang w:val="en-US"/>
        </w:rPr>
        <w:instrText xml:space="preserve"> ADDIN ZOTERO_ITEM CSL_CITATION {"citationID":"T5D89k8a","properties":{"formattedCitation":"(Connolly, 1991; Fisk {\\i{}et al.}, 1998; Loizeau, Abarnou and M\\uc0\\u233{}nesguen, 2001)","plainCitation":"(Connolly, 1991; Fisk et al., 1998; Loizeau, Abarnou and Ménesguen, 2001)","noteIndex":0},"citationItems":[{"id":1055,"uris":["http://zotero.org/users/3305729/items/WFRJBC33"],"itemData":{"id":1055,"type":"article-journal","container-title":"Environmental Science &amp; Technology","DOI":"10.1021/es00016a022","ISSN":"0013-936X","issue":"4","journalAbbreviation":"Environ. Sci. Technol.","note":"publisher: American Chemical Society","page":"760-770","source":"ACS Publications","title":"Application of a food chain model to polychlorinated biphenyl contamination of the lobster and winter flounder food chains in New Bedford Harbor","volume":"25","author":[{"family":"Connolly","given":"John P."}],"issued":{"date-parts":[["1991",4,1]]},"citation-key":"connollyApplicationFoodChain1991"}},{"id":362,"uris":["http://zotero.org/users/3305729/items/7DVKV6X4"],"itemData":{"id":362,"type":"article-journal","abstract":"Dietary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w:instrText>
      </w:r>
      <w:r w:rsidRPr="00335349">
        <w:rPr>
          <w:highlight w:val="green"/>
        </w:rPr>
        <w:instrText xml:space="preserv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w:instrText>
      </w:r>
      <w:r w:rsidRPr="00335349">
        <w:rPr>
          <w:highlight w:val="green"/>
          <w:lang w:val="en-US"/>
        </w:rPr>
        <w:instrText xml:space="preserve">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Pr="00335349">
        <w:rPr>
          <w:highlight w:val="green"/>
        </w:rPr>
        <w:fldChar w:fldCharType="separate"/>
      </w:r>
      <w:r w:rsidRPr="00335349">
        <w:rPr>
          <w:highlight w:val="green"/>
          <w:lang w:val="en-US"/>
        </w:rPr>
        <w:t>(Connolly, 1991; Fisk et al., 1998; Loizeau, Abarnou and Ménesguen, 2001)</w:t>
      </w:r>
      <w:r w:rsidRPr="00335349">
        <w:rPr>
          <w:highlight w:val="green"/>
        </w:rPr>
        <w:fldChar w:fldCharType="end"/>
      </w:r>
      <w:r w:rsidRPr="00335349">
        <w:rPr>
          <w:highlight w:val="green"/>
          <w:lang w:val="en-US"/>
        </w:rPr>
        <w:t>.</w:t>
      </w:r>
      <w:r w:rsidRPr="00335349">
        <w:rPr>
          <w:highlight w:val="green"/>
        </w:rPr>
        <w:t xml:space="preserve"> </w:t>
      </w:r>
      <w:r w:rsidR="00335349" w:rsidRPr="00335349">
        <w:rPr>
          <w:highlight w:val="green"/>
          <w:lang w:val="en-US"/>
        </w:rPr>
        <w:t>The bioaccumulation is expected as the logKow va</w:t>
      </w:r>
      <w:r w:rsidR="00335349">
        <w:rPr>
          <w:highlight w:val="green"/>
          <w:lang w:val="en-US"/>
        </w:rPr>
        <w:t xml:space="preserve">lues </w:t>
      </w:r>
      <w:r w:rsidR="00335349" w:rsidRPr="00335349">
        <w:rPr>
          <w:highlight w:val="green"/>
          <w:lang w:val="en-US"/>
        </w:rPr>
        <w:t>of all PCBs are above 5.5 and the</w:t>
      </w:r>
      <w:r w:rsidRPr="00335349">
        <w:rPr>
          <w:highlight w:val="green"/>
          <w:lang w:val="en-US"/>
        </w:rPr>
        <w:t xml:space="preserve"> reduced</w:t>
      </w:r>
      <w:r w:rsidRPr="0060211A">
        <w:rPr>
          <w:highlight w:val="green"/>
          <w:lang w:val="en-US"/>
        </w:rPr>
        <w:t xml:space="preserve"> bioaccumulation for the most lipophilic compounds is presumed to result from low absorption efficiency</w:t>
      </w:r>
      <w:r w:rsidR="0030535B">
        <w:rPr>
          <w:highlight w:val="green"/>
          <w:lang w:val="en-US"/>
        </w:rPr>
        <w:t xml:space="preserve"> </w:t>
      </w:r>
      <w:r w:rsidR="0030535B">
        <w:rPr>
          <w:highlight w:val="green"/>
          <w:lang w:val="en-US"/>
        </w:rPr>
        <w:fldChar w:fldCharType="begin"/>
      </w:r>
      <w:r w:rsidR="0030535B">
        <w:rPr>
          <w:highlight w:val="green"/>
          <w:lang w:val="en-US"/>
        </w:rPr>
        <w:instrText xml:space="preserve"> ADDIN ZOTERO_ITEM CSL_CITATION {"citationID":"VRUt8TdM","properties":{"formattedCitation":"(Kobayashi {\\i{}et al.}, 2011)","plainCitation":"(Kobayashi et al., 2011)","noteIndex":0},"citationItems":[{"id":826,"uris":["http://zotero.org/users/3305729/items/Q3UAR4KK"],"itemData":{"id":826,"type":"article-journal","abstract":"To evaluate the dietary uptake of polychlorinated biphenyls (PCBs) from live food, we investigated the dietary uptake and depuration kinetics of PCBs in a marine benthic fish (marbled sole, Pseudopleuronectes yokohamae) by using as food live sandworms (Perinereis nuntia) that were laboratory-exposed to field-collected PCB-contaminated sediment. Marbled sole were fed the PCB-contaminated sandworms for 28d and then uncontaminated sandworms for 56d. The assimilation efficiencies (AEs) of 84 PCB congeners via the gastrointestinal tract (GIT) to the muscle of the fish ranged from 0.21 to 0.78; whole-body AEs would be lower than those of muscle because of the lower PCB concentrations, on a lipid basis. The AEs determined in this study were lower than those in other studies that used PCB-spiked commercial pelletized food. The lower AEs found in this study might be attributable to differences in the food administered (live sandworms vs. commercial pellet food), possibly because of low digestibility of sandworm lipids by marbled sole. In addition, the AEs in this study tended to increase with increasing log octanol-water partition coefficients (KOW) up to about seven, although AEs in the other studies using commercial pelletized food did not increase with increasing logKOW. This result suggests the co-transport of highly hydrophobic PCB congeners along with lipids and fatty acids from the digested sandworms into the GIT epithelium cells. The growth-corrected half-lives of 26 PCB congeners in the muscle of fish ranged from 20 to 107d. © 2010 Elsevier Ltd.","container-title":"Chemosphere","DOI":"10.1016/j.chemosphere.2010.10.087","issue":"5","page":"745-750","title":"Dietary uptake kinetics of polychlorinated biphenyls from sediment-contaminated sandworms in a marine benthic fish (Pseudopleuronectes yokohamae)","volume":"82","author":[{"family":"Kobayashi","given":"Jun"},{"family":"Kinoshita","given":"Kyoko"},{"family":"Mizukawa","given":"Kaoruko"},{"family":"Sakurai","given":"Takeo"},{"family":"Imaizumi","given":"Yoshitaka"},{"family":"Takada","given":"Hideshige"},{"family":"Suzuki","given":"Noriyuki"}],"issued":{"date-parts":[["2011"]]},"citation-key":"kobayashiDietaryUptakeKinetics2011"}}],"schema":"https://github.com/citation-style-language/schema/raw/master/csl-citation.json"} </w:instrText>
      </w:r>
      <w:r w:rsidR="0030535B">
        <w:rPr>
          <w:highlight w:val="green"/>
          <w:lang w:val="en-US"/>
        </w:rPr>
        <w:fldChar w:fldCharType="separate"/>
      </w:r>
      <w:r w:rsidR="0030535B" w:rsidRPr="0030535B">
        <w:rPr>
          <w:rFonts w:ascii="Calibri" w:hAnsi="Calibri" w:cs="Calibri"/>
          <w:szCs w:val="24"/>
          <w:lang w:val="en-US"/>
        </w:rPr>
        <w:t xml:space="preserve">(Kobayashi </w:t>
      </w:r>
      <w:r w:rsidR="0030535B" w:rsidRPr="0030535B">
        <w:rPr>
          <w:rFonts w:ascii="Calibri" w:hAnsi="Calibri" w:cs="Calibri"/>
          <w:i/>
          <w:iCs/>
          <w:szCs w:val="24"/>
          <w:lang w:val="en-US"/>
        </w:rPr>
        <w:t>et al.</w:t>
      </w:r>
      <w:r w:rsidR="0030535B" w:rsidRPr="0030535B">
        <w:rPr>
          <w:rFonts w:ascii="Calibri" w:hAnsi="Calibri" w:cs="Calibri"/>
          <w:szCs w:val="24"/>
          <w:lang w:val="en-US"/>
        </w:rPr>
        <w:t>, 2011)</w:t>
      </w:r>
      <w:r w:rsidR="0030535B">
        <w:rPr>
          <w:highlight w:val="green"/>
          <w:lang w:val="en-US"/>
        </w:rPr>
        <w:fldChar w:fldCharType="end"/>
      </w:r>
      <w:r w:rsidRPr="0060211A">
        <w:rPr>
          <w:highlight w:val="green"/>
          <w:lang w:val="en-US"/>
        </w:rPr>
        <w:t>, likely due to their high molecular weight and steric hindrance, which may limit their ability to cross cellular membranes</w:t>
      </w:r>
      <w:r w:rsidR="00C879F8">
        <w:rPr>
          <w:highlight w:val="green"/>
          <w:lang w:val="en-US"/>
        </w:rPr>
        <w:t xml:space="preserve"> by chemical diffusion</w:t>
      </w:r>
      <w:r w:rsidRPr="0060211A">
        <w:rPr>
          <w:highlight w:val="green"/>
          <w:lang w:val="en-US"/>
        </w:rPr>
        <w:t xml:space="preserve"> </w:t>
      </w:r>
      <w:r w:rsidR="00FC2A6B" w:rsidRPr="0060211A">
        <w:rPr>
          <w:highlight w:val="green"/>
        </w:rPr>
        <w:fldChar w:fldCharType="begin"/>
      </w:r>
      <w:r w:rsidR="00C879F8">
        <w:rPr>
          <w:highlight w:val="green"/>
          <w:lang w:val="en-US"/>
        </w:rPr>
        <w:instrText xml:space="preserve"> ADDIN ZOTERO_ITEM CSL_CITATION {"citationID":"YRufNuFH","properties":{"formattedCitation":"(Niimi and Oliver, 1988; Gobas, McCorquodale and Haffner, 1993)","plainCitation":"(Niimi and Oliver, 1988; Gobas, McCorquodale and Haffner, 1993)","noteIndex":0},"citationItems":[{"id":356,"uris":["http://zotero.org/users/3305729/items/UTS7EHJG"],"itemData":{"id":356,"type":"article-journal","abstract":"Des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G."}],"issued":{"date-parts":[["1988"]]},"citation-key":"niimiInfluenceMolecularWeight1988"}},{"id":787,"uris":["http://zotero.org/users/3305729/items/C8KZ96VK"],"itemData":{"id":787,"type":"article-journal","container-title":"Environmental Toxicology and Chemistry","DOI":"10.1002/etc.5620120316","issue":"3","page":"567-576","title":"Intestinal absorption and biomagnification of organochlorines","volume":"12","author":[{"family":"Gobas","given":"Frank A.P.C. P. C."},{"family":"McCorquodale","given":"Jim R."},{"family":"Haffner","given":"G.D. Douglas"}],"issued":{"date-parts":[["1993",3]]},"citation-key":"gobasIntestinalAbsorptionBiomagnification1993"}}],"schema":"https://github.com/citation-style-language/schema/raw/master/csl-citation.json"} </w:instrText>
      </w:r>
      <w:r w:rsidR="00FC2A6B" w:rsidRPr="0060211A">
        <w:rPr>
          <w:highlight w:val="green"/>
        </w:rPr>
        <w:fldChar w:fldCharType="separate"/>
      </w:r>
      <w:r w:rsidR="00C879F8" w:rsidRPr="00C879F8">
        <w:rPr>
          <w:rFonts w:ascii="Calibri" w:hAnsi="Calibri" w:cs="Calibri"/>
        </w:rPr>
        <w:t>(Niimi and Oliver, 1988; Gobas, McCorquodale and Haffner, 1993)</w:t>
      </w:r>
      <w:r w:rsidR="00FC2A6B" w:rsidRPr="0060211A">
        <w:rPr>
          <w:highlight w:val="green"/>
        </w:rPr>
        <w:fldChar w:fldCharType="end"/>
      </w:r>
      <w:r w:rsidR="003F58CD" w:rsidRPr="0060211A">
        <w:rPr>
          <w:highlight w:val="green"/>
          <w:lang w:val="en-US"/>
        </w:rPr>
        <w:t>.</w:t>
      </w:r>
      <w:r w:rsidRPr="0060211A">
        <w:rPr>
          <w:highlight w:val="green"/>
          <w:lang w:val="en-US"/>
        </w:rPr>
        <w:t xml:space="preserve"> </w:t>
      </w:r>
      <w:r w:rsidR="00D46F1A">
        <w:rPr>
          <w:highlight w:val="green"/>
          <w:lang w:val="en-US"/>
        </w:rPr>
        <w:t>In our study, t</w:t>
      </w:r>
      <w:r w:rsidRPr="0060211A">
        <w:rPr>
          <w:highlight w:val="green"/>
          <w:lang w:val="en-US"/>
        </w:rPr>
        <w:t>he most pronounced curvilinear relationship was observed under the BMF</w:t>
      </w:r>
      <w:r w:rsidRPr="0060211A">
        <w:rPr>
          <w:highlight w:val="green"/>
          <w:vertAlign w:val="subscript"/>
          <w:lang w:val="en-US"/>
        </w:rPr>
        <w:t>D</w:t>
      </w:r>
      <w:r w:rsidRPr="0060211A">
        <w:rPr>
          <w:highlight w:val="green"/>
          <w:lang w:val="en-US"/>
        </w:rPr>
        <w:t xml:space="preserve"> scenario</w:t>
      </w:r>
      <w:r w:rsidRPr="0060211A">
        <w:rPr>
          <w:highlight w:val="green"/>
          <w:lang w:val="en-US"/>
        </w:rPr>
        <w:t>.</w:t>
      </w:r>
    </w:p>
    <w:p w14:paraId="4A57B920" w14:textId="0A9AC95C" w:rsidR="00C10679" w:rsidRPr="0060211A" w:rsidRDefault="00C10679" w:rsidP="001B7A28">
      <w:pPr>
        <w:pStyle w:val="Titre3"/>
      </w:pPr>
      <w:bookmarkStart w:id="56" w:name="_Toc199498318"/>
      <w:bookmarkEnd w:id="53"/>
      <w:r w:rsidRPr="0060211A">
        <w:t>PFAS</w:t>
      </w:r>
      <w:r w:rsidR="001B7A28">
        <w:t xml:space="preserve"> family</w:t>
      </w:r>
    </w:p>
    <w:p w14:paraId="1413D233" w14:textId="24A0FF49" w:rsidR="00C10679" w:rsidRPr="00A45044" w:rsidRDefault="00C10679" w:rsidP="00C10679">
      <w:pPr>
        <w:rPr>
          <w:highlight w:val="yellow"/>
        </w:rPr>
      </w:pPr>
      <w:r w:rsidRPr="00A45044">
        <w:rPr>
          <w:highlight w:val="yellow"/>
        </w:rPr>
        <w:lastRenderedPageBreak/>
        <w:fldChar w:fldCharType="begin"/>
      </w:r>
      <w:r w:rsidRPr="00A45044">
        <w:rPr>
          <w:highlight w:val="yellow"/>
        </w:rPr>
        <w:instrText xml:space="preserve"> ADDIN ZOTERO_ITEM CSL_CITATION {"citationID":"mvJSyouU","properties":{"formattedCitation":"(Kelly {\\i{}et al.}, 2009)","plainCitation":"(Kelly et al., 2009)","noteIndex":0},"citationItems":[{"id":150,"uris":["http://zotero.org/users/3305729/items/6TLEMPQU"],"itemData":{"id":150,"type":"article-journal","container-title":"Environmental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C."}],"issued":{"date-parts":[["2009"]]},"citation-key":"kellyPerfluoroalkylContaminantsArctic2009"}}],"schema":"https://github.com/citation-style-language/schema/raw/master/csl-citation.json"} </w:instrText>
      </w:r>
      <w:r w:rsidRPr="00A45044">
        <w:rPr>
          <w:highlight w:val="yellow"/>
        </w:rPr>
        <w:fldChar w:fldCharType="separate"/>
      </w:r>
      <w:r w:rsidRPr="00A45044">
        <w:rPr>
          <w:rFonts w:ascii="Calibri" w:hAnsi="Calibri" w:cs="Calibri"/>
          <w:szCs w:val="24"/>
          <w:highlight w:val="yellow"/>
        </w:rPr>
        <w:t xml:space="preserve">(Kelly </w:t>
      </w:r>
      <w:r w:rsidRPr="00A45044">
        <w:rPr>
          <w:rFonts w:ascii="Calibri" w:hAnsi="Calibri" w:cs="Calibri"/>
          <w:i/>
          <w:iCs/>
          <w:szCs w:val="24"/>
          <w:highlight w:val="yellow"/>
        </w:rPr>
        <w:t>et al.</w:t>
      </w:r>
      <w:r w:rsidRPr="00A45044">
        <w:rPr>
          <w:rFonts w:ascii="Calibri" w:hAnsi="Calibri" w:cs="Calibri"/>
          <w:szCs w:val="24"/>
          <w:highlight w:val="yellow"/>
        </w:rPr>
        <w:t>, 2009)</w:t>
      </w:r>
      <w:r w:rsidRPr="00A45044">
        <w:rPr>
          <w:highlight w:val="yellow"/>
        </w:rPr>
        <w:fldChar w:fldCharType="end"/>
      </w:r>
    </w:p>
    <w:p w14:paraId="4F6E6C29" w14:textId="193B7CA2" w:rsidR="00FC2A6B" w:rsidRPr="00A45044" w:rsidRDefault="00FC2A6B" w:rsidP="00C10679">
      <w:pPr>
        <w:rPr>
          <w:highlight w:val="yellow"/>
        </w:rPr>
      </w:pPr>
      <w:r w:rsidRPr="00A45044">
        <w:rPr>
          <w:highlight w:val="yellow"/>
          <w:lang w:val="en-US"/>
        </w:rPr>
        <w:t xml:space="preserve">Poids moléculaire : </w:t>
      </w:r>
      <w:r w:rsidRPr="00A45044">
        <w:rPr>
          <w:highlight w:val="yellow"/>
        </w:rPr>
        <w:fldChar w:fldCharType="begin"/>
      </w:r>
      <w:r w:rsidRPr="00A45044">
        <w:rPr>
          <w:highlight w:val="yellow"/>
          <w:lang w:val="en-US"/>
        </w:rPr>
        <w:instrText xml:space="preserve"> ADDIN ZOTERO_ITEM CSL_CITATION {"citationID":"nFEDfXDQ","properties":{"formattedCitation":"(Niimi and Oliver, 1988)","plainCitation":"(Niimi and Oliver, 1988)","noteIndex":0},"citationItems":[{"id":356,"uris":["http://zotero.org/users/3305729/items/UTS7EHJG"],"itemData":{"id":356,"type":"article-journal","abstract":"Des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G."}],"issued":{"date-parts":[["1988"]]},"citation-key":"niimiInfluenceMolecularWeight1988"}}],"schema":"https://github.com/citation-style-language/schema/raw/master/csl-citation.json"} </w:instrText>
      </w:r>
      <w:r w:rsidRPr="00A45044">
        <w:rPr>
          <w:highlight w:val="yellow"/>
        </w:rPr>
        <w:fldChar w:fldCharType="separate"/>
      </w:r>
      <w:r w:rsidRPr="00A45044">
        <w:rPr>
          <w:rFonts w:ascii="Calibri" w:hAnsi="Calibri" w:cs="Calibri"/>
          <w:highlight w:val="yellow"/>
          <w:lang w:val="en-US"/>
        </w:rPr>
        <w:t>(Niimi and Oliver, 1988)</w:t>
      </w:r>
      <w:r w:rsidRPr="00A45044">
        <w:rPr>
          <w:highlight w:val="yellow"/>
        </w:rPr>
        <w:fldChar w:fldCharType="end"/>
      </w:r>
    </w:p>
    <w:p w14:paraId="1A290DF9" w14:textId="2BBD2463" w:rsidR="00D46F1A" w:rsidRDefault="00D46F1A" w:rsidP="00C10679">
      <w:r w:rsidRPr="00A45044">
        <w:rPr>
          <w:highlight w:val="yellow"/>
        </w:rPr>
        <w:t xml:space="preserve">PFOS métabolisable faible biomagnification </w:t>
      </w:r>
      <w:r w:rsidRPr="00A45044">
        <w:rPr>
          <w:highlight w:val="yellow"/>
        </w:rPr>
        <w:fldChar w:fldCharType="begin"/>
      </w:r>
      <w:r w:rsidR="000C4928" w:rsidRPr="00A45044">
        <w:rPr>
          <w:highlight w:val="yellow"/>
        </w:rPr>
        <w:instrText xml:space="preserve"> ADDIN ZOTERO_ITEM CSL_CITATION {"citationID":"R6HXMd9W","properties":{"formattedCitation":"(Walters {\\i{}et al.}, 2011)","plainCitation":"(Walters et al., 2011)","noteIndex":0},"citationItems":[{"id":731,"uris":["http://zotero.org/users/3305729/items/FLVTVUP7","http://zotero.org/users/3305729/items/V8DBW69S"],"itemData":{"id":731,"type":"article-journal","abstract":"We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A45044">
        <w:rPr>
          <w:highlight w:val="yellow"/>
        </w:rPr>
        <w:fldChar w:fldCharType="separate"/>
      </w:r>
      <w:r w:rsidR="000C4928" w:rsidRPr="00A45044">
        <w:rPr>
          <w:rFonts w:ascii="Calibri" w:hAnsi="Calibri" w:cs="Calibri"/>
          <w:szCs w:val="24"/>
          <w:highlight w:val="yellow"/>
        </w:rPr>
        <w:t xml:space="preserve">(Walters </w:t>
      </w:r>
      <w:r w:rsidR="000C4928" w:rsidRPr="00A45044">
        <w:rPr>
          <w:rFonts w:ascii="Calibri" w:hAnsi="Calibri" w:cs="Calibri"/>
          <w:i/>
          <w:iCs/>
          <w:szCs w:val="24"/>
          <w:highlight w:val="yellow"/>
        </w:rPr>
        <w:t>et al.</w:t>
      </w:r>
      <w:r w:rsidR="000C4928" w:rsidRPr="00A45044">
        <w:rPr>
          <w:rFonts w:ascii="Calibri" w:hAnsi="Calibri" w:cs="Calibri"/>
          <w:szCs w:val="24"/>
          <w:highlight w:val="yellow"/>
        </w:rPr>
        <w:t>, 2011)</w:t>
      </w:r>
      <w:r w:rsidRPr="00A45044">
        <w:rPr>
          <w:highlight w:val="yellow"/>
        </w:rPr>
        <w:fldChar w:fldCharType="end"/>
      </w:r>
    </w:p>
    <w:p w14:paraId="77541A3B" w14:textId="4CE8A52A" w:rsidR="00D46F1A" w:rsidRPr="00D46F1A" w:rsidRDefault="00D46F1A" w:rsidP="00C10679">
      <w:r w:rsidRPr="00D46F1A">
        <w:drawing>
          <wp:inline distT="0" distB="0" distL="0" distR="0" wp14:anchorId="141522EA" wp14:editId="4A6EC4C3">
            <wp:extent cx="3749040" cy="63479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3967"/>
                    <a:stretch/>
                  </pic:blipFill>
                  <pic:spPr bwMode="auto">
                    <a:xfrm>
                      <a:off x="0" y="0"/>
                      <a:ext cx="3749365" cy="634845"/>
                    </a:xfrm>
                    <a:prstGeom prst="rect">
                      <a:avLst/>
                    </a:prstGeom>
                    <a:ln>
                      <a:noFill/>
                    </a:ln>
                    <a:extLst>
                      <a:ext uri="{53640926-AAD7-44D8-BBD7-CCE9431645EC}">
                        <a14:shadowObscured xmlns:a14="http://schemas.microsoft.com/office/drawing/2010/main"/>
                      </a:ext>
                    </a:extLst>
                  </pic:spPr>
                </pic:pic>
              </a:graphicData>
            </a:graphic>
          </wp:inline>
        </w:drawing>
      </w:r>
    </w:p>
    <w:p w14:paraId="2DEE7B9B" w14:textId="77777777" w:rsidR="00E61956" w:rsidRPr="00F92A4A" w:rsidRDefault="00E61956" w:rsidP="0060211A">
      <w:pPr>
        <w:pStyle w:val="Titre"/>
      </w:pPr>
      <w:bookmarkStart w:id="57" w:name="_Toc199498324"/>
      <w:bookmarkEnd w:id="56"/>
      <w:r w:rsidRPr="00F92A4A">
        <w:t>Conclusions et perspectives</w:t>
      </w:r>
      <w:bookmarkEnd w:id="57"/>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Solea solea</w:t>
      </w:r>
      <w:r w:rsidRPr="00F92A4A">
        <w:rPr>
          <w:sz w:val="24"/>
          <w:szCs w:val="24"/>
        </w:rPr>
        <w:t>, avec des implications pour la compréhension des dynamiques trophiques des contaminants. Les résultats confirment que les PCBs, bien que persistants, ne présentent qu’une biomagnification limitée par rapport aux PFASs,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63228F">
      <w:pPr>
        <w:numPr>
          <w:ilvl w:val="0"/>
          <w:numId w:val="2"/>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63228F">
      <w:pPr>
        <w:numPr>
          <w:ilvl w:val="0"/>
          <w:numId w:val="2"/>
        </w:numPr>
        <w:rPr>
          <w:sz w:val="24"/>
          <w:szCs w:val="24"/>
        </w:rPr>
      </w:pPr>
      <w:r w:rsidRPr="00F92A4A">
        <w:rPr>
          <w:sz w:val="24"/>
          <w:szCs w:val="24"/>
        </w:rPr>
        <w:t>L’analyse des métabolites de PFASs et PCBs pour mieux comprendre leur devenir dans l’organisme.</w:t>
      </w:r>
    </w:p>
    <w:p w14:paraId="0696D989" w14:textId="77777777" w:rsidR="00E61956" w:rsidRPr="00F92A4A" w:rsidRDefault="00E61956" w:rsidP="0063228F">
      <w:pPr>
        <w:numPr>
          <w:ilvl w:val="0"/>
          <w:numId w:val="2"/>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En intégrant ces dimensions, il sera possible d’améliorer les modèles de prédiction de la bioaccumulation et de mieux évaluer les risques écotoxicologiques associés aux contaminants émergents dans les écosystèmes estuariens.</w:t>
      </w:r>
    </w:p>
    <w:p w14:paraId="569B920A" w14:textId="38D13E21" w:rsidR="00E61956" w:rsidRDefault="0063228F"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60211A">
      <w:pPr>
        <w:pStyle w:val="Titre"/>
      </w:pPr>
      <w:bookmarkStart w:id="58" w:name="_Toc199498325"/>
      <w:r>
        <w:t>References</w:t>
      </w:r>
      <w:bookmarkEnd w:id="58"/>
    </w:p>
    <w:p w14:paraId="0C1B9469" w14:textId="77777777" w:rsidR="000E5564" w:rsidRDefault="00ED2F3F" w:rsidP="000E5564">
      <w:pPr>
        <w:pStyle w:val="Bibliographie"/>
      </w:pPr>
      <w:r>
        <w:fldChar w:fldCharType="begin"/>
      </w:r>
      <w:r w:rsidR="00307945">
        <w:rPr>
          <w:lang w:val="en-US"/>
        </w:rPr>
        <w:instrText xml:space="preserve"> ADDIN ZOTERO_BIBL {"uncited":[],"omitted":[],"custom":[]} CSL_BIBLIOGRAPHY </w:instrText>
      </w:r>
      <w:r>
        <w:fldChar w:fldCharType="separate"/>
      </w:r>
      <w:r w:rsidR="000E5564" w:rsidRPr="000E5564">
        <w:rPr>
          <w:lang w:val="en-US"/>
        </w:rPr>
        <w:t xml:space="preserve">Amara, R. </w:t>
      </w:r>
      <w:r w:rsidR="000E5564" w:rsidRPr="000E5564">
        <w:rPr>
          <w:i/>
          <w:iCs/>
          <w:lang w:val="en-US"/>
        </w:rPr>
        <w:t>et al.</w:t>
      </w:r>
      <w:r w:rsidR="000E5564" w:rsidRPr="000E5564">
        <w:rPr>
          <w:lang w:val="en-US"/>
        </w:rPr>
        <w:t xml:space="preserve"> (2007) ‘Growth and condition indices in juvenile sole Solea solea measured to assess the quality of essential fish habitat’, </w:t>
      </w:r>
      <w:r w:rsidR="000E5564" w:rsidRPr="000E5564">
        <w:rPr>
          <w:i/>
          <w:iCs/>
          <w:lang w:val="en-US"/>
        </w:rPr>
        <w:t>Marine Ecology Progress Series</w:t>
      </w:r>
      <w:r w:rsidR="000E5564" w:rsidRPr="000E5564">
        <w:rPr>
          <w:lang w:val="en-US"/>
        </w:rPr>
        <w:t xml:space="preserve">, 351, pp. 201–208. </w:t>
      </w:r>
      <w:r w:rsidR="000E5564">
        <w:t>Available at: https://doi.org/10.3354/meps07154.</w:t>
      </w:r>
    </w:p>
    <w:p w14:paraId="19194801" w14:textId="77777777" w:rsidR="000E5564" w:rsidRDefault="000E5564" w:rsidP="000E5564">
      <w:pPr>
        <w:pStyle w:val="Bibliographie"/>
      </w:pPr>
      <w:r>
        <w:t xml:space="preserve">Antunes, P. </w:t>
      </w:r>
      <w:r>
        <w:rPr>
          <w:i/>
          <w:iCs/>
        </w:rPr>
        <w:t>et al.</w:t>
      </w:r>
      <w:r>
        <w:t xml:space="preserve"> </w:t>
      </w:r>
      <w:r w:rsidRPr="000E5564">
        <w:rPr>
          <w:lang w:val="en-US"/>
        </w:rPr>
        <w:t xml:space="preserve">(2008) ‘Organ-specific accumulation and elimination patterns of PCBs in adult seabass (Dicentrarchus labrax)’, </w:t>
      </w:r>
      <w:r w:rsidRPr="000E5564">
        <w:rPr>
          <w:i/>
          <w:iCs/>
          <w:lang w:val="en-US"/>
        </w:rPr>
        <w:t>Science of the Total Environment</w:t>
      </w:r>
      <w:r w:rsidRPr="000E5564">
        <w:rPr>
          <w:lang w:val="en-US"/>
        </w:rPr>
        <w:t xml:space="preserve">, 407(1), pp. 204–210. </w:t>
      </w:r>
      <w:r>
        <w:t>Available at: https://doi.org/10.1016/j.scitotenv.2008.09.005.</w:t>
      </w:r>
    </w:p>
    <w:p w14:paraId="79EC0941" w14:textId="77777777" w:rsidR="000E5564" w:rsidRPr="000E5564" w:rsidRDefault="000E5564" w:rsidP="000E5564">
      <w:pPr>
        <w:pStyle w:val="Bibliographie"/>
        <w:rPr>
          <w:lang w:val="en-US"/>
        </w:rPr>
      </w:pPr>
      <w:r>
        <w:t xml:space="preserve">Arnot, J.A. </w:t>
      </w:r>
      <w:r>
        <w:rPr>
          <w:i/>
          <w:iCs/>
        </w:rPr>
        <w:t>et al.</w:t>
      </w:r>
      <w:r>
        <w:t xml:space="preserve"> </w:t>
      </w:r>
      <w:r w:rsidRPr="000E5564">
        <w:rPr>
          <w:lang w:val="en-US"/>
        </w:rPr>
        <w:t xml:space="preserve">(2023) ‘A weight of evidence approach for bioaccumulation assessment’, </w:t>
      </w:r>
      <w:r w:rsidRPr="000E5564">
        <w:rPr>
          <w:i/>
          <w:iCs/>
          <w:lang w:val="en-US"/>
        </w:rPr>
        <w:t>Integrated Environmental Assessment and Management</w:t>
      </w:r>
      <w:r w:rsidRPr="000E5564">
        <w:rPr>
          <w:lang w:val="en-US"/>
        </w:rPr>
        <w:t>, 19(5), pp. 1235–1253. Available at: https://doi.org/10.1002/ieam.4583.</w:t>
      </w:r>
    </w:p>
    <w:p w14:paraId="6F2BF9F9" w14:textId="77777777" w:rsidR="000E5564" w:rsidRPr="000E5564" w:rsidRDefault="000E5564" w:rsidP="000E5564">
      <w:pPr>
        <w:pStyle w:val="Bibliographie"/>
        <w:rPr>
          <w:lang w:val="en-US"/>
        </w:rPr>
      </w:pPr>
      <w:r w:rsidRPr="000E5564">
        <w:rPr>
          <w:lang w:val="en-US"/>
        </w:rPr>
        <w:lastRenderedPageBreak/>
        <w:t xml:space="preserve">Arnot, J.A. and Gobas, F.A. (2006) ‘A review of bioconcentration factor (BCF) and bioaccumulation factor (BAF) assessments for organic chemicals in aquatic organisms’, </w:t>
      </w:r>
      <w:r w:rsidRPr="000E5564">
        <w:rPr>
          <w:i/>
          <w:iCs/>
          <w:lang w:val="en-US"/>
        </w:rPr>
        <w:t>Environmental Reviews</w:t>
      </w:r>
      <w:r w:rsidRPr="000E5564">
        <w:rPr>
          <w:lang w:val="en-US"/>
        </w:rPr>
        <w:t>, 14(4), pp. 257–297. Available at: https://doi.org/10.1139/a06-005.</w:t>
      </w:r>
    </w:p>
    <w:p w14:paraId="0521ACF0" w14:textId="77777777" w:rsidR="000E5564" w:rsidRDefault="000E5564" w:rsidP="000E5564">
      <w:pPr>
        <w:pStyle w:val="Bibliographie"/>
      </w:pPr>
      <w:r w:rsidRPr="000E5564">
        <w:rPr>
          <w:lang w:val="en-US"/>
        </w:rPr>
        <w:t xml:space="preserve">Beck, M.W. </w:t>
      </w:r>
      <w:r w:rsidRPr="000E5564">
        <w:rPr>
          <w:i/>
          <w:iCs/>
          <w:lang w:val="en-US"/>
        </w:rPr>
        <w:t>et al.</w:t>
      </w:r>
      <w:r w:rsidRPr="000E5564">
        <w:rPr>
          <w:lang w:val="en-US"/>
        </w:rPr>
        <w:t xml:space="preserve"> (2001) ‘The identification, conservation, and management of estuarine and marine nurseries for fish and invertebrates’, </w:t>
      </w:r>
      <w:r w:rsidRPr="000E5564">
        <w:rPr>
          <w:i/>
          <w:iCs/>
          <w:lang w:val="en-US"/>
        </w:rPr>
        <w:t>BioScience</w:t>
      </w:r>
      <w:r w:rsidRPr="000E5564">
        <w:rPr>
          <w:lang w:val="en-US"/>
        </w:rPr>
        <w:t xml:space="preserve">, 51, pp. 633–641. </w:t>
      </w:r>
      <w:r>
        <w:t>Available at: https://doi.org/10.1641/0006-3568(2001)051[0633:TICAMO]2.0.CO;2.</w:t>
      </w:r>
    </w:p>
    <w:p w14:paraId="77F420D1" w14:textId="77777777" w:rsidR="000E5564" w:rsidRPr="000E5564" w:rsidRDefault="000E5564" w:rsidP="000E5564">
      <w:pPr>
        <w:pStyle w:val="Bibliographie"/>
        <w:rPr>
          <w:lang w:val="en-US"/>
        </w:rPr>
      </w:pPr>
      <w:r>
        <w:t xml:space="preserve">Borgå, K. </w:t>
      </w:r>
      <w:r>
        <w:rPr>
          <w:i/>
          <w:iCs/>
        </w:rPr>
        <w:t>et al.</w:t>
      </w:r>
      <w:r>
        <w:t xml:space="preserve"> </w:t>
      </w:r>
      <w:r w:rsidRPr="000E5564">
        <w:rPr>
          <w:lang w:val="en-US"/>
        </w:rPr>
        <w:t xml:space="preserve">(2004) ‘Biological and chemical factors of importance in the bioaccumulation and trophic transfer of persistent organochlorine contaminants in arctic marine food webs’, </w:t>
      </w:r>
      <w:r w:rsidRPr="000E5564">
        <w:rPr>
          <w:i/>
          <w:iCs/>
          <w:lang w:val="en-US"/>
        </w:rPr>
        <w:t>Environmental Toxicology and Chemistry</w:t>
      </w:r>
      <w:r w:rsidRPr="000E5564">
        <w:rPr>
          <w:lang w:val="en-US"/>
        </w:rPr>
        <w:t>, 23(10), pp. 2367–2385.</w:t>
      </w:r>
    </w:p>
    <w:p w14:paraId="6B9BE384" w14:textId="77777777" w:rsidR="000E5564" w:rsidRPr="000E5564" w:rsidRDefault="000E5564" w:rsidP="000E5564">
      <w:pPr>
        <w:pStyle w:val="Bibliographie"/>
        <w:rPr>
          <w:lang w:val="en-US"/>
        </w:rPr>
      </w:pPr>
      <w:r w:rsidRPr="000E5564">
        <w:rPr>
          <w:lang w:val="en-US"/>
        </w:rPr>
        <w:t xml:space="preserve">Borgå, K. </w:t>
      </w:r>
      <w:r w:rsidRPr="000E5564">
        <w:rPr>
          <w:i/>
          <w:iCs/>
          <w:lang w:val="en-US"/>
        </w:rPr>
        <w:t>et al.</w:t>
      </w:r>
      <w:r w:rsidRPr="000E5564">
        <w:rPr>
          <w:lang w:val="en-US"/>
        </w:rPr>
        <w:t xml:space="preserve"> (2005) ‘Bioaccumulation Factors for PCBs Revisited’, </w:t>
      </w:r>
      <w:r w:rsidRPr="000E5564">
        <w:rPr>
          <w:i/>
          <w:iCs/>
          <w:lang w:val="en-US"/>
        </w:rPr>
        <w:t>Environmental Science &amp; Technology</w:t>
      </w:r>
      <w:r w:rsidRPr="000E5564">
        <w:rPr>
          <w:lang w:val="en-US"/>
        </w:rPr>
        <w:t>, 39(12), pp. 4523–4532. Available at: https://doi.org/10.1021/es050376i.</w:t>
      </w:r>
    </w:p>
    <w:p w14:paraId="567426E1" w14:textId="77777777" w:rsidR="000E5564" w:rsidRDefault="000E5564" w:rsidP="000E5564">
      <w:pPr>
        <w:pStyle w:val="Bibliographie"/>
      </w:pPr>
      <w:r w:rsidRPr="000E5564">
        <w:rPr>
          <w:lang w:val="en-US"/>
        </w:rPr>
        <w:t xml:space="preserve">Borgå, K. </w:t>
      </w:r>
      <w:r w:rsidRPr="000E5564">
        <w:rPr>
          <w:i/>
          <w:iCs/>
          <w:lang w:val="en-US"/>
        </w:rPr>
        <w:t>et al.</w:t>
      </w:r>
      <w:r w:rsidRPr="000E5564">
        <w:rPr>
          <w:lang w:val="en-US"/>
        </w:rPr>
        <w:t xml:space="preserve"> (2012) ‘Trophic magnification factors: Considerations of ecology, ecosystems, and study design’, </w:t>
      </w:r>
      <w:r w:rsidRPr="000E5564">
        <w:rPr>
          <w:i/>
          <w:iCs/>
          <w:lang w:val="en-US"/>
        </w:rPr>
        <w:t>Integrated Environmental Assessment and Management</w:t>
      </w:r>
      <w:r w:rsidRPr="000E5564">
        <w:rPr>
          <w:lang w:val="en-US"/>
        </w:rPr>
        <w:t xml:space="preserve">, 8(1), pp. 64–84. </w:t>
      </w:r>
      <w:r>
        <w:t>Available at: https://doi.org/10.1002/ieam.244.</w:t>
      </w:r>
    </w:p>
    <w:p w14:paraId="41045D2E" w14:textId="77777777" w:rsidR="000E5564" w:rsidRDefault="000E5564" w:rsidP="000E5564">
      <w:pPr>
        <w:pStyle w:val="Bibliographie"/>
      </w:pPr>
      <w:r>
        <w:t xml:space="preserve">Burreau, S. </w:t>
      </w:r>
      <w:r>
        <w:rPr>
          <w:i/>
          <w:iCs/>
        </w:rPr>
        <w:t>et al.</w:t>
      </w:r>
      <w:r>
        <w:t xml:space="preserve"> </w:t>
      </w:r>
      <w:r w:rsidRPr="000E5564">
        <w:rPr>
          <w:lang w:val="en-US"/>
        </w:rPr>
        <w:t xml:space="preserve">(1997) ‘Dietary uptake in pike ( Esox lucius ) of some polychlorinated biphenyls, polychlorinated naphthalenes and polybrominated diphenyl ethers administered in natural diet’, </w:t>
      </w:r>
      <w:r w:rsidRPr="000E5564">
        <w:rPr>
          <w:i/>
          <w:iCs/>
          <w:lang w:val="en-US"/>
        </w:rPr>
        <w:t>Environmental Toxicology and Chemistry</w:t>
      </w:r>
      <w:r w:rsidRPr="000E5564">
        <w:rPr>
          <w:lang w:val="en-US"/>
        </w:rPr>
        <w:t xml:space="preserve">, 16(12), pp. 2508–2513. </w:t>
      </w:r>
      <w:r>
        <w:t>Available at: https://doi.org/10.1002/etc.5620161211.</w:t>
      </w:r>
    </w:p>
    <w:p w14:paraId="5F778693" w14:textId="77777777" w:rsidR="000E5564" w:rsidRDefault="000E5564" w:rsidP="000E5564">
      <w:pPr>
        <w:pStyle w:val="Bibliographie"/>
      </w:pPr>
      <w:r>
        <w:t xml:space="preserve">Cara, B. </w:t>
      </w:r>
      <w:r>
        <w:rPr>
          <w:i/>
          <w:iCs/>
        </w:rPr>
        <w:t>et al.</w:t>
      </w:r>
      <w:r>
        <w:t xml:space="preserve"> </w:t>
      </w:r>
      <w:r w:rsidRPr="000E5564">
        <w:rPr>
          <w:lang w:val="en-US"/>
        </w:rPr>
        <w:t xml:space="preserve">(2022) ‘Bioaccumulation and trophic transfer of perfluorinated alkyl substances (PFAS) in marine biota from the Belgian North Sea: Distribution and human health risk implications’, </w:t>
      </w:r>
      <w:r w:rsidRPr="000E5564">
        <w:rPr>
          <w:i/>
          <w:iCs/>
          <w:lang w:val="en-US"/>
        </w:rPr>
        <w:t>Environmental Pollution</w:t>
      </w:r>
      <w:r w:rsidRPr="000E5564">
        <w:rPr>
          <w:lang w:val="en-US"/>
        </w:rPr>
        <w:t xml:space="preserve">, 311, p. 119907. </w:t>
      </w:r>
      <w:r>
        <w:t>Available at: https://doi.org/10.1016/j.envpol.2022.119907.</w:t>
      </w:r>
    </w:p>
    <w:p w14:paraId="07729F94" w14:textId="77777777" w:rsidR="000E5564" w:rsidRDefault="000E5564" w:rsidP="000E5564">
      <w:pPr>
        <w:pStyle w:val="Bibliographie"/>
      </w:pPr>
      <w:r>
        <w:t xml:space="preserve">Conder, J.M. </w:t>
      </w:r>
      <w:r>
        <w:rPr>
          <w:i/>
          <w:iCs/>
        </w:rPr>
        <w:t>et al.</w:t>
      </w:r>
      <w:r>
        <w:t xml:space="preserve"> </w:t>
      </w:r>
      <w:r w:rsidRPr="000E5564">
        <w:rPr>
          <w:lang w:val="en-US"/>
        </w:rPr>
        <w:t xml:space="preserve">(2008) ‘Are PFCAs Bioaccumulative? A Critical Review and Comparison with Regulatory Criteria and Persistent Lipophilic Compounds’, </w:t>
      </w:r>
      <w:r w:rsidRPr="000E5564">
        <w:rPr>
          <w:i/>
          <w:iCs/>
          <w:lang w:val="en-US"/>
        </w:rPr>
        <w:t>Environmental Science &amp; Technology</w:t>
      </w:r>
      <w:r w:rsidRPr="000E5564">
        <w:rPr>
          <w:lang w:val="en-US"/>
        </w:rPr>
        <w:t xml:space="preserve">, 42(4), pp. 995–1003. </w:t>
      </w:r>
      <w:r>
        <w:t>Available at: https://doi.org/10.1021/es070895g.</w:t>
      </w:r>
    </w:p>
    <w:p w14:paraId="5360B300" w14:textId="77777777" w:rsidR="000E5564" w:rsidRPr="000E5564" w:rsidRDefault="000E5564" w:rsidP="000E5564">
      <w:pPr>
        <w:pStyle w:val="Bibliographie"/>
        <w:rPr>
          <w:lang w:val="en-US"/>
        </w:rPr>
      </w:pPr>
      <w:r>
        <w:t xml:space="preserve">Conder, J.M. </w:t>
      </w:r>
      <w:r>
        <w:rPr>
          <w:i/>
          <w:iCs/>
        </w:rPr>
        <w:t>et al.</w:t>
      </w:r>
      <w:r>
        <w:t xml:space="preserve"> </w:t>
      </w:r>
      <w:r w:rsidRPr="000E5564">
        <w:rPr>
          <w:lang w:val="en-US"/>
        </w:rPr>
        <w:t xml:space="preserve">(2012) ‘Use of trophic magnification factors and related measures to characterize bioaccumulation potential of chemicals’, </w:t>
      </w:r>
      <w:r w:rsidRPr="000E5564">
        <w:rPr>
          <w:i/>
          <w:iCs/>
          <w:lang w:val="en-US"/>
        </w:rPr>
        <w:t>Integrated Environmental Assessment and Management</w:t>
      </w:r>
      <w:r w:rsidRPr="000E5564">
        <w:rPr>
          <w:lang w:val="en-US"/>
        </w:rPr>
        <w:t>, 8(1), pp. 85–97. Available at: https://doi.org/10.1002/ieam.216.</w:t>
      </w:r>
    </w:p>
    <w:p w14:paraId="3FBFF6B8" w14:textId="77777777" w:rsidR="000E5564" w:rsidRDefault="000E5564" w:rsidP="000E5564">
      <w:pPr>
        <w:pStyle w:val="Bibliographie"/>
      </w:pPr>
      <w:r w:rsidRPr="000E5564">
        <w:rPr>
          <w:lang w:val="en-US"/>
        </w:rPr>
        <w:t xml:space="preserve">Connolly, J.P. (1991) ‘Application of a food chain model to polychlorinated biphenyl contamination of the lobster and winter flounder food chains in New Bedford Harbor’, </w:t>
      </w:r>
      <w:r w:rsidRPr="000E5564">
        <w:rPr>
          <w:i/>
          <w:iCs/>
          <w:lang w:val="en-US"/>
        </w:rPr>
        <w:t>Environmental Science &amp; Technology</w:t>
      </w:r>
      <w:r w:rsidRPr="000E5564">
        <w:rPr>
          <w:lang w:val="en-US"/>
        </w:rPr>
        <w:t xml:space="preserve">, 25(4), pp. 760–770. </w:t>
      </w:r>
      <w:r>
        <w:t>Available at: https://doi.org/10.1021/es00016a022.</w:t>
      </w:r>
    </w:p>
    <w:p w14:paraId="4268C404" w14:textId="77777777" w:rsidR="000E5564" w:rsidRDefault="000E5564" w:rsidP="000E5564">
      <w:pPr>
        <w:pStyle w:val="Bibliographie"/>
      </w:pPr>
      <w:r>
        <w:t xml:space="preserve">Covaci, A. </w:t>
      </w:r>
      <w:r>
        <w:rPr>
          <w:i/>
          <w:iCs/>
        </w:rPr>
        <w:t>et al.</w:t>
      </w:r>
      <w:r>
        <w:t xml:space="preserve"> </w:t>
      </w:r>
      <w:r w:rsidRPr="000E5564">
        <w:rPr>
          <w:lang w:val="en-US"/>
        </w:rPr>
        <w:t xml:space="preserve">(2011) ‘Novel brominated flame retardants: a review of their analysis, environmental fate and behaviour’, </w:t>
      </w:r>
      <w:r w:rsidRPr="000E5564">
        <w:rPr>
          <w:i/>
          <w:iCs/>
          <w:lang w:val="en-US"/>
        </w:rPr>
        <w:t>Environment International</w:t>
      </w:r>
      <w:r w:rsidRPr="000E5564">
        <w:rPr>
          <w:lang w:val="en-US"/>
        </w:rPr>
        <w:t xml:space="preserve">, 37(2), pp. 532–556. </w:t>
      </w:r>
      <w:r>
        <w:t>Available at: https://doi.org/10.1016/j.envint.2010.11.007.</w:t>
      </w:r>
    </w:p>
    <w:p w14:paraId="483498C2" w14:textId="77777777" w:rsidR="000E5564" w:rsidRDefault="000E5564" w:rsidP="000E5564">
      <w:pPr>
        <w:pStyle w:val="Bibliographie"/>
      </w:pPr>
      <w:r>
        <w:t xml:space="preserve">Dargnat, C. and Fisson, C. (2010) </w:t>
      </w:r>
      <w:r>
        <w:rPr>
          <w:i/>
          <w:iCs/>
        </w:rPr>
        <w:t>Les PolyChrloroBiphényles (PCB) dans le bassin de la Seine et son estuaire.</w:t>
      </w:r>
    </w:p>
    <w:p w14:paraId="24D51302" w14:textId="77777777" w:rsidR="000E5564" w:rsidRPr="000E5564" w:rsidRDefault="000E5564" w:rsidP="000E5564">
      <w:pPr>
        <w:pStyle w:val="Bibliographie"/>
        <w:rPr>
          <w:lang w:val="en-US"/>
        </w:rPr>
      </w:pPr>
      <w:r w:rsidRPr="000E5564">
        <w:rPr>
          <w:lang w:val="en-US"/>
        </w:rPr>
        <w:t>Daughton, C.G. (2005) ‘“Emerging” Chemicals as Pollutants in the Environment: a 21st Century Perspective’.</w:t>
      </w:r>
    </w:p>
    <w:p w14:paraId="1D4706F9" w14:textId="77777777" w:rsidR="000E5564" w:rsidRDefault="000E5564" w:rsidP="000E5564">
      <w:pPr>
        <w:pStyle w:val="Bibliographie"/>
      </w:pPr>
      <w:r w:rsidRPr="000E5564">
        <w:rPr>
          <w:lang w:val="en-US"/>
        </w:rPr>
        <w:t xml:space="preserve">Deribe, E. </w:t>
      </w:r>
      <w:r w:rsidRPr="000E5564">
        <w:rPr>
          <w:i/>
          <w:iCs/>
          <w:lang w:val="en-US"/>
        </w:rPr>
        <w:t>et al.</w:t>
      </w:r>
      <w:r w:rsidRPr="000E5564">
        <w:rPr>
          <w:lang w:val="en-US"/>
        </w:rPr>
        <w:t xml:space="preserve"> (2011) ‘Bioaccumulation of persistent organic pollutants (POPs) in fish species from Lake Koka, Ethiopia: The influence of lipid content and trophic position’, </w:t>
      </w:r>
      <w:r w:rsidRPr="000E5564">
        <w:rPr>
          <w:i/>
          <w:iCs/>
          <w:lang w:val="en-US"/>
        </w:rPr>
        <w:t>Science of The Total Environment</w:t>
      </w:r>
      <w:r w:rsidRPr="000E5564">
        <w:rPr>
          <w:lang w:val="en-US"/>
        </w:rPr>
        <w:t xml:space="preserve">, 410–411, pp. 136–145. </w:t>
      </w:r>
      <w:r>
        <w:t>Available at: https://doi.org/10.1016/j.scitotenv.2011.09.008.</w:t>
      </w:r>
    </w:p>
    <w:p w14:paraId="48E350BA" w14:textId="77777777" w:rsidR="000E5564" w:rsidRDefault="000E5564" w:rsidP="000E5564">
      <w:pPr>
        <w:pStyle w:val="Bibliographie"/>
      </w:pPr>
      <w:r>
        <w:lastRenderedPageBreak/>
        <w:t xml:space="preserve">Durou, C. </w:t>
      </w:r>
      <w:r>
        <w:rPr>
          <w:i/>
          <w:iCs/>
        </w:rPr>
        <w:t>et al.</w:t>
      </w:r>
      <w:r>
        <w:t xml:space="preserve"> </w:t>
      </w:r>
      <w:r w:rsidRPr="000E5564">
        <w:rPr>
          <w:lang w:val="en-US"/>
        </w:rPr>
        <w:t xml:space="preserve">(2007) ‘Biomonitoring in a clean and a multi-contaminated estuary based on biomarkers and chemical analyses in the endobenthic worm </w:t>
      </w:r>
      <w:r w:rsidRPr="000E5564">
        <w:rPr>
          <w:i/>
          <w:iCs/>
          <w:lang w:val="en-US"/>
        </w:rPr>
        <w:t>Nereis diversicolor</w:t>
      </w:r>
      <w:r w:rsidRPr="000E5564">
        <w:rPr>
          <w:lang w:val="en-US"/>
        </w:rPr>
        <w:t xml:space="preserve">’, </w:t>
      </w:r>
      <w:r w:rsidRPr="000E5564">
        <w:rPr>
          <w:i/>
          <w:iCs/>
          <w:lang w:val="en-US"/>
        </w:rPr>
        <w:t>Environmental Pollution</w:t>
      </w:r>
      <w:r w:rsidRPr="000E5564">
        <w:rPr>
          <w:lang w:val="en-US"/>
        </w:rPr>
        <w:t xml:space="preserve">, 148(2), pp. 445–458. </w:t>
      </w:r>
      <w:r>
        <w:t>Available at: https://doi.org/10.1016/j.envpol.2006.12.022.</w:t>
      </w:r>
    </w:p>
    <w:p w14:paraId="539CDA58" w14:textId="77777777" w:rsidR="000E5564" w:rsidRPr="000E5564" w:rsidRDefault="000E5564" w:rsidP="000E5564">
      <w:pPr>
        <w:pStyle w:val="Bibliographie"/>
        <w:rPr>
          <w:lang w:val="en-US"/>
        </w:rPr>
      </w:pPr>
      <w:r>
        <w:t xml:space="preserve">Fisk, A.T. </w:t>
      </w:r>
      <w:r>
        <w:rPr>
          <w:i/>
          <w:iCs/>
        </w:rPr>
        <w:t>et al.</w:t>
      </w:r>
      <w:r>
        <w:t xml:space="preserve"> </w:t>
      </w:r>
      <w:r w:rsidRPr="000E5564">
        <w:rPr>
          <w:lang w:val="en-US"/>
        </w:rPr>
        <w:t xml:space="preserve">(1998) ‘Dietary accumulation and depuration of hydrophobic organochlorines: Bioaccumulation parameters and their relationship with the octanol/water partition coefficient’, </w:t>
      </w:r>
      <w:r w:rsidRPr="000E5564">
        <w:rPr>
          <w:i/>
          <w:iCs/>
          <w:lang w:val="en-US"/>
        </w:rPr>
        <w:t>Environmental Toxicology and Chemistry</w:t>
      </w:r>
      <w:r w:rsidRPr="000E5564">
        <w:rPr>
          <w:lang w:val="en-US"/>
        </w:rPr>
        <w:t>, 17(5), pp. 951–961. Available at: https://doi.org/10.1897/1551-5028(1998)017&lt;0951:DAADOH&gt;2.3.CO;2.</w:t>
      </w:r>
    </w:p>
    <w:p w14:paraId="43713597" w14:textId="77777777" w:rsidR="000E5564" w:rsidRPr="000E5564" w:rsidRDefault="000E5564" w:rsidP="000E5564">
      <w:pPr>
        <w:pStyle w:val="Bibliographie"/>
        <w:rPr>
          <w:lang w:val="en-US"/>
        </w:rPr>
      </w:pPr>
      <w:r w:rsidRPr="000E5564">
        <w:rPr>
          <w:lang w:val="en-US"/>
        </w:rPr>
        <w:t xml:space="preserve">Fisk, A.T., Hobson, K.A. and Norstrom, R.J. (2001) ‘Influence of chemical and biological factors on trophic transfer of persistent organic pollutants in the Northwater Polynya marine food web’, </w:t>
      </w:r>
      <w:r w:rsidRPr="000E5564">
        <w:rPr>
          <w:i/>
          <w:iCs/>
          <w:lang w:val="en-US"/>
        </w:rPr>
        <w:t>Environmental Science and Technology</w:t>
      </w:r>
      <w:r w:rsidRPr="000E5564">
        <w:rPr>
          <w:lang w:val="en-US"/>
        </w:rPr>
        <w:t>, 35(4), pp. 732–738. Available at: https://doi.org/10.1021/es001459w.</w:t>
      </w:r>
    </w:p>
    <w:p w14:paraId="6921B09A" w14:textId="77777777" w:rsidR="000E5564" w:rsidRDefault="000E5564" w:rsidP="000E5564">
      <w:pPr>
        <w:pStyle w:val="Bibliographie"/>
      </w:pPr>
      <w:r w:rsidRPr="000E5564">
        <w:rPr>
          <w:lang w:val="en-US"/>
        </w:rPr>
        <w:t xml:space="preserve">Fremlin, K.M., Elliott, J.E. and Gobas, F.A.P.C. (2025) ‘Guidance for measuring and evaluating biomagnification factors and trophic magnification factors of difficult substances: application to decabromodiphenylethane’, </w:t>
      </w:r>
      <w:r w:rsidRPr="000E5564">
        <w:rPr>
          <w:i/>
          <w:iCs/>
          <w:lang w:val="en-US"/>
        </w:rPr>
        <w:t>Integrated Environmental Assessment and Management</w:t>
      </w:r>
      <w:r w:rsidRPr="000E5564">
        <w:rPr>
          <w:lang w:val="en-US"/>
        </w:rPr>
        <w:t xml:space="preserve">, 21(2), pp. 263–278. </w:t>
      </w:r>
      <w:r>
        <w:t>Available at: https://doi.org/10.1093/inteam/vjae025.</w:t>
      </w:r>
    </w:p>
    <w:p w14:paraId="4C81007A" w14:textId="77777777" w:rsidR="000E5564" w:rsidRPr="000E5564" w:rsidRDefault="000E5564" w:rsidP="000E5564">
      <w:pPr>
        <w:pStyle w:val="Bibliographie"/>
        <w:rPr>
          <w:lang w:val="en-US"/>
        </w:rPr>
      </w:pPr>
      <w:r>
        <w:t xml:space="preserve">Gilliers, C. </w:t>
      </w:r>
      <w:r>
        <w:rPr>
          <w:i/>
          <w:iCs/>
        </w:rPr>
        <w:t>et al.</w:t>
      </w:r>
      <w:r>
        <w:t xml:space="preserve"> </w:t>
      </w:r>
      <w:r w:rsidRPr="000E5564">
        <w:rPr>
          <w:lang w:val="en-US"/>
        </w:rPr>
        <w:t xml:space="preserve">(2006) ‘Are growth and density quantitative indicators of essential fish habitat quality? An application to the common sole Solea solea nursery grounds’, </w:t>
      </w:r>
      <w:r w:rsidRPr="000E5564">
        <w:rPr>
          <w:i/>
          <w:iCs/>
          <w:lang w:val="en-US"/>
        </w:rPr>
        <w:t>Estuarine, Coastal and Shelf Science</w:t>
      </w:r>
      <w:r w:rsidRPr="000E5564">
        <w:rPr>
          <w:lang w:val="en-US"/>
        </w:rPr>
        <w:t>, 69(1–2), pp. 96–106. Available at: https://doi.org/10.1016/j.ecss.2006.02.006.</w:t>
      </w:r>
    </w:p>
    <w:p w14:paraId="0BFC1DD1" w14:textId="77777777" w:rsidR="000E5564" w:rsidRPr="000E5564" w:rsidRDefault="000E5564" w:rsidP="000E5564">
      <w:pPr>
        <w:pStyle w:val="Bibliographie"/>
        <w:rPr>
          <w:lang w:val="en-US"/>
        </w:rPr>
      </w:pPr>
      <w:r w:rsidRPr="000E5564">
        <w:rPr>
          <w:lang w:val="en-US"/>
        </w:rPr>
        <w:t xml:space="preserve">Gobas, F. a P.C. </w:t>
      </w:r>
      <w:r w:rsidRPr="000E5564">
        <w:rPr>
          <w:i/>
          <w:iCs/>
          <w:lang w:val="en-US"/>
        </w:rPr>
        <w:t>et al.</w:t>
      </w:r>
      <w:r w:rsidRPr="000E5564">
        <w:rPr>
          <w:lang w:val="en-US"/>
        </w:rPr>
        <w:t xml:space="preserve"> (1999) ‘Mechanism of biomagnification in fish under laboratory and field conditions’, </w:t>
      </w:r>
      <w:r w:rsidRPr="000E5564">
        <w:rPr>
          <w:i/>
          <w:iCs/>
          <w:lang w:val="en-US"/>
        </w:rPr>
        <w:t>Environmental Science and Technology</w:t>
      </w:r>
      <w:r w:rsidRPr="000E5564">
        <w:rPr>
          <w:lang w:val="en-US"/>
        </w:rPr>
        <w:t>, 33(1), pp. 133–141. Available at: https://doi.org/10.1021/es980681m.</w:t>
      </w:r>
    </w:p>
    <w:p w14:paraId="62109811" w14:textId="77777777" w:rsidR="000E5564" w:rsidRPr="000E5564" w:rsidRDefault="000E5564" w:rsidP="000E5564">
      <w:pPr>
        <w:pStyle w:val="Bibliographie"/>
        <w:rPr>
          <w:lang w:val="en-US"/>
        </w:rPr>
      </w:pPr>
      <w:r w:rsidRPr="000E5564">
        <w:rPr>
          <w:lang w:val="en-US"/>
        </w:rPr>
        <w:t xml:space="preserve">Gobas, F.A. </w:t>
      </w:r>
      <w:r w:rsidRPr="000E5564">
        <w:rPr>
          <w:i/>
          <w:iCs/>
          <w:lang w:val="en-US"/>
        </w:rPr>
        <w:t>et al.</w:t>
      </w:r>
      <w:r w:rsidRPr="000E5564">
        <w:rPr>
          <w:lang w:val="en-US"/>
        </w:rPr>
        <w:t xml:space="preserve"> (2009) ‘Revisiting Bioaccumulation Criteria for POPs and PBT Assessments’, </w:t>
      </w:r>
      <w:r w:rsidRPr="000E5564">
        <w:rPr>
          <w:i/>
          <w:iCs/>
          <w:lang w:val="en-US"/>
        </w:rPr>
        <w:t>Integrated Environmental Assessment and Management</w:t>
      </w:r>
      <w:r w:rsidRPr="000E5564">
        <w:rPr>
          <w:lang w:val="en-US"/>
        </w:rPr>
        <w:t>, 5(4), pp. 624–637. Available at: https://doi.org/10.1897/IEAM_2008-089.1.</w:t>
      </w:r>
    </w:p>
    <w:p w14:paraId="31A6A668" w14:textId="77777777" w:rsidR="000E5564" w:rsidRPr="000E5564" w:rsidRDefault="000E5564" w:rsidP="000E5564">
      <w:pPr>
        <w:pStyle w:val="Bibliographie"/>
        <w:rPr>
          <w:lang w:val="en-US"/>
        </w:rPr>
      </w:pPr>
      <w:r w:rsidRPr="000E5564">
        <w:rPr>
          <w:lang w:val="en-US"/>
        </w:rPr>
        <w:t xml:space="preserve">Gobas, F.A.P.C. and Morrison, J.B. (2000) ‘Bioconcentration and Biomagnification in the Aquatic Environment’, in </w:t>
      </w:r>
      <w:r w:rsidRPr="000E5564">
        <w:rPr>
          <w:i/>
          <w:iCs/>
          <w:lang w:val="en-US"/>
        </w:rPr>
        <w:t>Handbook of Property Estimation Methods for Chemicals</w:t>
      </w:r>
      <w:r w:rsidRPr="000E5564">
        <w:rPr>
          <w:lang w:val="en-US"/>
        </w:rPr>
        <w:t>. CRC Press.</w:t>
      </w:r>
    </w:p>
    <w:p w14:paraId="614AC2A4" w14:textId="77777777" w:rsidR="000E5564" w:rsidRPr="000E5564" w:rsidRDefault="000E5564" w:rsidP="000E5564">
      <w:pPr>
        <w:pStyle w:val="Bibliographie"/>
        <w:rPr>
          <w:lang w:val="en-US"/>
        </w:rPr>
      </w:pPr>
      <w:r w:rsidRPr="000E5564">
        <w:rPr>
          <w:lang w:val="en-US"/>
        </w:rPr>
        <w:t xml:space="preserve">Gobas, F.A.P.C., Zhang, X. and Wells, R. (1993) ‘Gastrointestinal magnification: The mechanism of biomagnification and food chain accumulation of organic chemicals’, </w:t>
      </w:r>
      <w:r w:rsidRPr="000E5564">
        <w:rPr>
          <w:i/>
          <w:iCs/>
          <w:lang w:val="en-US"/>
        </w:rPr>
        <w:t>Environmental Science and Technology</w:t>
      </w:r>
      <w:r w:rsidRPr="000E5564">
        <w:rPr>
          <w:lang w:val="en-US"/>
        </w:rPr>
        <w:t>, 27(13), pp. 2855–2863. Available at: https://doi.org/10.1021/es00049a028.</w:t>
      </w:r>
    </w:p>
    <w:p w14:paraId="0C19E5C6" w14:textId="77777777" w:rsidR="000E5564" w:rsidRPr="000E5564" w:rsidRDefault="000E5564" w:rsidP="000E5564">
      <w:pPr>
        <w:pStyle w:val="Bibliographie"/>
        <w:rPr>
          <w:lang w:val="en-US"/>
        </w:rPr>
      </w:pPr>
      <w:r w:rsidRPr="000E5564">
        <w:rPr>
          <w:lang w:val="en-US"/>
        </w:rPr>
        <w:t xml:space="preserve">Gobas, F.A.P.C.P.C., McCorquodale, J.R. and Haffner, G.D.D. (1993) ‘Intestinal absorption and biomagnification of organochlorines’, </w:t>
      </w:r>
      <w:r w:rsidRPr="000E5564">
        <w:rPr>
          <w:i/>
          <w:iCs/>
          <w:lang w:val="en-US"/>
        </w:rPr>
        <w:t>Environmental Toxicology and Chemistry</w:t>
      </w:r>
      <w:r w:rsidRPr="000E5564">
        <w:rPr>
          <w:lang w:val="en-US"/>
        </w:rPr>
        <w:t>, 12(3), pp. 567–576. Available at: https://doi.org/10.1002/etc.5620120316.</w:t>
      </w:r>
    </w:p>
    <w:p w14:paraId="58908863" w14:textId="77777777" w:rsidR="000E5564" w:rsidRPr="000E5564" w:rsidRDefault="000E5564" w:rsidP="000E5564">
      <w:pPr>
        <w:pStyle w:val="Bibliographie"/>
        <w:rPr>
          <w:lang w:val="en-US"/>
        </w:rPr>
      </w:pPr>
      <w:r w:rsidRPr="000E5564">
        <w:rPr>
          <w:lang w:val="en-US"/>
        </w:rPr>
        <w:t xml:space="preserve">Halpern, B.S. </w:t>
      </w:r>
      <w:r w:rsidRPr="000E5564">
        <w:rPr>
          <w:i/>
          <w:iCs/>
          <w:lang w:val="en-US"/>
        </w:rPr>
        <w:t>et al.</w:t>
      </w:r>
      <w:r w:rsidRPr="000E5564">
        <w:rPr>
          <w:lang w:val="en-US"/>
        </w:rPr>
        <w:t xml:space="preserve"> (2008) ‘A Global Map of Human Impact on Marine Ecosystems’, </w:t>
      </w:r>
      <w:r w:rsidRPr="000E5564">
        <w:rPr>
          <w:i/>
          <w:iCs/>
          <w:lang w:val="en-US"/>
        </w:rPr>
        <w:t>Science</w:t>
      </w:r>
      <w:r w:rsidRPr="000E5564">
        <w:rPr>
          <w:lang w:val="en-US"/>
        </w:rPr>
        <w:t>, 319(5865), pp. 948–952. Available at: https://doi.org/10.1126/science.1149345.</w:t>
      </w:r>
    </w:p>
    <w:p w14:paraId="3BCD254B" w14:textId="77777777" w:rsidR="000E5564" w:rsidRPr="000E5564" w:rsidRDefault="000E5564" w:rsidP="000E5564">
      <w:pPr>
        <w:pStyle w:val="Bibliographie"/>
        <w:rPr>
          <w:lang w:val="en-US"/>
        </w:rPr>
      </w:pPr>
      <w:r w:rsidRPr="000E5564">
        <w:rPr>
          <w:lang w:val="en-US"/>
        </w:rPr>
        <w:t xml:space="preserve">Halpern, B.S. </w:t>
      </w:r>
      <w:r w:rsidRPr="000E5564">
        <w:rPr>
          <w:i/>
          <w:iCs/>
          <w:lang w:val="en-US"/>
        </w:rPr>
        <w:t>et al.</w:t>
      </w:r>
      <w:r w:rsidRPr="000E5564">
        <w:rPr>
          <w:lang w:val="en-US"/>
        </w:rPr>
        <w:t xml:space="preserve"> (2012) ‘An index to assess the health and benefits of the global ocean’, </w:t>
      </w:r>
      <w:r w:rsidRPr="000E5564">
        <w:rPr>
          <w:i/>
          <w:iCs/>
          <w:lang w:val="en-US"/>
        </w:rPr>
        <w:t>Nature</w:t>
      </w:r>
      <w:r w:rsidRPr="000E5564">
        <w:rPr>
          <w:lang w:val="en-US"/>
        </w:rPr>
        <w:t>, 488(7413), pp. 615–620. Available at: https://doi.org/10.1038/nature11397.</w:t>
      </w:r>
    </w:p>
    <w:p w14:paraId="481C743B" w14:textId="77777777" w:rsidR="000E5564" w:rsidRDefault="000E5564" w:rsidP="000E5564">
      <w:pPr>
        <w:pStyle w:val="Bibliographie"/>
      </w:pPr>
      <w:r w:rsidRPr="000E5564">
        <w:rPr>
          <w:lang w:val="en-US"/>
        </w:rPr>
        <w:t xml:space="preserve">Helsel, D.R. (2006) ‘Fabricating data: How substituting values for nondetects can ruin results, and what can be done about it’, </w:t>
      </w:r>
      <w:r w:rsidRPr="000E5564">
        <w:rPr>
          <w:i/>
          <w:iCs/>
          <w:lang w:val="en-US"/>
        </w:rPr>
        <w:t>Chemosphere</w:t>
      </w:r>
      <w:r w:rsidRPr="000E5564">
        <w:rPr>
          <w:lang w:val="en-US"/>
        </w:rPr>
        <w:t xml:space="preserve">, 65(11), pp. 2434–2439. </w:t>
      </w:r>
      <w:r>
        <w:t>Available at: https://doi.org/10.1016/j.chemosphere.2006.04.051.</w:t>
      </w:r>
    </w:p>
    <w:p w14:paraId="06A3C7F0" w14:textId="77777777" w:rsidR="000E5564" w:rsidRDefault="000E5564" w:rsidP="000E5564">
      <w:pPr>
        <w:pStyle w:val="Bibliographie"/>
      </w:pPr>
      <w:r>
        <w:lastRenderedPageBreak/>
        <w:t xml:space="preserve">Hop, H. </w:t>
      </w:r>
      <w:r>
        <w:rPr>
          <w:i/>
          <w:iCs/>
        </w:rPr>
        <w:t>et al.</w:t>
      </w:r>
      <w:r>
        <w:t xml:space="preserve"> </w:t>
      </w:r>
      <w:r w:rsidRPr="000E5564">
        <w:rPr>
          <w:lang w:val="en-US"/>
        </w:rPr>
        <w:t xml:space="preserve">(2002) ‘Food Web Magnification of Persistent Organic Pollutants in Poikilotherms and Homeotherms from the Barents Sea’, </w:t>
      </w:r>
      <w:r w:rsidRPr="000E5564">
        <w:rPr>
          <w:i/>
          <w:iCs/>
          <w:lang w:val="en-US"/>
        </w:rPr>
        <w:t>Environmental Science &amp; Technology</w:t>
      </w:r>
      <w:r w:rsidRPr="000E5564">
        <w:rPr>
          <w:lang w:val="en-US"/>
        </w:rPr>
        <w:t xml:space="preserve">, 36(12), pp. 2589–2597. </w:t>
      </w:r>
      <w:r>
        <w:t>Available at: https://doi.org/10.1021/es010231l.</w:t>
      </w:r>
    </w:p>
    <w:p w14:paraId="543A071F" w14:textId="77777777" w:rsidR="000E5564" w:rsidRPr="000E5564" w:rsidRDefault="000E5564" w:rsidP="000E5564">
      <w:pPr>
        <w:pStyle w:val="Bibliographie"/>
        <w:rPr>
          <w:lang w:val="en-US"/>
        </w:rPr>
      </w:pPr>
      <w:r>
        <w:t xml:space="preserve">Houde, M. </w:t>
      </w:r>
      <w:r>
        <w:rPr>
          <w:i/>
          <w:iCs/>
        </w:rPr>
        <w:t>et al.</w:t>
      </w:r>
      <w:r>
        <w:t xml:space="preserve"> </w:t>
      </w:r>
      <w:r w:rsidRPr="000E5564">
        <w:rPr>
          <w:lang w:val="en-US"/>
        </w:rPr>
        <w:t xml:space="preserve">(2006) ‘Biological monitoring of polyfluoroalkyl substances: A review’, </w:t>
      </w:r>
      <w:r w:rsidRPr="000E5564">
        <w:rPr>
          <w:i/>
          <w:iCs/>
          <w:lang w:val="en-US"/>
        </w:rPr>
        <w:t>Environmental Science and Technology</w:t>
      </w:r>
      <w:r w:rsidRPr="000E5564">
        <w:rPr>
          <w:lang w:val="en-US"/>
        </w:rPr>
        <w:t>, 40(11), pp. 3463–3473. Available at: https://doi.org/10.1021/es052580b.</w:t>
      </w:r>
    </w:p>
    <w:p w14:paraId="51300E4C" w14:textId="77777777" w:rsidR="000E5564" w:rsidRPr="000E5564" w:rsidRDefault="000E5564" w:rsidP="000E5564">
      <w:pPr>
        <w:pStyle w:val="Bibliographie"/>
        <w:rPr>
          <w:lang w:val="en-US"/>
        </w:rPr>
      </w:pPr>
      <w:r w:rsidRPr="000E5564">
        <w:rPr>
          <w:lang w:val="en-US"/>
        </w:rPr>
        <w:t>Julian, P. and Helsel, D. (2021) ‘NADA2: Data Analysis for Censored Environmental Data.’ Available at: https://github.com/SwampThingPaul/NADA2.</w:t>
      </w:r>
    </w:p>
    <w:p w14:paraId="3BA151E0" w14:textId="77777777" w:rsidR="000E5564" w:rsidRDefault="000E5564" w:rsidP="000E5564">
      <w:pPr>
        <w:pStyle w:val="Bibliographie"/>
      </w:pPr>
      <w:r w:rsidRPr="000E5564">
        <w:rPr>
          <w:lang w:val="en-US"/>
        </w:rPr>
        <w:t xml:space="preserve">Kelly, B.C. </w:t>
      </w:r>
      <w:r w:rsidRPr="000E5564">
        <w:rPr>
          <w:i/>
          <w:iCs/>
          <w:lang w:val="en-US"/>
        </w:rPr>
        <w:t>et al.</w:t>
      </w:r>
      <w:r w:rsidRPr="000E5564">
        <w:rPr>
          <w:lang w:val="en-US"/>
        </w:rPr>
        <w:t xml:space="preserve"> (2009) ‘Perfluoroalkyl Contaminants in an Arctic Marine Food Web : Trophic Magnification and Wildlife Exposure’, </w:t>
      </w:r>
      <w:r w:rsidRPr="000E5564">
        <w:rPr>
          <w:i/>
          <w:iCs/>
          <w:lang w:val="en-US"/>
        </w:rPr>
        <w:t>Environmental Science &amp; Technology</w:t>
      </w:r>
      <w:r w:rsidRPr="000E5564">
        <w:rPr>
          <w:lang w:val="en-US"/>
        </w:rPr>
        <w:t xml:space="preserve">, 43, pp. 4037–4043. </w:t>
      </w:r>
      <w:r>
        <w:t>Available at: https://doi.org/10.1021/es9003894.</w:t>
      </w:r>
    </w:p>
    <w:p w14:paraId="36CED72A" w14:textId="77777777" w:rsidR="000E5564" w:rsidRDefault="000E5564" w:rsidP="000E5564">
      <w:pPr>
        <w:pStyle w:val="Bibliographie"/>
      </w:pPr>
      <w:r>
        <w:t xml:space="preserve">Kim, J. </w:t>
      </w:r>
      <w:r>
        <w:rPr>
          <w:i/>
          <w:iCs/>
        </w:rPr>
        <w:t>et al.</w:t>
      </w:r>
      <w:r>
        <w:t xml:space="preserve"> </w:t>
      </w:r>
      <w:r w:rsidRPr="000E5564">
        <w:rPr>
          <w:lang w:val="en-US"/>
        </w:rPr>
        <w:t xml:space="preserve">(2016) ‘Evaluating the roles of biotransformation, spatial concentration differences, organism home range, and field sampling design on trophic magnification factors’, </w:t>
      </w:r>
      <w:r w:rsidRPr="000E5564">
        <w:rPr>
          <w:i/>
          <w:iCs/>
          <w:lang w:val="en-US"/>
        </w:rPr>
        <w:t>Science of the Total Environment</w:t>
      </w:r>
      <w:r w:rsidRPr="000E5564">
        <w:rPr>
          <w:lang w:val="en-US"/>
        </w:rPr>
        <w:t xml:space="preserve">, 551–552, pp. 438–451. </w:t>
      </w:r>
      <w:r>
        <w:t>Available at: https://doi.org/10.1016/j.scitotenv.2016.02.013.</w:t>
      </w:r>
    </w:p>
    <w:p w14:paraId="38214977" w14:textId="77777777" w:rsidR="000E5564" w:rsidRDefault="000E5564" w:rsidP="000E5564">
      <w:pPr>
        <w:pStyle w:val="Bibliographie"/>
      </w:pPr>
      <w:r>
        <w:t xml:space="preserve">Kobayashi, J. </w:t>
      </w:r>
      <w:r>
        <w:rPr>
          <w:i/>
          <w:iCs/>
        </w:rPr>
        <w:t>et al.</w:t>
      </w:r>
      <w:r>
        <w:t xml:space="preserve"> </w:t>
      </w:r>
      <w:r w:rsidRPr="000E5564">
        <w:rPr>
          <w:lang w:val="en-US"/>
        </w:rPr>
        <w:t xml:space="preserve">(2011) ‘Dietary uptake kinetics of polychlorinated biphenyls from sediment-contaminated sandworms in a marine benthic fish (Pseudopleuronectes yokohamae)’, </w:t>
      </w:r>
      <w:r w:rsidRPr="000E5564">
        <w:rPr>
          <w:i/>
          <w:iCs/>
          <w:lang w:val="en-US"/>
        </w:rPr>
        <w:t>Chemosphere</w:t>
      </w:r>
      <w:r w:rsidRPr="000E5564">
        <w:rPr>
          <w:lang w:val="en-US"/>
        </w:rPr>
        <w:t xml:space="preserve">, 82(5), pp. 745–750. </w:t>
      </w:r>
      <w:r>
        <w:t>Available at: https://doi.org/10.1016/j.chemosphere.2010.10.087.</w:t>
      </w:r>
    </w:p>
    <w:p w14:paraId="700C2096" w14:textId="77777777" w:rsidR="000E5564" w:rsidRPr="000E5564" w:rsidRDefault="000E5564" w:rsidP="000E5564">
      <w:pPr>
        <w:pStyle w:val="Bibliographie"/>
        <w:rPr>
          <w:lang w:val="en-US"/>
        </w:rPr>
      </w:pPr>
      <w:r>
        <w:t xml:space="preserve">Kobayashi, J. </w:t>
      </w:r>
      <w:r>
        <w:rPr>
          <w:i/>
          <w:iCs/>
        </w:rPr>
        <w:t>et al.</w:t>
      </w:r>
      <w:r>
        <w:t xml:space="preserve"> </w:t>
      </w:r>
      <w:r w:rsidRPr="000E5564">
        <w:rPr>
          <w:lang w:val="en-US"/>
        </w:rPr>
        <w:t xml:space="preserve">(2015) ‘Trophic magnification of polychlorinated biphenyls and polybrominated diphenyl ethers in an estuarine food web of the Ariake Sea, Japan’, </w:t>
      </w:r>
      <w:r w:rsidRPr="000E5564">
        <w:rPr>
          <w:i/>
          <w:iCs/>
          <w:lang w:val="en-US"/>
        </w:rPr>
        <w:t>Chemosphere</w:t>
      </w:r>
      <w:r w:rsidRPr="000E5564">
        <w:rPr>
          <w:lang w:val="en-US"/>
        </w:rPr>
        <w:t>, 118, pp. 201–206. Available at: https://doi.org/10.1016/j.chemosphere.2014.08.066.</w:t>
      </w:r>
    </w:p>
    <w:p w14:paraId="1C4B09D7" w14:textId="77777777" w:rsidR="000E5564" w:rsidRDefault="000E5564" w:rsidP="000E5564">
      <w:pPr>
        <w:pStyle w:val="Bibliographie"/>
      </w:pPr>
      <w:r w:rsidRPr="000E5564">
        <w:rPr>
          <w:lang w:val="en-US"/>
        </w:rPr>
        <w:t xml:space="preserve">Labadie, P. and Chevreuil, M. (2011) ‘Partitioning behaviour of perfluorinated alkyl contaminants between water, sediment and fish in the Orge River (nearby Paris, France)’, </w:t>
      </w:r>
      <w:r w:rsidRPr="000E5564">
        <w:rPr>
          <w:i/>
          <w:iCs/>
          <w:lang w:val="en-US"/>
        </w:rPr>
        <w:t>Environmental Pollution</w:t>
      </w:r>
      <w:r w:rsidRPr="000E5564">
        <w:rPr>
          <w:lang w:val="en-US"/>
        </w:rPr>
        <w:t xml:space="preserve">, 159(2), pp. 391–397. </w:t>
      </w:r>
      <w:r>
        <w:t>Available at: https://doi.org/10.1016/J.ENVPOL.2010.10.039.</w:t>
      </w:r>
    </w:p>
    <w:p w14:paraId="05C52D97" w14:textId="77777777" w:rsidR="000E5564" w:rsidRDefault="000E5564" w:rsidP="000E5564">
      <w:pPr>
        <w:pStyle w:val="Bibliographie"/>
      </w:pPr>
      <w:r>
        <w:t>Lauzent, M. (2018) ‘Etude de l’écodynamique des polluants organiques persistants et des micropolluants halogénés d’intérêt émergent dans les milieux aquatiques’.</w:t>
      </w:r>
    </w:p>
    <w:p w14:paraId="78729AF8" w14:textId="77777777" w:rsidR="000E5564" w:rsidRDefault="000E5564" w:rsidP="000E5564">
      <w:pPr>
        <w:pStyle w:val="Bibliographie"/>
      </w:pPr>
      <w:r>
        <w:t xml:space="preserve">Le Pape, O. </w:t>
      </w:r>
      <w:r>
        <w:rPr>
          <w:i/>
          <w:iCs/>
        </w:rPr>
        <w:t>et al.</w:t>
      </w:r>
      <w:r>
        <w:t xml:space="preserve"> </w:t>
      </w:r>
      <w:r w:rsidRPr="000E5564">
        <w:rPr>
          <w:lang w:val="en-US"/>
        </w:rPr>
        <w:t xml:space="preserve">(2003) ‘Quantitative description of habitat suitability for the juvenile common sole (Solea solea, L.) in the Bay of Biscay (France) and the contribution of different habitats to the adult population’, </w:t>
      </w:r>
      <w:r w:rsidRPr="000E5564">
        <w:rPr>
          <w:i/>
          <w:iCs/>
          <w:lang w:val="en-US"/>
        </w:rPr>
        <w:t>Journal of Sea Research</w:t>
      </w:r>
      <w:r w:rsidRPr="000E5564">
        <w:rPr>
          <w:lang w:val="en-US"/>
        </w:rPr>
        <w:t xml:space="preserve">, 50(2–3), pp. 139–149. </w:t>
      </w:r>
      <w:r>
        <w:t>Available at: https://doi.org/10.1016/S1385-1101(03)00059-5.</w:t>
      </w:r>
    </w:p>
    <w:p w14:paraId="5FB0273C" w14:textId="77777777" w:rsidR="000E5564" w:rsidRDefault="000E5564" w:rsidP="000E5564">
      <w:pPr>
        <w:pStyle w:val="Bibliographie"/>
      </w:pPr>
      <w:r>
        <w:t xml:space="preserve">Le Pape, O. </w:t>
      </w:r>
      <w:r>
        <w:rPr>
          <w:i/>
          <w:iCs/>
        </w:rPr>
        <w:t>et al.</w:t>
      </w:r>
      <w:r>
        <w:t xml:space="preserve"> </w:t>
      </w:r>
      <w:r w:rsidRPr="000E5564">
        <w:rPr>
          <w:lang w:val="en-US"/>
        </w:rPr>
        <w:t xml:space="preserve">(2007) ‘Convergent signs of degradation in both the capacity and the quality of an essential fish habitat: state of the Seine estuary (France) flatfish nurseries’, </w:t>
      </w:r>
      <w:r w:rsidRPr="000E5564">
        <w:rPr>
          <w:i/>
          <w:iCs/>
          <w:lang w:val="en-US"/>
        </w:rPr>
        <w:t>Hydrobiologia</w:t>
      </w:r>
      <w:r w:rsidRPr="000E5564">
        <w:rPr>
          <w:lang w:val="en-US"/>
        </w:rPr>
        <w:t xml:space="preserve">, 588(1), pp. 225–229. </w:t>
      </w:r>
      <w:r>
        <w:t>Available at: https://doi.org/10.1007/s10750-007-0665-y.</w:t>
      </w:r>
    </w:p>
    <w:p w14:paraId="03DE0E7B" w14:textId="77777777" w:rsidR="000E5564" w:rsidRPr="000E5564" w:rsidRDefault="000E5564" w:rsidP="000E5564">
      <w:pPr>
        <w:pStyle w:val="Bibliographie"/>
        <w:rPr>
          <w:lang w:val="en-US"/>
        </w:rPr>
      </w:pPr>
      <w:r>
        <w:t xml:space="preserve">Li, J. </w:t>
      </w:r>
      <w:r>
        <w:rPr>
          <w:i/>
          <w:iCs/>
        </w:rPr>
        <w:t>et al.</w:t>
      </w:r>
      <w:r>
        <w:t xml:space="preserve"> </w:t>
      </w:r>
      <w:r w:rsidRPr="000E5564">
        <w:rPr>
          <w:lang w:val="en-US"/>
        </w:rPr>
        <w:t xml:space="preserve">(2018) ‘Importance of Growth Rate on Hg and PCB Bioaccumulation in Fish’, </w:t>
      </w:r>
      <w:r w:rsidRPr="000E5564">
        <w:rPr>
          <w:i/>
          <w:iCs/>
          <w:lang w:val="en-US"/>
        </w:rPr>
        <w:t>Environmental Toxicology and Chemistry</w:t>
      </w:r>
      <w:r w:rsidRPr="000E5564">
        <w:rPr>
          <w:lang w:val="en-US"/>
        </w:rPr>
        <w:t xml:space="preserve"> [Preprint]. Available at: https://doi.org/10.1002/etc.4114.</w:t>
      </w:r>
    </w:p>
    <w:p w14:paraId="78DE2473" w14:textId="77777777" w:rsidR="000E5564" w:rsidRPr="000E5564" w:rsidRDefault="000E5564" w:rsidP="000E5564">
      <w:pPr>
        <w:pStyle w:val="Bibliographie"/>
        <w:rPr>
          <w:lang w:val="en-US"/>
        </w:rPr>
      </w:pPr>
      <w:r w:rsidRPr="000E5564">
        <w:rPr>
          <w:lang w:val="en-US"/>
        </w:rPr>
        <w:t xml:space="preserve">Liu, J., Haffner, G.D. and Drouillard, K.G. (2010) ‘The influence of diet on the assimilation efficiency of 47 polychlorinated biphenyl congeners in Japanese koi (Cyprinus carpio)’, </w:t>
      </w:r>
      <w:r w:rsidRPr="000E5564">
        <w:rPr>
          <w:i/>
          <w:iCs/>
          <w:lang w:val="en-US"/>
        </w:rPr>
        <w:t>Environmental Toxicology and Chemistry</w:t>
      </w:r>
      <w:r w:rsidRPr="000E5564">
        <w:rPr>
          <w:lang w:val="en-US"/>
        </w:rPr>
        <w:t>, 29(2), pp. 401–409. Available at: https://doi.org/10.1002/etc.47.</w:t>
      </w:r>
    </w:p>
    <w:p w14:paraId="7D295093" w14:textId="77777777" w:rsidR="000E5564" w:rsidRPr="000E5564" w:rsidRDefault="000E5564" w:rsidP="000E5564">
      <w:pPr>
        <w:pStyle w:val="Bibliographie"/>
        <w:rPr>
          <w:lang w:val="en-US"/>
        </w:rPr>
      </w:pPr>
      <w:r w:rsidRPr="000E5564">
        <w:rPr>
          <w:lang w:val="en-US"/>
        </w:rPr>
        <w:t xml:space="preserve">Loi, E.I.H. </w:t>
      </w:r>
      <w:r w:rsidRPr="000E5564">
        <w:rPr>
          <w:i/>
          <w:iCs/>
          <w:lang w:val="en-US"/>
        </w:rPr>
        <w:t>et al.</w:t>
      </w:r>
      <w:r w:rsidRPr="000E5564">
        <w:rPr>
          <w:lang w:val="en-US"/>
        </w:rPr>
        <w:t xml:space="preserve"> (2011) ‘Trophic Magnification of Poly- and Perfluorinated Compounds in a Subtropical Food Web’, </w:t>
      </w:r>
      <w:r w:rsidRPr="000E5564">
        <w:rPr>
          <w:i/>
          <w:iCs/>
          <w:lang w:val="en-US"/>
        </w:rPr>
        <w:t>Environmental Science &amp; Technology</w:t>
      </w:r>
      <w:r w:rsidRPr="000E5564">
        <w:rPr>
          <w:lang w:val="en-US"/>
        </w:rPr>
        <w:t>, 45(13), pp. 5506–5513. Available at: https://doi.org/10.1021/es200432n.</w:t>
      </w:r>
    </w:p>
    <w:p w14:paraId="350520E6" w14:textId="77777777" w:rsidR="000E5564" w:rsidRPr="000E5564" w:rsidRDefault="000E5564" w:rsidP="000E5564">
      <w:pPr>
        <w:pStyle w:val="Bibliographie"/>
        <w:rPr>
          <w:lang w:val="en-US"/>
        </w:rPr>
      </w:pPr>
      <w:r w:rsidRPr="000E5564">
        <w:rPr>
          <w:lang w:val="en-US"/>
        </w:rPr>
        <w:lastRenderedPageBreak/>
        <w:t xml:space="preserve">Loizeau, V., Abarnou, A. and Ménesguen, A. (2001) ‘A steady-state model of PCB bioaccumulation in the sea bass (Dicentrarchus labrax) food web from the Seine estuary, France’, </w:t>
      </w:r>
      <w:r w:rsidRPr="000E5564">
        <w:rPr>
          <w:i/>
          <w:iCs/>
          <w:lang w:val="en-US"/>
        </w:rPr>
        <w:t>Estuaries</w:t>
      </w:r>
      <w:r w:rsidRPr="000E5564">
        <w:rPr>
          <w:lang w:val="en-US"/>
        </w:rPr>
        <w:t>, 24(6), pp. 1074–1087. Available at: https://doi.org/10.2307/1353019.</w:t>
      </w:r>
    </w:p>
    <w:p w14:paraId="20CBD705" w14:textId="77777777" w:rsidR="000E5564" w:rsidRPr="000E5564" w:rsidRDefault="000E5564" w:rsidP="000E5564">
      <w:pPr>
        <w:pStyle w:val="Bibliographie"/>
        <w:rPr>
          <w:lang w:val="en-US"/>
        </w:rPr>
      </w:pPr>
      <w:r w:rsidRPr="000E5564">
        <w:rPr>
          <w:lang w:val="en-US"/>
        </w:rPr>
        <w:t xml:space="preserve">Mackay, D. </w:t>
      </w:r>
      <w:r w:rsidRPr="000E5564">
        <w:rPr>
          <w:i/>
          <w:iCs/>
          <w:lang w:val="en-US"/>
        </w:rPr>
        <w:t>et al.</w:t>
      </w:r>
      <w:r w:rsidRPr="000E5564">
        <w:rPr>
          <w:lang w:val="en-US"/>
        </w:rPr>
        <w:t xml:space="preserve"> (2016) ‘Processes influencing chemical biomagnification and trophic magnification factors in aquatic ecosystems: Implications for chemical hazard and risk assessment’, </w:t>
      </w:r>
      <w:r w:rsidRPr="000E5564">
        <w:rPr>
          <w:i/>
          <w:iCs/>
          <w:lang w:val="en-US"/>
        </w:rPr>
        <w:t>Chemosphere</w:t>
      </w:r>
      <w:r w:rsidRPr="000E5564">
        <w:rPr>
          <w:lang w:val="en-US"/>
        </w:rPr>
        <w:t>, 154, pp. 99–108. Available at: https://doi.org/10.1016/j.chemosphere.2016.03.048.</w:t>
      </w:r>
    </w:p>
    <w:p w14:paraId="4704AEE3" w14:textId="77777777" w:rsidR="000E5564" w:rsidRDefault="000E5564" w:rsidP="000E5564">
      <w:pPr>
        <w:pStyle w:val="Bibliographie"/>
      </w:pPr>
      <w:r w:rsidRPr="000E5564">
        <w:rPr>
          <w:lang w:val="en-US"/>
        </w:rPr>
        <w:t xml:space="preserve">Mackay, D. and Fraser, A. (2000) ‘Bioaccumulation of persistent organic chemicals: mechanisms and models’, </w:t>
      </w:r>
      <w:r w:rsidRPr="000E5564">
        <w:rPr>
          <w:i/>
          <w:iCs/>
          <w:lang w:val="en-US"/>
        </w:rPr>
        <w:t>Environmental Pollution</w:t>
      </w:r>
      <w:r w:rsidRPr="000E5564">
        <w:rPr>
          <w:lang w:val="en-US"/>
        </w:rPr>
        <w:t xml:space="preserve">, 110(3), pp. 375–391. </w:t>
      </w:r>
      <w:r>
        <w:t>Available at: https://doi.org/10.1016/S0269-7491(00)00162-7.</w:t>
      </w:r>
    </w:p>
    <w:p w14:paraId="19B60CAA" w14:textId="77777777" w:rsidR="000E5564" w:rsidRDefault="000E5564" w:rsidP="000E5564">
      <w:pPr>
        <w:pStyle w:val="Bibliographie"/>
      </w:pPr>
      <w:r>
        <w:t xml:space="preserve">Masset, T. </w:t>
      </w:r>
      <w:r>
        <w:rPr>
          <w:i/>
          <w:iCs/>
        </w:rPr>
        <w:t>et al.</w:t>
      </w:r>
      <w:r>
        <w:t xml:space="preserve"> </w:t>
      </w:r>
      <w:r w:rsidRPr="000E5564">
        <w:rPr>
          <w:lang w:val="en-US"/>
        </w:rPr>
        <w:t xml:space="preserve">(2019) ‘Trophic position and individual feeding habits as drivers of differential PCB bioaccumulation in fish populations’, </w:t>
      </w:r>
      <w:r w:rsidRPr="000E5564">
        <w:rPr>
          <w:i/>
          <w:iCs/>
          <w:lang w:val="en-US"/>
        </w:rPr>
        <w:t>Science of the Total Environment</w:t>
      </w:r>
      <w:r w:rsidRPr="000E5564">
        <w:rPr>
          <w:lang w:val="en-US"/>
        </w:rPr>
        <w:t xml:space="preserve">, 674, pp. 472–481. </w:t>
      </w:r>
      <w:r>
        <w:t>Available at: https://doi.org/10.1016/j.scitotenv.2019.04.196.</w:t>
      </w:r>
    </w:p>
    <w:p w14:paraId="78109332" w14:textId="77777777" w:rsidR="000E5564" w:rsidRDefault="000E5564" w:rsidP="000E5564">
      <w:pPr>
        <w:pStyle w:val="Bibliographie"/>
      </w:pPr>
      <w:r>
        <w:t xml:space="preserve">Matthies, M. </w:t>
      </w:r>
      <w:r>
        <w:rPr>
          <w:i/>
          <w:iCs/>
        </w:rPr>
        <w:t>et al.</w:t>
      </w:r>
      <w:r>
        <w:t xml:space="preserve"> </w:t>
      </w:r>
      <w:r w:rsidRPr="000E5564">
        <w:rPr>
          <w:lang w:val="en-US"/>
        </w:rPr>
        <w:t xml:space="preserve">(2016) ‘The origin and evolution of assessment criteria for persistent, bioaccumulative and toxic (PBT) chemicals and persistent organic pollutants (POPs)’, </w:t>
      </w:r>
      <w:r w:rsidRPr="000E5564">
        <w:rPr>
          <w:i/>
          <w:iCs/>
          <w:lang w:val="en-US"/>
        </w:rPr>
        <w:t>Environmental Science: Processes &amp; Impacts</w:t>
      </w:r>
      <w:r w:rsidRPr="000E5564">
        <w:rPr>
          <w:lang w:val="en-US"/>
        </w:rPr>
        <w:t xml:space="preserve">, 18(9), pp. 1114–1128. </w:t>
      </w:r>
      <w:r>
        <w:t>Available at: https://doi.org/10.1039/C6EM00311G.</w:t>
      </w:r>
    </w:p>
    <w:p w14:paraId="2EEBE345" w14:textId="77777777" w:rsidR="000E5564" w:rsidRDefault="000E5564" w:rsidP="000E5564">
      <w:pPr>
        <w:pStyle w:val="Bibliographie"/>
      </w:pPr>
      <w:r>
        <w:t xml:space="preserve">Mounier, F. </w:t>
      </w:r>
      <w:r>
        <w:rPr>
          <w:i/>
          <w:iCs/>
        </w:rPr>
        <w:t>et al.</w:t>
      </w:r>
      <w:r>
        <w:t xml:space="preserve"> </w:t>
      </w:r>
      <w:r w:rsidRPr="000E5564">
        <w:rPr>
          <w:lang w:val="en-US"/>
        </w:rPr>
        <w:t xml:space="preserve">(2020) ‘Dietary bioaccumulation of persistent organic pollutants in the common sole </w:t>
      </w:r>
      <w:r w:rsidRPr="000E5564">
        <w:rPr>
          <w:i/>
          <w:iCs/>
          <w:lang w:val="en-US"/>
        </w:rPr>
        <w:t>Solea solea</w:t>
      </w:r>
      <w:r w:rsidRPr="000E5564">
        <w:rPr>
          <w:lang w:val="en-US"/>
        </w:rPr>
        <w:t xml:space="preserve"> in the context of global change. Part 2: Sensitivity of juvenile growth and contamination to toxicokinetic parameters uncertainty and environmental conditions variability in estuaries’, </w:t>
      </w:r>
      <w:r w:rsidRPr="000E5564">
        <w:rPr>
          <w:i/>
          <w:iCs/>
          <w:lang w:val="en-US"/>
        </w:rPr>
        <w:t>Ecological Modelling</w:t>
      </w:r>
      <w:r w:rsidRPr="000E5564">
        <w:rPr>
          <w:lang w:val="en-US"/>
        </w:rPr>
        <w:t xml:space="preserve">, 431, p. 109196. </w:t>
      </w:r>
      <w:r>
        <w:t>Available at: https://doi.org/10.1016/j.ecolmodel.2020.109196.</w:t>
      </w:r>
    </w:p>
    <w:p w14:paraId="2A7A9C85" w14:textId="77777777" w:rsidR="000E5564" w:rsidRDefault="000E5564" w:rsidP="000E5564">
      <w:pPr>
        <w:pStyle w:val="Bibliographie"/>
      </w:pPr>
      <w:r>
        <w:t xml:space="preserve">Munoz, G. </w:t>
      </w:r>
      <w:r>
        <w:rPr>
          <w:i/>
          <w:iCs/>
        </w:rPr>
        <w:t>et al.</w:t>
      </w:r>
      <w:r>
        <w:t xml:space="preserve"> </w:t>
      </w:r>
      <w:r w:rsidRPr="000E5564">
        <w:rPr>
          <w:lang w:val="en-US"/>
        </w:rPr>
        <w:t xml:space="preserve">(2017) ‘Evidence for the Trophic Transfer of Perfluoroalkylated Substances in a Temperate Macrotidal Estuary’, </w:t>
      </w:r>
      <w:r w:rsidRPr="000E5564">
        <w:rPr>
          <w:i/>
          <w:iCs/>
          <w:lang w:val="en-US"/>
        </w:rPr>
        <w:t>Environmental Science and Technology</w:t>
      </w:r>
      <w:r w:rsidRPr="000E5564">
        <w:rPr>
          <w:lang w:val="en-US"/>
        </w:rPr>
        <w:t xml:space="preserve">, 51(15), pp. 8450–8459. </w:t>
      </w:r>
      <w:r>
        <w:t>Available at: https://doi.org/10.1021/acs.est.7b02399.</w:t>
      </w:r>
    </w:p>
    <w:p w14:paraId="3CD3549C" w14:textId="77777777" w:rsidR="000E5564" w:rsidRDefault="000E5564" w:rsidP="000E5564">
      <w:pPr>
        <w:pStyle w:val="Bibliographie"/>
      </w:pPr>
      <w:r>
        <w:t xml:space="preserve">Munoz, G. </w:t>
      </w:r>
      <w:r>
        <w:rPr>
          <w:i/>
          <w:iCs/>
        </w:rPr>
        <w:t>et al.</w:t>
      </w:r>
      <w:r>
        <w:t xml:space="preserve"> </w:t>
      </w:r>
      <w:r w:rsidRPr="000E5564">
        <w:rPr>
          <w:lang w:val="en-US"/>
        </w:rPr>
        <w:t xml:space="preserve">(2018) ‘Spatio-temporal dynamics of per and polyfluoroalkyl substances (PFASs) and transfer to periphytic biofilm in an urban river: case-study on the River Seine’, </w:t>
      </w:r>
      <w:r w:rsidRPr="000E5564">
        <w:rPr>
          <w:i/>
          <w:iCs/>
          <w:lang w:val="en-US"/>
        </w:rPr>
        <w:t>Environmental Science and Pollution Research</w:t>
      </w:r>
      <w:r w:rsidRPr="000E5564">
        <w:rPr>
          <w:lang w:val="en-US"/>
        </w:rPr>
        <w:t xml:space="preserve">, 25(24), pp. 23574–23582. </w:t>
      </w:r>
      <w:r>
        <w:t>Available at: https://doi.org/10.1007/s11356-016-8051-9.</w:t>
      </w:r>
    </w:p>
    <w:p w14:paraId="1261CAA7" w14:textId="77777777" w:rsidR="000E5564" w:rsidRPr="000E5564" w:rsidRDefault="000E5564" w:rsidP="000E5564">
      <w:pPr>
        <w:pStyle w:val="Bibliographie"/>
        <w:rPr>
          <w:lang w:val="en-US"/>
        </w:rPr>
      </w:pPr>
      <w:r>
        <w:t xml:space="preserve">Munschy, C. </w:t>
      </w:r>
      <w:r>
        <w:rPr>
          <w:i/>
          <w:iCs/>
        </w:rPr>
        <w:t>et al.</w:t>
      </w:r>
      <w:r>
        <w:t xml:space="preserve"> </w:t>
      </w:r>
      <w:r w:rsidRPr="000E5564">
        <w:rPr>
          <w:lang w:val="en-US"/>
        </w:rPr>
        <w:t xml:space="preserve">(2013) ‘Levels and trends of the emerging contaminants HBCDs (hexabromocyclododecanes) and PFCs (perfluorinated compounds) in marine shellfish along French coasts’, </w:t>
      </w:r>
      <w:r w:rsidRPr="000E5564">
        <w:rPr>
          <w:i/>
          <w:iCs/>
          <w:lang w:val="en-US"/>
        </w:rPr>
        <w:t>Chemosphere</w:t>
      </w:r>
      <w:r w:rsidRPr="000E5564">
        <w:rPr>
          <w:lang w:val="en-US"/>
        </w:rPr>
        <w:t>, 91(2), pp. 233–240. Available at: https://doi.org/10.1016/j.chemosphere.2012.12.063.</w:t>
      </w:r>
    </w:p>
    <w:p w14:paraId="4CA8244F" w14:textId="77777777" w:rsidR="000E5564" w:rsidRPr="000E5564" w:rsidRDefault="000E5564" w:rsidP="000E5564">
      <w:pPr>
        <w:pStyle w:val="Bibliographie"/>
        <w:rPr>
          <w:lang w:val="en-US"/>
        </w:rPr>
      </w:pPr>
      <w:r w:rsidRPr="000E5564">
        <w:rPr>
          <w:lang w:val="en-US"/>
        </w:rPr>
        <w:t xml:space="preserve">Ng, C.A. and Hungerbuhler, K. (2014) ‘Bioaccumulation of Per fl uorinated Alkyl Acids : Observations and Models’, </w:t>
      </w:r>
      <w:r w:rsidRPr="000E5564">
        <w:rPr>
          <w:i/>
          <w:iCs/>
          <w:lang w:val="en-US"/>
        </w:rPr>
        <w:t>Environmental science &amp; technology</w:t>
      </w:r>
      <w:r w:rsidRPr="000E5564">
        <w:rPr>
          <w:lang w:val="en-US"/>
        </w:rPr>
        <w:t>, 48, pp. 4637–4648. Available at: https://doi.org/10.1021/es404008g.</w:t>
      </w:r>
    </w:p>
    <w:p w14:paraId="6985DB04" w14:textId="77777777" w:rsidR="000E5564" w:rsidRPr="000E5564" w:rsidRDefault="000E5564" w:rsidP="000E5564">
      <w:pPr>
        <w:pStyle w:val="Bibliographie"/>
        <w:rPr>
          <w:lang w:val="en-US"/>
        </w:rPr>
      </w:pPr>
      <w:r w:rsidRPr="000E5564">
        <w:rPr>
          <w:lang w:val="en-US"/>
        </w:rPr>
        <w:t xml:space="preserve">Niimi, A.J. and Oliver, B.G. (1988) ‘Influence of Molecular Weight and Molecular Volume on Dietary Absorption Efficiency of Chemicals by Fishes’, </w:t>
      </w:r>
      <w:r w:rsidRPr="000E5564">
        <w:rPr>
          <w:i/>
          <w:iCs/>
          <w:lang w:val="en-US"/>
        </w:rPr>
        <w:t>Journal canadien des sciences halieutiques et aquatiques</w:t>
      </w:r>
      <w:r w:rsidRPr="000E5564">
        <w:rPr>
          <w:lang w:val="en-US"/>
        </w:rPr>
        <w:t>, 45(2), pp. 222–227.</w:t>
      </w:r>
    </w:p>
    <w:p w14:paraId="4F300D02" w14:textId="77777777" w:rsidR="000E5564" w:rsidRPr="000E5564" w:rsidRDefault="000E5564" w:rsidP="000E5564">
      <w:pPr>
        <w:pStyle w:val="Bibliographie"/>
        <w:rPr>
          <w:lang w:val="en-US"/>
        </w:rPr>
      </w:pPr>
      <w:r w:rsidRPr="000E5564">
        <w:rPr>
          <w:lang w:val="en-US"/>
        </w:rPr>
        <w:t xml:space="preserve">Olisah, C., Adams, J.B. and Rubidge, G. (2021) ‘The state of persistent organic pollutants in South African estuaries: A review of environmental exposure and sources’, </w:t>
      </w:r>
      <w:r w:rsidRPr="000E5564">
        <w:rPr>
          <w:i/>
          <w:iCs/>
          <w:lang w:val="en-US"/>
        </w:rPr>
        <w:t>Ecotoxicology and Environmental Safety</w:t>
      </w:r>
      <w:r w:rsidRPr="000E5564">
        <w:rPr>
          <w:lang w:val="en-US"/>
        </w:rPr>
        <w:t>, 219, p. 112316. Available at: https://doi.org/10.1016/j.ecoenv.2021.112316.</w:t>
      </w:r>
    </w:p>
    <w:p w14:paraId="016FD66E" w14:textId="77777777" w:rsidR="000E5564" w:rsidRDefault="000E5564" w:rsidP="000E5564">
      <w:pPr>
        <w:pStyle w:val="Bibliographie"/>
      </w:pPr>
      <w:r w:rsidRPr="000E5564">
        <w:rPr>
          <w:lang w:val="en-US"/>
        </w:rPr>
        <w:lastRenderedPageBreak/>
        <w:t xml:space="preserve">van der Oost, R., Beyer, J. and Vermeulen, N.P.E. (2003) ‘Fish bioaccumulation and biomarkers in environmental risk assessment: A review’, </w:t>
      </w:r>
      <w:r w:rsidRPr="000E5564">
        <w:rPr>
          <w:i/>
          <w:iCs/>
          <w:lang w:val="en-US"/>
        </w:rPr>
        <w:t>Environmental Toxicology and Pharmacology</w:t>
      </w:r>
      <w:r w:rsidRPr="000E5564">
        <w:rPr>
          <w:lang w:val="en-US"/>
        </w:rPr>
        <w:t xml:space="preserve">, 13(2), pp. 57–149. </w:t>
      </w:r>
      <w:r>
        <w:t>Available at: https://doi.org/10.1016/S1382-6689(02)00126-6.</w:t>
      </w:r>
    </w:p>
    <w:p w14:paraId="3A81DF20" w14:textId="77777777" w:rsidR="000E5564" w:rsidRDefault="000E5564" w:rsidP="000E5564">
      <w:pPr>
        <w:pStyle w:val="Bibliographie"/>
      </w:pPr>
      <w:r>
        <w:t xml:space="preserve">Pitacco, V. </w:t>
      </w:r>
      <w:r>
        <w:rPr>
          <w:i/>
          <w:iCs/>
        </w:rPr>
        <w:t>et al.</w:t>
      </w:r>
      <w:r>
        <w:t xml:space="preserve"> </w:t>
      </w:r>
      <w:r w:rsidRPr="000E5564">
        <w:rPr>
          <w:lang w:val="en-US"/>
        </w:rPr>
        <w:t xml:space="preserve">(2021) ‘Habitat heterogeneity: A confounding factor for the effect of pollutants on macrobenthic community in coastal waters’, </w:t>
      </w:r>
      <w:r w:rsidRPr="000E5564">
        <w:rPr>
          <w:i/>
          <w:iCs/>
          <w:lang w:val="en-US"/>
        </w:rPr>
        <w:t>Marine Environmental Research</w:t>
      </w:r>
      <w:r w:rsidRPr="000E5564">
        <w:rPr>
          <w:lang w:val="en-US"/>
        </w:rPr>
        <w:t xml:space="preserve">, 172, p. 105499. </w:t>
      </w:r>
      <w:r>
        <w:t>Available at: https://doi.org/10.1016/j.marenvres.2021.105499.</w:t>
      </w:r>
    </w:p>
    <w:p w14:paraId="2359AC10" w14:textId="77777777" w:rsidR="000E5564" w:rsidRDefault="000E5564" w:rsidP="000E5564">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422AB429" w14:textId="77777777" w:rsidR="000E5564" w:rsidRPr="000E5564" w:rsidRDefault="000E5564" w:rsidP="000E5564">
      <w:pPr>
        <w:pStyle w:val="Bibliographie"/>
        <w:rPr>
          <w:lang w:val="en-US"/>
        </w:rPr>
      </w:pPr>
      <w:r w:rsidRPr="000E5564">
        <w:rPr>
          <w:lang w:val="en-US"/>
        </w:rPr>
        <w:t>R core team (2025) ‘R: The R Project for Statistical Computing.’ Available at: https://www.r-project.org/.</w:t>
      </w:r>
    </w:p>
    <w:p w14:paraId="7B4E5445" w14:textId="77777777" w:rsidR="000E5564" w:rsidRPr="000E5564" w:rsidRDefault="000E5564" w:rsidP="000E5564">
      <w:pPr>
        <w:pStyle w:val="Bibliographie"/>
        <w:rPr>
          <w:lang w:val="en-US"/>
        </w:rPr>
      </w:pPr>
      <w:r w:rsidRPr="000E5564">
        <w:rPr>
          <w:lang w:val="en-US"/>
        </w:rPr>
        <w:t xml:space="preserve">Ridgway, J. and Shimmield, G. (2002) ‘Estuaries as Repositories of Historical Contamination and their Impact on Shelf Seas’, </w:t>
      </w:r>
      <w:r w:rsidRPr="000E5564">
        <w:rPr>
          <w:i/>
          <w:iCs/>
          <w:lang w:val="en-US"/>
        </w:rPr>
        <w:t>Estuarine, Coastal and Shelf Science</w:t>
      </w:r>
      <w:r w:rsidRPr="000E5564">
        <w:rPr>
          <w:lang w:val="en-US"/>
        </w:rPr>
        <w:t>, 55(6), pp. 903–928. Available at: https://doi.org/10.1006/ecss.2002.1035.</w:t>
      </w:r>
    </w:p>
    <w:p w14:paraId="0703D0EF" w14:textId="77777777" w:rsidR="000E5564" w:rsidRPr="000E5564" w:rsidRDefault="000E5564" w:rsidP="000E5564">
      <w:pPr>
        <w:pStyle w:val="Bibliographie"/>
        <w:rPr>
          <w:lang w:val="en-US"/>
        </w:rPr>
      </w:pPr>
      <w:r w:rsidRPr="000E5564">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387309A9" w14:textId="77777777" w:rsidR="000E5564" w:rsidRDefault="000E5564" w:rsidP="000E5564">
      <w:pPr>
        <w:pStyle w:val="Bibliographie"/>
      </w:pPr>
      <w:r w:rsidRPr="000E5564">
        <w:rPr>
          <w:lang w:val="en-US"/>
        </w:rPr>
        <w:t xml:space="preserve">Rochette, S. </w:t>
      </w:r>
      <w:r w:rsidRPr="000E5564">
        <w:rPr>
          <w:i/>
          <w:iCs/>
          <w:lang w:val="en-US"/>
        </w:rPr>
        <w:t>et al.</w:t>
      </w:r>
      <w:r w:rsidRPr="000E5564">
        <w:rPr>
          <w:lang w:val="en-US"/>
        </w:rPr>
        <w:t xml:space="preserve"> (2010) ‘Effect of nursery habitat degradation on flatfish population: Application to Solea solea in the Eastern Channel (Western Europe)’, </w:t>
      </w:r>
      <w:r w:rsidRPr="000E5564">
        <w:rPr>
          <w:i/>
          <w:iCs/>
          <w:lang w:val="en-US"/>
        </w:rPr>
        <w:t>Journal of Sea Research</w:t>
      </w:r>
      <w:r w:rsidRPr="000E5564">
        <w:rPr>
          <w:lang w:val="en-US"/>
        </w:rPr>
        <w:t xml:space="preserve">, 64(1–2), pp. 34–44. </w:t>
      </w:r>
      <w:r>
        <w:t>Available at: https://doi.org/10.1016/j.seares.2009.08.003.</w:t>
      </w:r>
    </w:p>
    <w:p w14:paraId="30467203" w14:textId="77777777" w:rsidR="000E5564" w:rsidRDefault="000E5564" w:rsidP="000E5564">
      <w:pPr>
        <w:pStyle w:val="Bibliographie"/>
      </w:pPr>
      <w:r>
        <w:t xml:space="preserve">Ruan, Y. </w:t>
      </w:r>
      <w:r>
        <w:rPr>
          <w:i/>
          <w:iCs/>
        </w:rPr>
        <w:t>et al.</w:t>
      </w:r>
      <w:r>
        <w:t xml:space="preserve"> </w:t>
      </w:r>
      <w:r w:rsidRPr="000E5564">
        <w:rPr>
          <w:lang w:val="en-US"/>
        </w:rPr>
        <w:t xml:space="preserve">(2018) ‘Stereoisomer-Specific Trophodynamics of the Chiral Brominated Flame Retardants HBCD and TBECH in a Marine Food Web, with Implications for Human Exposure’, </w:t>
      </w:r>
      <w:r w:rsidRPr="000E5564">
        <w:rPr>
          <w:i/>
          <w:iCs/>
          <w:lang w:val="en-US"/>
        </w:rPr>
        <w:t>Environmental Science &amp; Technology</w:t>
      </w:r>
      <w:r w:rsidRPr="000E5564">
        <w:rPr>
          <w:lang w:val="en-US"/>
        </w:rPr>
        <w:t xml:space="preserve">, 52(15), pp. 8183–8193. </w:t>
      </w:r>
      <w:r>
        <w:t>Available at: https://doi.org/10.1021/acs.est.8b02206.</w:t>
      </w:r>
    </w:p>
    <w:p w14:paraId="199099DC" w14:textId="77777777" w:rsidR="000E5564" w:rsidRPr="000E5564" w:rsidRDefault="000E5564" w:rsidP="000E5564">
      <w:pPr>
        <w:pStyle w:val="Bibliographie"/>
        <w:rPr>
          <w:lang w:val="en-US"/>
        </w:rPr>
      </w:pPr>
      <w:r>
        <w:t xml:space="preserve">Schäfer, S. </w:t>
      </w:r>
      <w:r>
        <w:rPr>
          <w:i/>
          <w:iCs/>
        </w:rPr>
        <w:t>et al.</w:t>
      </w:r>
      <w:r>
        <w:t xml:space="preserve"> </w:t>
      </w:r>
      <w:r w:rsidRPr="000E5564">
        <w:rPr>
          <w:lang w:val="en-US"/>
        </w:rPr>
        <w:t xml:space="preserve">(2015) ‘Bioaccumulation in aquatic systems: methodological approaches, monitoring and assessment’, </w:t>
      </w:r>
      <w:r w:rsidRPr="000E5564">
        <w:rPr>
          <w:i/>
          <w:iCs/>
          <w:lang w:val="en-US"/>
        </w:rPr>
        <w:t>Environmental Sciences Europe</w:t>
      </w:r>
      <w:r w:rsidRPr="000E5564">
        <w:rPr>
          <w:lang w:val="en-US"/>
        </w:rPr>
        <w:t>, 27(1), p. 5. Available at: https://doi.org/10.1186/s12302-014-0036-z.</w:t>
      </w:r>
    </w:p>
    <w:p w14:paraId="5B6B4C4F" w14:textId="77777777" w:rsidR="000E5564" w:rsidRDefault="000E5564" w:rsidP="000E5564">
      <w:pPr>
        <w:pStyle w:val="Bibliographie"/>
      </w:pPr>
      <w:r w:rsidRPr="000E5564">
        <w:rPr>
          <w:lang w:val="en-US"/>
        </w:rPr>
        <w:t xml:space="preserve">Vaida, F. and Liu, L. (2009) ‘Fast Implementation for Normal Mixed Effects Models With Censored Response’, </w:t>
      </w:r>
      <w:r w:rsidRPr="000E5564">
        <w:rPr>
          <w:i/>
          <w:iCs/>
          <w:lang w:val="en-US"/>
        </w:rPr>
        <w:t>Journal of computational and graphical statistics : a joint publication of American Statistical Association, Institute of Mathematical Statistics, Interface Foundation of North America</w:t>
      </w:r>
      <w:r w:rsidRPr="000E5564">
        <w:rPr>
          <w:lang w:val="en-US"/>
        </w:rPr>
        <w:t xml:space="preserve">, 18(4), pp. 797–817. </w:t>
      </w:r>
      <w:r>
        <w:t>Available at: https://doi.org/10.1198/jcgs.2009.07130.</w:t>
      </w:r>
    </w:p>
    <w:p w14:paraId="3E5B662A" w14:textId="77777777" w:rsidR="000E5564" w:rsidRDefault="000E5564" w:rsidP="000E5564">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536B2F93" w14:textId="77777777" w:rsidR="000E5564" w:rsidRDefault="000E5564" w:rsidP="000E5564">
      <w:pPr>
        <w:pStyle w:val="Bibliographie"/>
      </w:pPr>
      <w:r>
        <w:t xml:space="preserve">Van Ael, E. </w:t>
      </w:r>
      <w:r>
        <w:rPr>
          <w:i/>
          <w:iCs/>
        </w:rPr>
        <w:t>et al.</w:t>
      </w:r>
      <w:r>
        <w:t xml:space="preserve"> </w:t>
      </w:r>
      <w:r w:rsidRPr="000E5564">
        <w:rPr>
          <w:lang w:val="en-US"/>
        </w:rPr>
        <w:t xml:space="preserve">(2013) ‘Factors Influencing the Bioaccumulation of Persistent Organic Pollutants in Food Webs of the Scheldt Estuary’, </w:t>
      </w:r>
      <w:r w:rsidRPr="000E5564">
        <w:rPr>
          <w:i/>
          <w:iCs/>
          <w:lang w:val="en-US"/>
        </w:rPr>
        <w:t>Environmental Science &amp; Technology</w:t>
      </w:r>
      <w:r w:rsidRPr="000E5564">
        <w:rPr>
          <w:lang w:val="en-US"/>
        </w:rPr>
        <w:t xml:space="preserve">, 47(19), pp. 11221–11231. </w:t>
      </w:r>
      <w:r>
        <w:t>Available at: https://doi.org/10.1021/es400307s.</w:t>
      </w:r>
    </w:p>
    <w:p w14:paraId="520CFDD5" w14:textId="77777777" w:rsidR="000E5564" w:rsidRDefault="000E5564" w:rsidP="000E5564">
      <w:pPr>
        <w:pStyle w:val="Bibliographie"/>
      </w:pPr>
      <w:r>
        <w:t xml:space="preserve">Walters, D.M. </w:t>
      </w:r>
      <w:r>
        <w:rPr>
          <w:i/>
          <w:iCs/>
        </w:rPr>
        <w:t>et al.</w:t>
      </w:r>
      <w:r>
        <w:t xml:space="preserve"> </w:t>
      </w:r>
      <w:r w:rsidRPr="000E5564">
        <w:rPr>
          <w:lang w:val="en-US"/>
        </w:rPr>
        <w:t xml:space="preserve">(2011) ‘Trophic magnification of PCBs and its relationship to the octanol-water partition coefficient’, </w:t>
      </w:r>
      <w:r w:rsidRPr="000E5564">
        <w:rPr>
          <w:i/>
          <w:iCs/>
          <w:lang w:val="en-US"/>
        </w:rPr>
        <w:t>Environmental Science and Technology</w:t>
      </w:r>
      <w:r w:rsidRPr="000E5564">
        <w:rPr>
          <w:lang w:val="en-US"/>
        </w:rPr>
        <w:t xml:space="preserve">, 45(9), pp. 3917–3924. </w:t>
      </w:r>
      <w:r>
        <w:t>Available at: https://doi.org/10.1021/es103158s.</w:t>
      </w:r>
    </w:p>
    <w:p w14:paraId="5943BEE3" w14:textId="65C9098E" w:rsidR="00B74274" w:rsidRPr="00F92A4A" w:rsidRDefault="00ED2F3F" w:rsidP="00DA030B">
      <w:pPr>
        <w:rPr>
          <w:sz w:val="32"/>
          <w:szCs w:val="36"/>
        </w:rPr>
      </w:pPr>
      <w:r>
        <w:rPr>
          <w:sz w:val="24"/>
          <w:szCs w:val="24"/>
        </w:rPr>
        <w:fldChar w:fldCharType="end"/>
      </w:r>
      <w:r w:rsidR="00B74274" w:rsidRPr="00F92A4A">
        <w:rPr>
          <w:sz w:val="32"/>
          <w:szCs w:val="36"/>
        </w:rPr>
        <w:t>Résultats : Trophic magnification transfers</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lastRenderedPageBreak/>
        <w:t>Discussion</w:t>
      </w:r>
    </w:p>
    <w:p w14:paraId="5C10765F" w14:textId="77777777" w:rsidR="003D1F8B" w:rsidRPr="00F92A4A" w:rsidRDefault="003D1F8B" w:rsidP="003D1F8B">
      <w:pPr>
        <w:rPr>
          <w:sz w:val="24"/>
          <w:szCs w:val="24"/>
          <w:highlight w:val="yellow"/>
        </w:rPr>
      </w:pPr>
      <w:r w:rsidRPr="00F92A4A">
        <w:rPr>
          <w:sz w:val="24"/>
          <w:szCs w:val="24"/>
          <w:highlight w:val="yellow"/>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73C592D4"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lorence Mounier" w:date="2025-06-16T09:31:00Z" w:initials="FM">
    <w:p w14:paraId="65DA76B1" w14:textId="6511FA16" w:rsidR="007B3B74" w:rsidRDefault="007B3B74">
      <w:pPr>
        <w:pStyle w:val="Commentaire"/>
      </w:pPr>
      <w:r>
        <w:rPr>
          <w:rStyle w:val="Marquedecommentaire"/>
        </w:rPr>
        <w:annotationRef/>
      </w:r>
      <w:r>
        <w:t>A compléter par Pierre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A76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6308" w16cex:dateUtc="2025-06-16T0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A76B1" w16cid:durableId="2BFA63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14A24" w14:textId="77777777" w:rsidR="0063228F" w:rsidRDefault="0063228F" w:rsidP="004F71CF">
      <w:pPr>
        <w:spacing w:after="0" w:line="240" w:lineRule="auto"/>
      </w:pPr>
      <w:r>
        <w:separator/>
      </w:r>
    </w:p>
  </w:endnote>
  <w:endnote w:type="continuationSeparator" w:id="0">
    <w:p w14:paraId="497EBAD2" w14:textId="77777777" w:rsidR="0063228F" w:rsidRDefault="0063228F"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0E63D" w14:textId="77777777" w:rsidR="0063228F" w:rsidRDefault="0063228F" w:rsidP="004F71CF">
      <w:pPr>
        <w:spacing w:after="0" w:line="240" w:lineRule="auto"/>
      </w:pPr>
      <w:r>
        <w:separator/>
      </w:r>
    </w:p>
  </w:footnote>
  <w:footnote w:type="continuationSeparator" w:id="0">
    <w:p w14:paraId="4DD69F13" w14:textId="77777777" w:rsidR="0063228F" w:rsidRDefault="0063228F"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CC08D3"/>
    <w:multiLevelType w:val="multilevel"/>
    <w:tmpl w:val="8D403B86"/>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4928"/>
    <w:rsid w:val="000C53BA"/>
    <w:rsid w:val="000C6474"/>
    <w:rsid w:val="000C78F3"/>
    <w:rsid w:val="000D2592"/>
    <w:rsid w:val="000D265C"/>
    <w:rsid w:val="000D3C64"/>
    <w:rsid w:val="000D4455"/>
    <w:rsid w:val="000D4B12"/>
    <w:rsid w:val="000D626B"/>
    <w:rsid w:val="000D6A2E"/>
    <w:rsid w:val="000E0616"/>
    <w:rsid w:val="000E17E5"/>
    <w:rsid w:val="000E1807"/>
    <w:rsid w:val="000E2D88"/>
    <w:rsid w:val="000E3851"/>
    <w:rsid w:val="000E3BB5"/>
    <w:rsid w:val="000E5564"/>
    <w:rsid w:val="000F4EBB"/>
    <w:rsid w:val="00100B28"/>
    <w:rsid w:val="00100DE1"/>
    <w:rsid w:val="00101A6F"/>
    <w:rsid w:val="001022B7"/>
    <w:rsid w:val="00102C89"/>
    <w:rsid w:val="00103595"/>
    <w:rsid w:val="001036B8"/>
    <w:rsid w:val="00105049"/>
    <w:rsid w:val="00106AF2"/>
    <w:rsid w:val="0011139E"/>
    <w:rsid w:val="00112C83"/>
    <w:rsid w:val="00112D63"/>
    <w:rsid w:val="001137EF"/>
    <w:rsid w:val="0011500E"/>
    <w:rsid w:val="00117237"/>
    <w:rsid w:val="00120253"/>
    <w:rsid w:val="00121D18"/>
    <w:rsid w:val="001224FA"/>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B63"/>
    <w:rsid w:val="00165C75"/>
    <w:rsid w:val="00166CA3"/>
    <w:rsid w:val="00167AF1"/>
    <w:rsid w:val="001725DA"/>
    <w:rsid w:val="001732D8"/>
    <w:rsid w:val="001752CC"/>
    <w:rsid w:val="0018046F"/>
    <w:rsid w:val="001815EC"/>
    <w:rsid w:val="00182221"/>
    <w:rsid w:val="00185300"/>
    <w:rsid w:val="00190916"/>
    <w:rsid w:val="00191331"/>
    <w:rsid w:val="00193F74"/>
    <w:rsid w:val="0019619A"/>
    <w:rsid w:val="001A2764"/>
    <w:rsid w:val="001A3BC3"/>
    <w:rsid w:val="001A3F1D"/>
    <w:rsid w:val="001A47C4"/>
    <w:rsid w:val="001A542D"/>
    <w:rsid w:val="001A71B8"/>
    <w:rsid w:val="001A7ED5"/>
    <w:rsid w:val="001B0712"/>
    <w:rsid w:val="001B3911"/>
    <w:rsid w:val="001B4EFC"/>
    <w:rsid w:val="001B65CC"/>
    <w:rsid w:val="001B6AB7"/>
    <w:rsid w:val="001B7A28"/>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097B"/>
    <w:rsid w:val="002137CC"/>
    <w:rsid w:val="00213E0C"/>
    <w:rsid w:val="00220FFB"/>
    <w:rsid w:val="002256B3"/>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2CF6"/>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35B"/>
    <w:rsid w:val="00305984"/>
    <w:rsid w:val="00306112"/>
    <w:rsid w:val="00307945"/>
    <w:rsid w:val="00310D0D"/>
    <w:rsid w:val="0031177B"/>
    <w:rsid w:val="0031538C"/>
    <w:rsid w:val="00315902"/>
    <w:rsid w:val="00320EBB"/>
    <w:rsid w:val="00321EFF"/>
    <w:rsid w:val="003237F0"/>
    <w:rsid w:val="00324394"/>
    <w:rsid w:val="003266FB"/>
    <w:rsid w:val="00326BCB"/>
    <w:rsid w:val="00326E8F"/>
    <w:rsid w:val="00330255"/>
    <w:rsid w:val="003306B4"/>
    <w:rsid w:val="00335349"/>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58CD"/>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A9C"/>
    <w:rsid w:val="00434D7D"/>
    <w:rsid w:val="00435599"/>
    <w:rsid w:val="00437037"/>
    <w:rsid w:val="0044185E"/>
    <w:rsid w:val="004418A5"/>
    <w:rsid w:val="00443B00"/>
    <w:rsid w:val="00446BFC"/>
    <w:rsid w:val="00447025"/>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A7DB5"/>
    <w:rsid w:val="004B0A81"/>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DB4"/>
    <w:rsid w:val="00523E94"/>
    <w:rsid w:val="00524C36"/>
    <w:rsid w:val="005278F1"/>
    <w:rsid w:val="00530EAD"/>
    <w:rsid w:val="00534560"/>
    <w:rsid w:val="00536BD0"/>
    <w:rsid w:val="00536C1D"/>
    <w:rsid w:val="005375A2"/>
    <w:rsid w:val="0054205B"/>
    <w:rsid w:val="00544F3C"/>
    <w:rsid w:val="00547D25"/>
    <w:rsid w:val="00547F07"/>
    <w:rsid w:val="00552878"/>
    <w:rsid w:val="00552E0E"/>
    <w:rsid w:val="005534FC"/>
    <w:rsid w:val="00553DCA"/>
    <w:rsid w:val="00554466"/>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211A"/>
    <w:rsid w:val="0060369B"/>
    <w:rsid w:val="00606999"/>
    <w:rsid w:val="00610EC2"/>
    <w:rsid w:val="006116B3"/>
    <w:rsid w:val="006137D2"/>
    <w:rsid w:val="006176F0"/>
    <w:rsid w:val="006178E8"/>
    <w:rsid w:val="00621371"/>
    <w:rsid w:val="0062289E"/>
    <w:rsid w:val="006258F4"/>
    <w:rsid w:val="006267D9"/>
    <w:rsid w:val="00627231"/>
    <w:rsid w:val="0063228F"/>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A5A6A"/>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B74"/>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4D06"/>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7C3"/>
    <w:rsid w:val="008D4BD9"/>
    <w:rsid w:val="008D75E7"/>
    <w:rsid w:val="008D7E6C"/>
    <w:rsid w:val="008E17D4"/>
    <w:rsid w:val="008E1F10"/>
    <w:rsid w:val="008E29E7"/>
    <w:rsid w:val="008E72AD"/>
    <w:rsid w:val="008E7824"/>
    <w:rsid w:val="008F268E"/>
    <w:rsid w:val="008F3242"/>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159"/>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5169"/>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A6374"/>
    <w:rsid w:val="009B168F"/>
    <w:rsid w:val="009B2B3D"/>
    <w:rsid w:val="009B436F"/>
    <w:rsid w:val="009B4E04"/>
    <w:rsid w:val="009B6639"/>
    <w:rsid w:val="009B7F06"/>
    <w:rsid w:val="009C0B8D"/>
    <w:rsid w:val="009C29C7"/>
    <w:rsid w:val="009C2E3B"/>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152F"/>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1C19"/>
    <w:rsid w:val="00A45044"/>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4BA6"/>
    <w:rsid w:val="00A85360"/>
    <w:rsid w:val="00A941BB"/>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E7399"/>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679"/>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4B7E"/>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879F8"/>
    <w:rsid w:val="00C92B66"/>
    <w:rsid w:val="00C935EF"/>
    <w:rsid w:val="00C958A2"/>
    <w:rsid w:val="00CA09D5"/>
    <w:rsid w:val="00CA56DA"/>
    <w:rsid w:val="00CA6813"/>
    <w:rsid w:val="00CA7753"/>
    <w:rsid w:val="00CB002B"/>
    <w:rsid w:val="00CC3402"/>
    <w:rsid w:val="00CC4258"/>
    <w:rsid w:val="00CC59AD"/>
    <w:rsid w:val="00CC5DFD"/>
    <w:rsid w:val="00CC6D23"/>
    <w:rsid w:val="00CD1AD1"/>
    <w:rsid w:val="00CD2E91"/>
    <w:rsid w:val="00CD4D85"/>
    <w:rsid w:val="00CD5F44"/>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0D70"/>
    <w:rsid w:val="00D322CD"/>
    <w:rsid w:val="00D33118"/>
    <w:rsid w:val="00D3459B"/>
    <w:rsid w:val="00D3521F"/>
    <w:rsid w:val="00D37CC3"/>
    <w:rsid w:val="00D42BD8"/>
    <w:rsid w:val="00D43015"/>
    <w:rsid w:val="00D43FCD"/>
    <w:rsid w:val="00D44793"/>
    <w:rsid w:val="00D44979"/>
    <w:rsid w:val="00D46F1A"/>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9720F"/>
    <w:rsid w:val="00DA030B"/>
    <w:rsid w:val="00DA1DAA"/>
    <w:rsid w:val="00DA43F3"/>
    <w:rsid w:val="00DA488B"/>
    <w:rsid w:val="00DA4A54"/>
    <w:rsid w:val="00DA4FA3"/>
    <w:rsid w:val="00DA77C2"/>
    <w:rsid w:val="00DA783A"/>
    <w:rsid w:val="00DB2861"/>
    <w:rsid w:val="00DB4E69"/>
    <w:rsid w:val="00DB5D45"/>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3168"/>
    <w:rsid w:val="00E25804"/>
    <w:rsid w:val="00E30637"/>
    <w:rsid w:val="00E31612"/>
    <w:rsid w:val="00E31645"/>
    <w:rsid w:val="00E3169C"/>
    <w:rsid w:val="00E34838"/>
    <w:rsid w:val="00E34D0C"/>
    <w:rsid w:val="00E37600"/>
    <w:rsid w:val="00E41F81"/>
    <w:rsid w:val="00E4313B"/>
    <w:rsid w:val="00E47674"/>
    <w:rsid w:val="00E50086"/>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0E50"/>
    <w:rsid w:val="00EB1EA1"/>
    <w:rsid w:val="00EB2EE3"/>
    <w:rsid w:val="00EB325C"/>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0E5"/>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0CE"/>
    <w:rsid w:val="00F941A4"/>
    <w:rsid w:val="00F97722"/>
    <w:rsid w:val="00F97A80"/>
    <w:rsid w:val="00FA23AA"/>
    <w:rsid w:val="00FA2B45"/>
    <w:rsid w:val="00FA2BDA"/>
    <w:rsid w:val="00FA5858"/>
    <w:rsid w:val="00FA59AC"/>
    <w:rsid w:val="00FA6215"/>
    <w:rsid w:val="00FB2D7A"/>
    <w:rsid w:val="00FB623E"/>
    <w:rsid w:val="00FB7468"/>
    <w:rsid w:val="00FB7C06"/>
    <w:rsid w:val="00FC0459"/>
    <w:rsid w:val="00FC19C7"/>
    <w:rsid w:val="00FC2A6B"/>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3615"/>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60211A"/>
    <w:pPr>
      <w:numPr>
        <w:numId w:val="1"/>
      </w:numPr>
      <w:spacing w:before="480" w:after="240"/>
      <w:outlineLvl w:val="0"/>
    </w:pPr>
    <w:rPr>
      <w:rFonts w:ascii="Calibri" w:eastAsiaTheme="majorEastAsia" w:hAnsi="Calibri" w:cstheme="majorBidi"/>
      <w:b/>
      <w:bCs/>
      <w:iCs/>
      <w:sz w:val="32"/>
      <w:szCs w:val="36"/>
      <w:lang w:val="en-US"/>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9A6374"/>
    <w:pPr>
      <w:spacing w:before="280"/>
      <w:outlineLvl w:val="3"/>
    </w:pPr>
    <w:rPr>
      <w:rFonts w:eastAsiaTheme="majorEastAsia" w:cstheme="majorBidi"/>
      <w:b/>
      <w:bCs/>
      <w:i/>
      <w:iCs/>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60211A"/>
    <w:rPr>
      <w:rFonts w:ascii="Calibri" w:eastAsiaTheme="majorEastAsia" w:hAnsi="Calibri" w:cstheme="majorBidi"/>
      <w:b/>
      <w:bCs/>
      <w:iCs/>
      <w:sz w:val="32"/>
      <w:szCs w:val="36"/>
      <w:lang w:val="en-US"/>
    </w:rPr>
  </w:style>
  <w:style w:type="character" w:customStyle="1" w:styleId="Titre2Car">
    <w:name w:val="Titre 2 Car"/>
    <w:basedOn w:val="Policepardfaut"/>
    <w:link w:val="Titre2"/>
    <w:uiPriority w:val="9"/>
    <w:rsid w:val="001A7ED5"/>
    <w:rPr>
      <w:rFonts w:ascii="Calibri" w:eastAsiaTheme="majorEastAsia" w:hAnsi="Calibri" w:cstheme="majorBidi"/>
      <w:b/>
      <w:bCs/>
      <w:iCs/>
      <w:sz w:val="32"/>
      <w:szCs w:val="36"/>
      <w:lang w:val="en-US"/>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9A6374"/>
    <w:rPr>
      <w:rFonts w:eastAsiaTheme="majorEastAsia" w:cstheme="majorBidi"/>
      <w:b/>
      <w:bCs/>
      <w:i/>
      <w:iCs/>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32"/>
      <w:szCs w:val="36"/>
      <w:lang w:val="en-US"/>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7533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
      <w:docPartPr>
        <w:name w:val="F71F5BF45A1A40C9A8DEFF41CBC43F48"/>
        <w:category>
          <w:name w:val="Général"/>
          <w:gallery w:val="placeholder"/>
        </w:category>
        <w:types>
          <w:type w:val="bbPlcHdr"/>
        </w:types>
        <w:behaviors>
          <w:behavior w:val="content"/>
        </w:behaviors>
        <w:guid w:val="{FD075C7B-8302-4CB3-A8D5-450C12F5C0C4}"/>
      </w:docPartPr>
      <w:docPartBody>
        <w:p w:rsidR="00000000" w:rsidRDefault="0088172B" w:rsidP="0088172B">
          <w:pPr>
            <w:pStyle w:val="F71F5BF45A1A40C9A8DEFF41CBC43F48"/>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23C3C"/>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8172B"/>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 w:type="paragraph" w:customStyle="1" w:styleId="CE9F6FD4DAB0442E995983792FAF7591">
    <w:name w:val="CE9F6FD4DAB0442E995983792FAF7591"/>
    <w:rsid w:val="0088172B"/>
    <w:pPr>
      <w:spacing w:line="259" w:lineRule="auto"/>
    </w:pPr>
    <w:rPr>
      <w:kern w:val="0"/>
      <w:sz w:val="22"/>
      <w:szCs w:val="22"/>
      <w:lang w:val="fr-FR" w:eastAsia="fr-FR"/>
      <w14:ligatures w14:val="none"/>
    </w:rPr>
  </w:style>
  <w:style w:type="paragraph" w:customStyle="1" w:styleId="F71F5BF45A1A40C9A8DEFF41CBC43F48">
    <w:name w:val="F71F5BF45A1A40C9A8DEFF41CBC43F48"/>
    <w:rsid w:val="0088172B"/>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81428</TotalTime>
  <Pages>33</Pages>
  <Words>71532</Words>
  <Characters>393431</Characters>
  <Application>Microsoft Office Word</Application>
  <DocSecurity>0</DocSecurity>
  <Lines>3278</Lines>
  <Paragraphs>928</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464035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176</cp:revision>
  <dcterms:created xsi:type="dcterms:W3CDTF">2020-10-07T13:02:00Z</dcterms:created>
  <dcterms:modified xsi:type="dcterms:W3CDTF">2025-06-17T09:45:00Z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