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381ECF">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381ECF">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381ECF">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381ECF">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381ECF">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381ECF">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381ECF">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381ECF">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381ECF">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381ECF">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381ECF">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381ECF">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381ECF">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381ECF">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381ECF">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381ECF">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381ECF">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381ECF">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381ECF">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381ECF">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381ECF">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381ECF">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381ECF">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381ECF">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381ECF">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381ECF">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381ECF">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381ECF">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381ECF">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381ECF">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381ECF">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381ECF">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381ECF">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381ECF">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381ECF">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381ECF">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381ECF">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381ECF">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381ECF">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381ECF">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381ECF">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381ECF">
      <w:pPr>
        <w:pStyle w:val="Titre1"/>
        <w:numPr>
          <w:ilvl w:val="0"/>
          <w:numId w:val="6"/>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60B14EDD"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w:t>
      </w:r>
      <w:r w:rsidR="00B233B1">
        <w:rPr>
          <w:highlight w:val="green"/>
          <w:lang w:val="en-US"/>
        </w:rPr>
        <w:lastRenderedPageBreak/>
        <w:t>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Pr="00091EA9" w:rsidRDefault="00F872D1" w:rsidP="00F872D1">
      <w:pPr>
        <w:pStyle w:val="Titre2"/>
        <w:rPr>
          <w:sz w:val="32"/>
          <w:szCs w:val="36"/>
          <w:highlight w:val="green"/>
        </w:rPr>
      </w:pPr>
      <w:bookmarkStart w:id="9" w:name="_Toc199498294"/>
      <w:proofErr w:type="spellStart"/>
      <w:r w:rsidRPr="00091EA9">
        <w:rPr>
          <w:sz w:val="32"/>
          <w:szCs w:val="36"/>
          <w:highlight w:val="green"/>
        </w:rPr>
        <w:t>Dataset</w:t>
      </w:r>
      <w:bookmarkEnd w:id="9"/>
      <w:proofErr w:type="spellEnd"/>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6B3CC158"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B7468">
        <w:rPr>
          <w:highlight w:val="green"/>
          <w:lang w:val="en-US"/>
        </w:rPr>
        <w:t xml:space="preserve">, and </w:t>
      </w:r>
      <w:r w:rsidR="00FB7468">
        <w:rPr>
          <w:highlight w:val="green"/>
          <w:lang w:val="en-US"/>
        </w:rPr>
        <w:t>percentage in stomach content</w:t>
      </w:r>
      <w:r w:rsidR="00FB7468">
        <w:rPr>
          <w:highlight w:val="green"/>
          <w:lang w:val="en-US"/>
        </w:rPr>
        <w:t>s</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44185E" w:rsidRPr="00D94576" w14:paraId="0774BD93" w14:textId="532B05CD" w:rsidTr="0044185E">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44185E" w:rsidRPr="006941E4" w:rsidRDefault="0044185E"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44185E" w:rsidRPr="006941E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44185E" w:rsidRPr="006941E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c>
          <w:tcPr>
            <w:tcW w:w="1134" w:type="dxa"/>
          </w:tcPr>
          <w:p w14:paraId="348A7811" w14:textId="6F01345F" w:rsidR="0044185E"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 </w:t>
            </w:r>
            <w:proofErr w:type="spellStart"/>
            <w:r>
              <w:rPr>
                <w:rFonts w:cstheme="minorHAnsi"/>
                <w:sz w:val="18"/>
                <w:szCs w:val="18"/>
              </w:rPr>
              <w:t>stomach</w:t>
            </w:r>
            <w:proofErr w:type="spellEnd"/>
          </w:p>
        </w:tc>
      </w:tr>
      <w:tr w:rsidR="0044185E" w:rsidRPr="00D94576" w14:paraId="00646BDE" w14:textId="3F2D01E9"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44185E" w:rsidRPr="006941E4" w:rsidRDefault="0044185E"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44185E" w:rsidRPr="006941E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AF2A67" w14:textId="263F0220" w:rsidR="0044185E" w:rsidRPr="006941E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0.59</w:t>
            </w:r>
          </w:p>
        </w:tc>
      </w:tr>
      <w:tr w:rsidR="0044185E" w:rsidRPr="00D94576" w14:paraId="7F6CF18B" w14:textId="26FA7455" w:rsidTr="0044185E">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Pr="006941E4">
              <w:rPr>
                <w:rFonts w:cstheme="minorHAnsi"/>
                <w:sz w:val="18"/>
                <w:szCs w:val="18"/>
              </w:rPr>
              <w:t>0%</w:t>
            </w:r>
          </w:p>
        </w:tc>
        <w:tc>
          <w:tcPr>
            <w:tcW w:w="993" w:type="dxa"/>
          </w:tcPr>
          <w:p w14:paraId="272105F6" w14:textId="5DAE52F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14D9C38" w14:textId="0D78908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1.51</w:t>
            </w:r>
          </w:p>
        </w:tc>
      </w:tr>
      <w:tr w:rsidR="0044185E" w:rsidRPr="00D94576" w14:paraId="6A8C05D1" w14:textId="496F0B27" w:rsidTr="0044185E">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40BA5EB" w14:textId="35E37F67" w:rsidR="0044185E"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FE732B2" w14:textId="0DE8FE8B" w:rsidTr="0044185E">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E79C9A0" w14:textId="739B552D"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9C1801E" w14:textId="6138E2A1" w:rsidTr="0044185E">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5E5B1CB8" w14:textId="291F997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738E992C" w14:textId="68699DB3" w:rsidTr="0044185E">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36D3DA95" w14:textId="4108E651" w:rsidR="0044185E"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17E9D4D1" w14:textId="787557F3" w:rsidTr="0044185E">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48BBEC9A" w14:textId="3416DE9A" w:rsidR="0044185E"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0.03</w:t>
            </w:r>
          </w:p>
        </w:tc>
      </w:tr>
      <w:tr w:rsidR="0044185E" w:rsidRPr="00D94576" w14:paraId="3CAA0829" w14:textId="6C70BC5D" w:rsidTr="0044185E">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3BF7359F" w14:textId="1ED1C59B" w:rsidR="0044185E"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59C8435C" w14:textId="15D0D5BA" w:rsidTr="0044185E">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44185E" w:rsidRPr="006941E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07A4068F" w14:textId="6F6F6064" w:rsidR="0044185E" w:rsidRDefault="00FB7468"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0.06</w:t>
            </w:r>
          </w:p>
        </w:tc>
      </w:tr>
      <w:tr w:rsidR="0044185E" w:rsidRPr="00D94576" w14:paraId="70400FEC" w14:textId="3A9C4217" w:rsidTr="0044185E">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7A0314B" w14:textId="6C6DDCE8"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11.46</w:t>
            </w:r>
          </w:p>
        </w:tc>
      </w:tr>
      <w:tr w:rsidR="0044185E" w:rsidRPr="00D94576" w14:paraId="4BC1E40E" w14:textId="778FC1EA" w:rsidTr="0044185E">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10F2CA3" w14:textId="2DE633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1.59</w:t>
            </w:r>
          </w:p>
        </w:tc>
      </w:tr>
      <w:tr w:rsidR="0044185E" w:rsidRPr="00D94576" w14:paraId="1B342A9B" w14:textId="1E304228" w:rsidTr="0044185E">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C66C34F" w14:textId="28544E43"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24341768" w14:textId="4D5F922D" w:rsidTr="0044185E">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6677B870" w14:textId="1A079776"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0.53</w:t>
            </w:r>
          </w:p>
        </w:tc>
      </w:tr>
      <w:tr w:rsidR="0044185E" w:rsidRPr="00D94576" w14:paraId="3A5D205B" w14:textId="19EB96B4" w:rsidTr="0044185E">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E012E16" w14:textId="52024B84"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0.18</w:t>
            </w:r>
          </w:p>
        </w:tc>
      </w:tr>
      <w:tr w:rsidR="0044185E" w:rsidRPr="00D94576" w14:paraId="17F41A24" w14:textId="0E51F2C3"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44185E" w:rsidRPr="006941E4" w:rsidRDefault="0044185E"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8DAE48C" w14:textId="786FDC55" w:rsidR="0044185E" w:rsidRPr="006941E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w:t>
            </w:r>
          </w:p>
        </w:tc>
      </w:tr>
      <w:tr w:rsidR="0044185E" w:rsidRPr="00D94576" w14:paraId="1C89B306" w14:textId="007EDA88" w:rsidTr="0044185E">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44185E" w:rsidRPr="006941E4" w:rsidRDefault="0044185E"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44185E" w:rsidRPr="006941E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44185E" w:rsidRPr="006941E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D9236B3" w14:textId="42EE25B9" w:rsidR="0044185E" w:rsidRPr="006941E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0.44</w:t>
            </w:r>
          </w:p>
        </w:tc>
      </w:tr>
      <w:tr w:rsidR="0044185E" w:rsidRPr="00D94576" w14:paraId="1F463DC6" w14:textId="0D4939B6"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44185E" w:rsidRPr="006941E4" w:rsidRDefault="0044185E"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44185E" w:rsidRPr="006941E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44185E" w:rsidRPr="006941E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4D37C170" w14:textId="757D2DF6" w:rsidR="0044185E"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NA</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54CFEDF" w:rsidR="00D94576" w:rsidRPr="007B3B74" w:rsidRDefault="00D94576" w:rsidP="00B364F5">
      <w:pPr>
        <w:rPr>
          <w:highlight w:val="green"/>
          <w:lang w:val="en-US"/>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w:t>
      </w:r>
      <w:r w:rsidRPr="00D94576">
        <w:rPr>
          <w:highlight w:val="green"/>
          <w:lang w:val="en-GB"/>
        </w:rPr>
        <w:lastRenderedPageBreak/>
        <w:t xml:space="preserve">assess their relative abundance. The prey items found in the stomachs were used to reconstruct the 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w:t>
      </w:r>
      <w:r w:rsidR="00681046">
        <w:rPr>
          <w:highlight w:val="green"/>
          <w:lang w:val="en-GB"/>
        </w:rPr>
        <w:t xml:space="preserve">taxonomic </w:t>
      </w:r>
      <w:r w:rsidRPr="00D94576">
        <w:rPr>
          <w:highlight w:val="green"/>
          <w:lang w:val="en-GB"/>
        </w:rPr>
        <w:t xml:space="preserve">group, divided by the total number of identified </w:t>
      </w:r>
      <w:r w:rsidRPr="00681046">
        <w:rPr>
          <w:highlight w:val="green"/>
          <w:lang w:val="en-GB"/>
        </w:rPr>
        <w:t>prey</w:t>
      </w:r>
      <w:r w:rsidR="007B3B74">
        <w:rPr>
          <w:highlight w:val="green"/>
          <w:lang w:val="en-GB"/>
        </w:rPr>
        <w:t xml:space="preserve"> individuals</w:t>
      </w:r>
      <w:r w:rsidRPr="00681046">
        <w:rPr>
          <w:highlight w:val="green"/>
          <w:lang w:val="en-GB"/>
        </w:rPr>
        <w:t>.</w:t>
      </w:r>
      <w:r w:rsidR="00681046" w:rsidRPr="00681046">
        <w:rPr>
          <w:highlight w:val="green"/>
          <w:lang w:val="en-US"/>
        </w:rPr>
        <w:t xml:space="preserve"> </w:t>
      </w:r>
      <w:r w:rsidR="00681046" w:rsidRPr="00681046">
        <w:rPr>
          <w:highlight w:val="green"/>
          <w:lang w:val="en-US"/>
        </w:rPr>
        <w:t xml:space="preserve">The resulting diet composition consisted of </w:t>
      </w:r>
      <w:r w:rsidR="00035095">
        <w:rPr>
          <w:highlight w:val="green"/>
          <w:lang w:val="en-US"/>
        </w:rPr>
        <w:t>51</w:t>
      </w:r>
      <w:r w:rsidR="00035095" w:rsidRPr="00681046">
        <w:rPr>
          <w:highlight w:val="green"/>
          <w:lang w:val="en-US"/>
        </w:rPr>
        <w:t xml:space="preserve">% arthropods, </w:t>
      </w:r>
      <w:r w:rsidR="00035095">
        <w:rPr>
          <w:highlight w:val="green"/>
          <w:lang w:val="en-US"/>
        </w:rPr>
        <w:t>33</w:t>
      </w:r>
      <w:r w:rsidR="00681046" w:rsidRPr="00681046">
        <w:rPr>
          <w:highlight w:val="green"/>
          <w:lang w:val="en-US"/>
        </w:rPr>
        <w:t xml:space="preserve">% annelids, and </w:t>
      </w:r>
      <w:r w:rsidR="00035095">
        <w:rPr>
          <w:highlight w:val="green"/>
          <w:lang w:val="en-US"/>
        </w:rPr>
        <w:t>16</w:t>
      </w:r>
      <w:r w:rsidR="00681046" w:rsidRPr="00681046">
        <w:rPr>
          <w:highlight w:val="green"/>
          <w:lang w:val="en-US"/>
        </w:rPr>
        <w:t xml:space="preserve">% </w:t>
      </w:r>
      <w:proofErr w:type="spellStart"/>
      <w:r w:rsidR="00681046" w:rsidRPr="00681046">
        <w:rPr>
          <w:highlight w:val="green"/>
          <w:lang w:val="en-US"/>
        </w:rPr>
        <w:t>molluscs</w:t>
      </w:r>
      <w:proofErr w:type="spellEnd"/>
      <w:r w:rsidR="00681046" w:rsidRPr="00681046">
        <w:rPr>
          <w:highlight w:val="green"/>
          <w:lang w:val="en-US"/>
        </w:rPr>
        <w:t>.</w:t>
      </w:r>
      <w:r w:rsidR="007B3B74">
        <w:rPr>
          <w:lang w:val="en-US"/>
        </w:rPr>
        <w:t xml:space="preserve"> </w:t>
      </w:r>
      <w:r w:rsidR="007B3B74" w:rsidRPr="007B3B74">
        <w:rPr>
          <w:highlight w:val="green"/>
          <w:lang w:val="en-US"/>
        </w:rPr>
        <w:t xml:space="preserve">The diet composition by taxonomic class is represented in </w:t>
      </w:r>
      <w:r w:rsidR="007B3B74" w:rsidRPr="007B3B74">
        <w:rPr>
          <w:highlight w:val="green"/>
          <w:lang w:val="en-US"/>
        </w:rPr>
        <w:fldChar w:fldCharType="begin"/>
      </w:r>
      <w:r w:rsidR="007B3B74" w:rsidRPr="007B3B74">
        <w:rPr>
          <w:highlight w:val="green"/>
          <w:lang w:val="en-US"/>
        </w:rPr>
        <w:instrText xml:space="preserve"> REF _Ref200958565 \h </w:instrText>
      </w:r>
      <w:r w:rsidR="007B3B74" w:rsidRPr="007B3B74">
        <w:rPr>
          <w:highlight w:val="green"/>
          <w:lang w:val="en-US"/>
        </w:rPr>
      </w:r>
      <w:r w:rsidR="007B3B74">
        <w:rPr>
          <w:highlight w:val="green"/>
          <w:lang w:val="en-US"/>
        </w:rPr>
        <w:instrText xml:space="preserve"> \* MERGEFORMAT </w:instrText>
      </w:r>
      <w:r w:rsidR="007B3B74" w:rsidRPr="007B3B74">
        <w:rPr>
          <w:highlight w:val="green"/>
          <w:lang w:val="en-US"/>
        </w:rPr>
        <w:fldChar w:fldCharType="separate"/>
      </w:r>
      <w:r w:rsidR="007B3B74" w:rsidRPr="007B3B74">
        <w:rPr>
          <w:highlight w:val="green"/>
          <w:lang w:val="en-US"/>
        </w:rPr>
        <w:t xml:space="preserve">Figure </w:t>
      </w:r>
      <w:r w:rsidR="007B3B74" w:rsidRPr="007B3B74">
        <w:rPr>
          <w:noProof/>
          <w:highlight w:val="green"/>
          <w:lang w:val="en-US"/>
        </w:rPr>
        <w:t>1</w:t>
      </w:r>
      <w:r w:rsidR="007B3B74" w:rsidRPr="007B3B74">
        <w:rPr>
          <w:highlight w:val="green"/>
          <w:lang w:val="en-US"/>
        </w:rPr>
        <w:fldChar w:fldCharType="end"/>
      </w:r>
      <w:r w:rsidR="007B3B74" w:rsidRPr="007B3B74">
        <w:rPr>
          <w:highlight w:val="green"/>
          <w:lang w:val="en-US"/>
        </w:rPr>
        <w:t xml:space="preserve"> and the detail by species can be found in the SI section 2.1.</w:t>
      </w:r>
      <w:r w:rsidRPr="007B3B74">
        <w:rPr>
          <w:vanish/>
          <w:highlight w:val="green"/>
          <w:lang w:val="en-GB"/>
        </w:rPr>
        <w:t>Haut du formulaire</w:t>
      </w:r>
    </w:p>
    <w:p w14:paraId="7268B81C" w14:textId="77777777" w:rsidR="00E50086" w:rsidRPr="007B3B74" w:rsidRDefault="00E50086" w:rsidP="00E50086">
      <w:pPr>
        <w:keepNext/>
        <w:rPr>
          <w:highlight w:val="green"/>
        </w:rPr>
      </w:pPr>
      <w:r w:rsidRPr="007B3B74">
        <w:rPr>
          <w:noProof/>
          <w:highlight w:val="green"/>
          <w:lang w:val="en-GB"/>
        </w:rPr>
        <w:drawing>
          <wp:inline distT="0" distB="0" distL="0" distR="0" wp14:anchorId="6F9DAA91" wp14:editId="2F5678AF">
            <wp:extent cx="5760508" cy="345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508" cy="3456305"/>
                    </a:xfrm>
                    <a:prstGeom prst="rect">
                      <a:avLst/>
                    </a:prstGeom>
                  </pic:spPr>
                </pic:pic>
              </a:graphicData>
            </a:graphic>
          </wp:inline>
        </w:drawing>
      </w:r>
    </w:p>
    <w:p w14:paraId="404EAA42" w14:textId="500AA918" w:rsidR="00E50086" w:rsidRPr="007B3B74" w:rsidRDefault="00E50086" w:rsidP="00E50086">
      <w:pPr>
        <w:pStyle w:val="Lgende"/>
        <w:rPr>
          <w:highlight w:val="green"/>
          <w:lang w:val="en-US"/>
        </w:rPr>
      </w:pPr>
      <w:bookmarkStart w:id="15" w:name="_Ref200958565"/>
      <w:r w:rsidRPr="007B3B74">
        <w:rPr>
          <w:highlight w:val="green"/>
          <w:lang w:val="en-US"/>
        </w:rPr>
        <w:t xml:space="preserve">Figure </w:t>
      </w:r>
      <w:r w:rsidRPr="007B3B74">
        <w:rPr>
          <w:highlight w:val="green"/>
        </w:rPr>
        <w:fldChar w:fldCharType="begin"/>
      </w:r>
      <w:r w:rsidRPr="007B3B74">
        <w:rPr>
          <w:highlight w:val="green"/>
          <w:lang w:val="en-US"/>
        </w:rPr>
        <w:instrText xml:space="preserve"> SEQ Figure \* ARABIC </w:instrText>
      </w:r>
      <w:r w:rsidRPr="007B3B74">
        <w:rPr>
          <w:highlight w:val="green"/>
        </w:rPr>
        <w:fldChar w:fldCharType="separate"/>
      </w:r>
      <w:r w:rsidRPr="007B3B74">
        <w:rPr>
          <w:noProof/>
          <w:highlight w:val="green"/>
          <w:lang w:val="en-US"/>
        </w:rPr>
        <w:t>1</w:t>
      </w:r>
      <w:r w:rsidRPr="007B3B74">
        <w:rPr>
          <w:highlight w:val="green"/>
        </w:rPr>
        <w:fldChar w:fldCharType="end"/>
      </w:r>
      <w:bookmarkEnd w:id="15"/>
      <w:r w:rsidRPr="007B3B74">
        <w:rPr>
          <w:highlight w:val="green"/>
          <w:lang w:val="en-US"/>
        </w:rPr>
        <w:t xml:space="preserve"> – Diet composition in taxonomic classes for those above 2% in the diet.</w:t>
      </w:r>
    </w:p>
    <w:p w14:paraId="335B9E60" w14:textId="6C131E48" w:rsidR="00443B00" w:rsidRPr="00B364F5" w:rsidRDefault="00D44793" w:rsidP="00EA6329">
      <w:pPr>
        <w:pStyle w:val="Titre3"/>
        <w:rPr>
          <w:highlight w:val="green"/>
        </w:rPr>
      </w:pPr>
      <w:bookmarkStart w:id="16" w:name="_Toc199498297"/>
      <w:r w:rsidRPr="00B364F5">
        <w:rPr>
          <w:highlight w:val="green"/>
        </w:rPr>
        <w:t>Chemical</w:t>
      </w:r>
      <w:bookmarkEnd w:id="16"/>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w:t>
      </w:r>
      <w:proofErr w:type="spellStart"/>
      <w:r w:rsidRPr="00B364F5">
        <w:rPr>
          <w:highlight w:val="green"/>
          <w:lang w:val="en-GB"/>
        </w:rPr>
        <w:t>organohalogenated</w:t>
      </w:r>
      <w:proofErr w:type="spellEnd"/>
      <w:r w:rsidRPr="00B364F5">
        <w:rPr>
          <w:highlight w:val="green"/>
          <w:lang w:val="en-GB"/>
        </w:rPr>
        <w:t xml:space="preserve"> compounds: PCBs</w:t>
      </w:r>
      <w:r w:rsidR="00E94CF0">
        <w:rPr>
          <w:highlight w:val="green"/>
          <w:lang w:val="en-GB"/>
        </w:rPr>
        <w:t xml:space="preserve"> and </w:t>
      </w:r>
      <w:r w:rsidRPr="00B364F5">
        <w:rPr>
          <w:highlight w:val="green"/>
          <w:lang w:val="en-GB"/>
        </w:rPr>
        <w:t xml:space="preserve">PFASs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w:t>
      </w:r>
      <w:commentRangeStart w:id="17"/>
      <w:r w:rsidR="00D42BD8" w:rsidRPr="00B364F5">
        <w:rPr>
          <w:highlight w:val="green"/>
          <w:lang w:val="en-GB"/>
        </w:rPr>
        <w:t xml:space="preserve">section </w:t>
      </w:r>
      <w:r w:rsidR="000C1554" w:rsidRPr="00B364F5">
        <w:rPr>
          <w:highlight w:val="green"/>
          <w:lang w:val="en-GB"/>
        </w:rPr>
        <w:t>1.2.3</w:t>
      </w:r>
      <w:commentRangeEnd w:id="17"/>
      <w:r w:rsidR="007B3B74">
        <w:rPr>
          <w:rStyle w:val="Marquedecommentaire"/>
          <w:rFonts w:eastAsia="Batang" w:cs="Arial"/>
          <w:color w:val="000000"/>
          <w:lang w:eastAsia="fr-FR"/>
        </w:rPr>
        <w:commentReference w:id="17"/>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5B2E09FD"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00DB5D45">
        <w:rPr>
          <w:highlight w:val="green"/>
          <w:lang w:val="en-GB"/>
        </w:rPr>
        <w:t>, the list of the 26 compounds can be found in SI section 1.2.2</w:t>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w:t>
      </w:r>
      <w:r w:rsidR="00236F1B" w:rsidRPr="00B364F5">
        <w:rPr>
          <w:highlight w:val="green"/>
          <w:lang w:val="en-GB"/>
        </w:rPr>
        <w:lastRenderedPageBreak/>
        <w:t xml:space="preserve">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3ABC31FE" w:rsidR="000D3C64" w:rsidRPr="00B364F5" w:rsidRDefault="006941E4" w:rsidP="006941E4">
      <w:pPr>
        <w:pStyle w:val="Lgende"/>
        <w:rPr>
          <w:highlight w:val="green"/>
          <w:lang w:val="en-GB"/>
        </w:rPr>
      </w:pPr>
      <w:bookmarkStart w:id="18"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8"/>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496875"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41755D" w:rsidRPr="00496875"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496875">
              <w:rPr>
                <w:rFonts w:ascii="Calibri Light" w:eastAsia="Times New Roman" w:hAnsi="Calibri Light" w:cs="Calibri Light"/>
                <w:color w:val="FFFFFF"/>
                <w:sz w:val="18"/>
                <w:szCs w:val="18"/>
                <w:lang w:val="en-US" w:eastAsia="fr-FR"/>
              </w:rPr>
              <w:t>nC</w:t>
            </w:r>
            <w:proofErr w:type="spellEnd"/>
          </w:p>
        </w:tc>
        <w:tc>
          <w:tcPr>
            <w:tcW w:w="520"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41755D" w:rsidRPr="00496875"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496875" w:rsidRDefault="00DB5D45" w:rsidP="00BC3004">
            <w:pPr>
              <w:pStyle w:val="Sansinterligne"/>
              <w:rPr>
                <w:lang w:val="en-US" w:eastAsia="fr-FR"/>
              </w:rPr>
            </w:pPr>
            <w:r w:rsidRPr="00496875">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21B1514" w14:textId="2BB2B2B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PFNA</w:t>
            </w:r>
          </w:p>
        </w:tc>
        <w:tc>
          <w:tcPr>
            <w:tcW w:w="1668" w:type="pct"/>
            <w:vAlign w:val="center"/>
          </w:tcPr>
          <w:p w14:paraId="5E070C7E" w14:textId="1DAC3AB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41B1652E" w14:textId="7355643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9</w:t>
            </w:r>
          </w:p>
        </w:tc>
        <w:tc>
          <w:tcPr>
            <w:tcW w:w="520" w:type="pct"/>
            <w:shd w:val="clear" w:color="auto" w:fill="auto"/>
            <w:vAlign w:val="bottom"/>
          </w:tcPr>
          <w:p w14:paraId="4D837B77" w14:textId="3D3B11EC"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91</w:t>
            </w:r>
          </w:p>
        </w:tc>
        <w:tc>
          <w:tcPr>
            <w:tcW w:w="626" w:type="pct"/>
            <w:shd w:val="clear" w:color="auto" w:fill="auto"/>
            <w:vAlign w:val="bottom"/>
          </w:tcPr>
          <w:p w14:paraId="48245155" w14:textId="2BD1FF0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C4F54AA" w14:textId="4239D5E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93</w:t>
            </w:r>
          </w:p>
        </w:tc>
      </w:tr>
      <w:tr w:rsidR="0041755D" w:rsidRPr="00496875"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PFUnDA</w:t>
            </w:r>
            <w:proofErr w:type="spellEnd"/>
          </w:p>
        </w:tc>
        <w:tc>
          <w:tcPr>
            <w:tcW w:w="1668" w:type="pct"/>
            <w:vAlign w:val="center"/>
          </w:tcPr>
          <w:p w14:paraId="2C907874" w14:textId="1A6EC17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296FDB2D" w14:textId="26004EA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11</w:t>
            </w:r>
          </w:p>
        </w:tc>
        <w:tc>
          <w:tcPr>
            <w:tcW w:w="520" w:type="pct"/>
            <w:shd w:val="clear" w:color="auto" w:fill="auto"/>
            <w:vAlign w:val="bottom"/>
          </w:tcPr>
          <w:p w14:paraId="43382204" w14:textId="3E0C553F"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9</w:t>
            </w:r>
          </w:p>
        </w:tc>
        <w:tc>
          <w:tcPr>
            <w:tcW w:w="626" w:type="pct"/>
            <w:shd w:val="clear" w:color="auto" w:fill="auto"/>
            <w:vAlign w:val="bottom"/>
          </w:tcPr>
          <w:p w14:paraId="5B7DD708" w14:textId="7C90E88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PFDoDA</w:t>
            </w:r>
            <w:proofErr w:type="spellEnd"/>
          </w:p>
        </w:tc>
        <w:tc>
          <w:tcPr>
            <w:tcW w:w="1668" w:type="pct"/>
            <w:tcBorders>
              <w:top w:val="none" w:sz="0" w:space="0" w:color="auto"/>
              <w:bottom w:val="none" w:sz="0" w:space="0" w:color="auto"/>
            </w:tcBorders>
            <w:vAlign w:val="center"/>
          </w:tcPr>
          <w:p w14:paraId="1B448BEB" w14:textId="5C98B79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242F73E6" w14:textId="69C7022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100</w:t>
            </w:r>
          </w:p>
        </w:tc>
      </w:tr>
      <w:tr w:rsidR="0041755D" w:rsidRPr="00496875"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PFTrDA</w:t>
            </w:r>
            <w:proofErr w:type="spellEnd"/>
          </w:p>
        </w:tc>
        <w:tc>
          <w:tcPr>
            <w:tcW w:w="1668" w:type="pct"/>
            <w:vAlign w:val="center"/>
          </w:tcPr>
          <w:p w14:paraId="502082BF" w14:textId="09C055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36B8C258" w14:textId="32A7BCD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13</w:t>
            </w:r>
          </w:p>
        </w:tc>
        <w:tc>
          <w:tcPr>
            <w:tcW w:w="520" w:type="pct"/>
            <w:shd w:val="clear" w:color="auto" w:fill="auto"/>
            <w:vAlign w:val="bottom"/>
          </w:tcPr>
          <w:p w14:paraId="69047532" w14:textId="5B55F015"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2</w:t>
            </w:r>
          </w:p>
        </w:tc>
        <w:tc>
          <w:tcPr>
            <w:tcW w:w="626" w:type="pct"/>
            <w:shd w:val="clear" w:color="auto" w:fill="auto"/>
            <w:vAlign w:val="bottom"/>
          </w:tcPr>
          <w:p w14:paraId="6B10E716" w14:textId="2B650F1F"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87</w:t>
            </w:r>
          </w:p>
        </w:tc>
      </w:tr>
      <w:tr w:rsidR="0041755D" w:rsidRPr="00496875"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PFTeDA</w:t>
            </w:r>
            <w:proofErr w:type="spellEnd"/>
          </w:p>
        </w:tc>
        <w:tc>
          <w:tcPr>
            <w:tcW w:w="1668" w:type="pct"/>
            <w:tcBorders>
              <w:top w:val="none" w:sz="0" w:space="0" w:color="auto"/>
              <w:bottom w:val="none" w:sz="0" w:space="0" w:color="auto"/>
            </w:tcBorders>
            <w:vAlign w:val="bottom"/>
          </w:tcPr>
          <w:p w14:paraId="08A2497D" w14:textId="485F1B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43AFF3AB" w14:textId="03AF10E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40</w:t>
            </w:r>
          </w:p>
        </w:tc>
      </w:tr>
      <w:tr w:rsidR="0041755D" w:rsidRPr="00496875"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496875" w:rsidRDefault="00DB5D45" w:rsidP="00BC3004">
            <w:pPr>
              <w:pStyle w:val="Sansinterligne"/>
              <w:rPr>
                <w:lang w:val="en-US" w:eastAsia="fr-FR"/>
              </w:rPr>
            </w:pPr>
            <w:r w:rsidRPr="00496875">
              <w:rPr>
                <w:lang w:val="en-US" w:eastAsia="fr-FR"/>
              </w:rPr>
              <w:t>PFSA</w:t>
            </w:r>
          </w:p>
        </w:tc>
        <w:tc>
          <w:tcPr>
            <w:tcW w:w="833" w:type="pct"/>
            <w:shd w:val="clear" w:color="auto" w:fill="auto"/>
            <w:noWrap/>
            <w:vAlign w:val="center"/>
            <w:hideMark/>
          </w:tcPr>
          <w:p w14:paraId="35A2445B" w14:textId="39046E5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668" w:type="pct"/>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416" w:type="pct"/>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4910E71A" w14:textId="2B1C621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shd w:val="clear" w:color="auto" w:fill="auto"/>
            <w:vAlign w:val="bottom"/>
          </w:tcPr>
          <w:p w14:paraId="287EBDFF" w14:textId="77777777"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668" w:type="pct"/>
            <w:tcBorders>
              <w:top w:val="none" w:sz="0" w:space="0" w:color="auto"/>
              <w:bottom w:val="none" w:sz="0" w:space="0" w:color="auto"/>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87</w:t>
            </w:r>
          </w:p>
        </w:tc>
      </w:tr>
      <w:tr w:rsidR="0041755D" w:rsidRPr="00496875"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833" w:type="pct"/>
            <w:shd w:val="clear" w:color="auto" w:fill="auto"/>
            <w:noWrap/>
            <w:vAlign w:val="center"/>
            <w:hideMark/>
          </w:tcPr>
          <w:p w14:paraId="5D30F483" w14:textId="6763568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w:t>
            </w:r>
          </w:p>
        </w:tc>
        <w:tc>
          <w:tcPr>
            <w:tcW w:w="1668" w:type="pct"/>
          </w:tcPr>
          <w:p w14:paraId="0D7746BE" w14:textId="12100D1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416" w:type="pct"/>
            <w:shd w:val="clear" w:color="auto" w:fill="auto"/>
          </w:tcPr>
          <w:p w14:paraId="24214C3D" w14:textId="3B21BB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2C768086" w14:textId="55313211"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1</w:t>
            </w:r>
          </w:p>
        </w:tc>
        <w:tc>
          <w:tcPr>
            <w:tcW w:w="626" w:type="pct"/>
            <w:shd w:val="clear" w:color="auto" w:fill="auto"/>
            <w:vAlign w:val="bottom"/>
          </w:tcPr>
          <w:p w14:paraId="592D6FA4" w14:textId="3E7E822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w:t>
            </w:r>
            <w:r w:rsidR="00893273" w:rsidRPr="0041755D">
              <w:rPr>
                <w:lang w:val="en-US" w:eastAsia="fr-FR"/>
              </w:rPr>
              <w:t>3</w:t>
            </w:r>
          </w:p>
        </w:tc>
      </w:tr>
      <w:tr w:rsidR="0041755D" w:rsidRPr="00496875"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496875" w:rsidRDefault="00DB5D45" w:rsidP="00DB5D45">
            <w:pPr>
              <w:pStyle w:val="Sansinterligne"/>
              <w:rPr>
                <w:lang w:val="en-US" w:eastAsia="fr-FR"/>
              </w:rPr>
            </w:pPr>
            <w:r w:rsidRPr="00496875">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EtFOSAA</w:t>
            </w:r>
            <w:proofErr w:type="spellEnd"/>
          </w:p>
        </w:tc>
        <w:tc>
          <w:tcPr>
            <w:tcW w:w="1668" w:type="pct"/>
            <w:tcBorders>
              <w:top w:val="none" w:sz="0" w:space="0" w:color="auto"/>
              <w:bottom w:val="none" w:sz="0" w:space="0" w:color="auto"/>
            </w:tcBorders>
          </w:tcPr>
          <w:p w14:paraId="73A0D19D" w14:textId="2C3136A2"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proofErr w:type="gramStart"/>
            <w:r w:rsidRPr="00496875">
              <w:rPr>
                <w:vertAlign w:val="subscript"/>
                <w:lang w:val="en-US" w:eastAsia="fr-FR"/>
              </w:rPr>
              <w:t>5</w:t>
            </w:r>
            <w:r w:rsidRPr="00496875">
              <w:rPr>
                <w:lang w:val="en-US" w:eastAsia="fr-FR"/>
              </w:rPr>
              <w:t>)CH</w:t>
            </w:r>
            <w:proofErr w:type="gramEnd"/>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73</w:t>
            </w:r>
          </w:p>
        </w:tc>
      </w:tr>
      <w:tr w:rsidR="0041755D" w:rsidRPr="00496875"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496875" w:rsidRDefault="00DB5D45" w:rsidP="00DB5D45">
            <w:pPr>
              <w:pStyle w:val="Sansinterligne"/>
              <w:rPr>
                <w:lang w:val="en-US" w:eastAsia="fr-FR"/>
              </w:rPr>
            </w:pPr>
            <w:r w:rsidRPr="00496875">
              <w:rPr>
                <w:lang w:val="en-US" w:eastAsia="fr-FR"/>
              </w:rPr>
              <w:t>FTS</w:t>
            </w:r>
          </w:p>
        </w:tc>
        <w:tc>
          <w:tcPr>
            <w:tcW w:w="833" w:type="pct"/>
            <w:shd w:val="clear" w:color="auto" w:fill="auto"/>
            <w:noWrap/>
            <w:vAlign w:val="center"/>
            <w:hideMark/>
          </w:tcPr>
          <w:p w14:paraId="226B75A6" w14:textId="0909E36C"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8:2-FTS</w:t>
            </w:r>
            <w:r>
              <w:rPr>
                <w:lang w:val="en-US" w:eastAsia="fr-FR"/>
              </w:rPr>
              <w:t>A</w:t>
            </w:r>
          </w:p>
        </w:tc>
        <w:tc>
          <w:tcPr>
            <w:tcW w:w="1668" w:type="pct"/>
          </w:tcPr>
          <w:p w14:paraId="0A6AE533" w14:textId="4F827ABA"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416" w:type="pct"/>
            <w:shd w:val="clear" w:color="auto" w:fill="auto"/>
          </w:tcPr>
          <w:p w14:paraId="32AAEB19" w14:textId="5BAB1C0B"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6209DD2B" w14:textId="77BA851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71</w:t>
            </w:r>
          </w:p>
        </w:tc>
        <w:tc>
          <w:tcPr>
            <w:tcW w:w="626" w:type="pct"/>
            <w:shd w:val="clear" w:color="auto" w:fill="auto"/>
            <w:vAlign w:val="bottom"/>
          </w:tcPr>
          <w:p w14:paraId="2F76B894" w14:textId="7EA9308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40</w:t>
            </w:r>
          </w:p>
        </w:tc>
      </w:tr>
    </w:tbl>
    <w:p w14:paraId="66932493" w14:textId="77777777" w:rsidR="000D3C64" w:rsidRPr="00B364F5" w:rsidRDefault="000D3C64" w:rsidP="000D3C64">
      <w:pPr>
        <w:rPr>
          <w:highlight w:val="green"/>
          <w:lang w:val="en-US"/>
        </w:rPr>
      </w:pPr>
    </w:p>
    <w:p w14:paraId="35EF0234" w14:textId="351A4995" w:rsidR="000D3C64" w:rsidRPr="00B364F5" w:rsidRDefault="00A970A3" w:rsidP="00A970A3">
      <w:pPr>
        <w:pStyle w:val="Lgende"/>
        <w:rPr>
          <w:highlight w:val="green"/>
          <w:lang w:val="en-GB"/>
        </w:rPr>
      </w:pPr>
      <w:bookmarkStart w:id="19"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9"/>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4C85B5A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4097211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00DE0DA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61BEC1BE"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6E1B7C73"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2F8238B2"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31C5D45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0D6EDE20"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14C3C0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14A7C08C"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029272D6"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474C2328"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4EED7DD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08017674"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3B29EF59"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52CFED71"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0DD4E62A"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3B8E9221"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6788D0A8"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1A7ED5">
      <w:pPr>
        <w:pStyle w:val="Titre2"/>
        <w:rPr>
          <w:sz w:val="32"/>
          <w:szCs w:val="36"/>
          <w:highlight w:val="green"/>
          <w:lang w:val="en-US"/>
        </w:rPr>
      </w:pPr>
      <w:bookmarkStart w:id="20" w:name="_Toc199498298"/>
      <w:r w:rsidRPr="00091EA9">
        <w:rPr>
          <w:sz w:val="32"/>
          <w:szCs w:val="36"/>
          <w:highlight w:val="green"/>
          <w:lang w:val="en-US"/>
        </w:rPr>
        <w:lastRenderedPageBreak/>
        <w:t>M</w:t>
      </w:r>
      <w:r w:rsidR="00DC46DA" w:rsidRPr="00091EA9">
        <w:rPr>
          <w:sz w:val="32"/>
          <w:szCs w:val="36"/>
          <w:highlight w:val="green"/>
          <w:lang w:val="en-US"/>
        </w:rPr>
        <w:t>agnification</w:t>
      </w:r>
      <w:r w:rsidR="00034C9D" w:rsidRPr="00091EA9">
        <w:rPr>
          <w:sz w:val="32"/>
          <w:szCs w:val="36"/>
          <w:highlight w:val="green"/>
          <w:lang w:val="en-US"/>
        </w:rPr>
        <w:t xml:space="preserve"> factors</w:t>
      </w:r>
      <w:bookmarkEnd w:id="20"/>
      <w:r w:rsidR="00091EA9" w:rsidRPr="00091EA9">
        <w:rPr>
          <w:sz w:val="32"/>
          <w:szCs w:val="36"/>
          <w:highlight w:val="green"/>
          <w:lang w:val="en-US"/>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21" w:name="_Toc199498299"/>
      <w:r w:rsidRPr="00E00913">
        <w:rPr>
          <w:highlight w:val="green"/>
          <w:lang w:val="en-GB"/>
        </w:rPr>
        <w:t>BMF</w:t>
      </w:r>
      <w:bookmarkEnd w:id="21"/>
    </w:p>
    <w:p w14:paraId="5D930091" w14:textId="77777777" w:rsidR="00C10DB2" w:rsidRPr="00E00913" w:rsidRDefault="00B403E6" w:rsidP="007E56D5">
      <w:pPr>
        <w:rPr>
          <w:highlight w:val="green"/>
          <w:lang w:val="en-US"/>
        </w:rPr>
      </w:pPr>
      <w:r w:rsidRPr="00E00913">
        <w:rPr>
          <w:highlight w:val="green"/>
          <w:lang w:val="en-US"/>
        </w:rPr>
        <w:t>Estimating BMFs requires prior confirmation of trophic relationships between predator and prey species (</w:t>
      </w:r>
      <w:proofErr w:type="spellStart"/>
      <w:r w:rsidRPr="00E00913">
        <w:rPr>
          <w:highlight w:val="green"/>
          <w:lang w:val="en-US"/>
        </w:rPr>
        <w:t>Fremlin</w:t>
      </w:r>
      <w:proofErr w:type="spellEnd"/>
      <w:r w:rsidRPr="00E00913">
        <w:rPr>
          <w:highlight w:val="green"/>
          <w:lang w:val="en-US"/>
        </w:rPr>
        <w:t xml:space="preserve">, Elliott, and </w:t>
      </w:r>
      <w:proofErr w:type="spellStart"/>
      <w:r w:rsidRPr="00E00913">
        <w:rPr>
          <w:highlight w:val="green"/>
          <w:lang w:val="en-US"/>
        </w:rPr>
        <w:t>Gobas</w:t>
      </w:r>
      <w:proofErr w:type="spellEnd"/>
      <w:r w:rsidRPr="00E00913">
        <w:rPr>
          <w:highlight w:val="green"/>
          <w:lang w:val="en-US"/>
        </w:rPr>
        <w:t xml:space="preserve">,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proofErr w:type="spellStart"/>
      <w:r w:rsidRPr="00E00913">
        <w:rPr>
          <w:highlight w:val="green"/>
          <w:lang w:val="en-GB"/>
        </w:rPr>
        <w:t>logKow</w:t>
      </w:r>
      <w:proofErr w:type="spellEnd"/>
      <w:r w:rsidRPr="00E00913">
        <w:rPr>
          <w:highlight w:val="green"/>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proofErr w:type="spellStart"/>
      <w:r w:rsidR="00C76BC8" w:rsidRPr="00C76BC8">
        <w:rPr>
          <w:rFonts w:ascii="Consolas" w:hAnsi="Consolas"/>
          <w:sz w:val="20"/>
          <w:szCs w:val="20"/>
          <w:highlight w:val="green"/>
          <w:lang w:val="en-US"/>
        </w:rPr>
        <w:t>geom_</w:t>
      </w:r>
      <w:proofErr w:type="gramStart"/>
      <w:r w:rsidR="00C76BC8" w:rsidRPr="00C76BC8">
        <w:rPr>
          <w:rFonts w:ascii="Consolas" w:hAnsi="Consolas"/>
          <w:sz w:val="20"/>
          <w:szCs w:val="20"/>
          <w:highlight w:val="green"/>
          <w:lang w:val="en-US"/>
        </w:rPr>
        <w:t>smooth</w:t>
      </w:r>
      <w:proofErr w:type="spellEnd"/>
      <w:r w:rsidR="00C76BC8" w:rsidRPr="00C76BC8">
        <w:rPr>
          <w:rFonts w:ascii="Consolas" w:hAnsi="Consolas"/>
          <w:sz w:val="20"/>
          <w:szCs w:val="20"/>
          <w:highlight w:val="green"/>
          <w:lang w:val="en-US"/>
        </w:rPr>
        <w:t>(</w:t>
      </w:r>
      <w:proofErr w:type="gramEnd"/>
      <w:r w:rsidR="00C76BC8" w:rsidRPr="00C76BC8">
        <w:rPr>
          <w:rFonts w:ascii="Consolas" w:hAnsi="Consolas"/>
          <w:sz w:val="20"/>
          <w:szCs w:val="20"/>
          <w:highlight w:val="green"/>
          <w:lang w:val="en-US"/>
        </w:rPr>
        <w:t>)</w:t>
      </w:r>
      <w:r w:rsidR="00C76BC8">
        <w:rPr>
          <w:highlight w:val="green"/>
          <w:lang w:val="en-US"/>
        </w:rPr>
        <w:t xml:space="preserve"> function from the ggplot2 package, employing the “</w:t>
      </w:r>
      <w:proofErr w:type="spellStart"/>
      <w:r w:rsidR="00C76BC8">
        <w:rPr>
          <w:highlight w:val="green"/>
          <w:lang w:val="en-US"/>
        </w:rPr>
        <w:t>lm</w:t>
      </w:r>
      <w:proofErr w:type="spellEnd"/>
      <w:r w:rsidR="00C76BC8">
        <w:rPr>
          <w:highlight w:val="green"/>
          <w:lang w:val="en-US"/>
        </w:rPr>
        <w:t>”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381ECF"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lastRenderedPageBreak/>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2D0D16CD" w:rsidR="005610BB" w:rsidRPr="00E00913" w:rsidRDefault="00381ECF"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0945F898"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381ECF">
      <w:pPr>
        <w:pStyle w:val="Titre3"/>
        <w:numPr>
          <w:ilvl w:val="2"/>
          <w:numId w:val="9"/>
        </w:numPr>
        <w:rPr>
          <w:highlight w:val="green"/>
          <w:lang w:val="en-GB"/>
        </w:rPr>
      </w:pPr>
      <w:bookmarkStart w:id="22"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2"/>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381ECF"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3"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3"/>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lastRenderedPageBreak/>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381ECF"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5333F">
      <w:pPr>
        <w:pStyle w:val="Titre2"/>
        <w:rPr>
          <w:highlight w:val="green"/>
          <w:lang w:val="en-US"/>
        </w:rPr>
      </w:pPr>
      <w:bookmarkStart w:id="24" w:name="_Toc199498301"/>
      <w:r w:rsidRPr="00B36DEC">
        <w:rPr>
          <w:highlight w:val="green"/>
          <w:lang w:val="en-GB"/>
        </w:rPr>
        <w:t xml:space="preserve">Accounting for </w:t>
      </w:r>
      <w:r w:rsidR="00091EA9" w:rsidRPr="00B36DEC">
        <w:rPr>
          <w:highlight w:val="green"/>
          <w:lang w:val="en-GB"/>
        </w:rPr>
        <w:t>left-censored</w:t>
      </w:r>
      <w:r w:rsidRPr="00B36DEC">
        <w:rPr>
          <w:highlight w:val="green"/>
          <w:lang w:val="en-GB"/>
        </w:rPr>
        <w:t xml:space="preserve"> concentrations</w:t>
      </w:r>
      <w:bookmarkEnd w:id="24"/>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w:t>
      </w:r>
      <w:proofErr w:type="spellStart"/>
      <w:r w:rsidRPr="00B36DEC">
        <w:rPr>
          <w:rFonts w:ascii="Calibri" w:hAnsi="Calibri" w:cs="Calibri"/>
          <w:highlight w:val="green"/>
          <w:lang w:val="en-US"/>
        </w:rPr>
        <w:t>Borgå</w:t>
      </w:r>
      <w:proofErr w:type="spellEnd"/>
      <w:r w:rsidRPr="00B36DEC">
        <w:rPr>
          <w:rFonts w:ascii="Calibri" w:hAnsi="Calibri" w:cs="Calibri"/>
          <w:highlight w:val="green"/>
          <w:lang w:val="en-US"/>
        </w:rPr>
        <w:t xml:space="preserve">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Therefore, current recommendations 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w:t>
      </w:r>
      <w:proofErr w:type="spellStart"/>
      <w:r w:rsidR="00DC28FF" w:rsidRPr="00B36DEC">
        <w:rPr>
          <w:rFonts w:ascii="Calibri" w:hAnsi="Calibri" w:cs="Calibri"/>
          <w:highlight w:val="green"/>
          <w:lang w:val="en-US"/>
        </w:rPr>
        <w:t>Helsel</w:t>
      </w:r>
      <w:proofErr w:type="spellEnd"/>
      <w:r w:rsidR="00DC28FF" w:rsidRPr="00B36DEC">
        <w:rPr>
          <w:rFonts w:ascii="Calibri" w:hAnsi="Calibri" w:cs="Calibri"/>
          <w:highlight w:val="green"/>
          <w:lang w:val="en-US"/>
        </w:rPr>
        <w:t xml:space="preserve">, 2006; </w:t>
      </w:r>
      <w:proofErr w:type="spellStart"/>
      <w:r w:rsidR="00DC28FF" w:rsidRPr="00B36DEC">
        <w:rPr>
          <w:rFonts w:ascii="Calibri" w:hAnsi="Calibri" w:cs="Calibri"/>
          <w:highlight w:val="green"/>
          <w:lang w:val="en-US"/>
        </w:rPr>
        <w:t>Fremlin</w:t>
      </w:r>
      <w:proofErr w:type="spellEnd"/>
      <w:r w:rsidR="00DC28FF" w:rsidRPr="00B36DEC">
        <w:rPr>
          <w:rFonts w:ascii="Calibri" w:hAnsi="Calibri" w:cs="Calibri"/>
          <w:highlight w:val="green"/>
          <w:lang w:val="en-US"/>
        </w:rPr>
        <w:t xml:space="preserve">, Elliott and </w:t>
      </w:r>
      <w:proofErr w:type="spellStart"/>
      <w:r w:rsidR="00DC28FF" w:rsidRPr="00B36DEC">
        <w:rPr>
          <w:rFonts w:ascii="Calibri" w:hAnsi="Calibri" w:cs="Calibri"/>
          <w:highlight w:val="green"/>
          <w:lang w:val="en-US"/>
        </w:rPr>
        <w:t>Gobas</w:t>
      </w:r>
      <w:proofErr w:type="spellEnd"/>
      <w:r w:rsidR="00DC28FF" w:rsidRPr="00B36DEC">
        <w:rPr>
          <w:rFonts w:ascii="Calibri" w:hAnsi="Calibri" w:cs="Calibri"/>
          <w:highlight w:val="green"/>
          <w:lang w:val="en-US"/>
        </w:rPr>
        <w:t>,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 xml:space="preserve">(Julian and </w:t>
      </w:r>
      <w:proofErr w:type="spellStart"/>
      <w:r w:rsidRPr="00B36DEC">
        <w:rPr>
          <w:rFonts w:ascii="Calibri" w:hAnsi="Calibri" w:cs="Calibri"/>
          <w:highlight w:val="green"/>
          <w:lang w:val="en-US"/>
        </w:rPr>
        <w:t>Helsel</w:t>
      </w:r>
      <w:proofErr w:type="spellEnd"/>
      <w:r w:rsidRPr="00B36DEC">
        <w:rPr>
          <w:rFonts w:ascii="Calibri" w:hAnsi="Calibri" w:cs="Calibri"/>
          <w:highlight w:val="green"/>
          <w:lang w:val="en-US"/>
        </w:rPr>
        <w:t>,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proofErr w:type="spellStart"/>
      <w:r w:rsidR="00BC411A" w:rsidRPr="00B36DEC">
        <w:rPr>
          <w:i/>
          <w:iCs/>
          <w:highlight w:val="green"/>
          <w:lang w:val="en-GB"/>
        </w:rPr>
        <w:t>cen</w:t>
      </w:r>
      <w:r w:rsidR="00C958A2" w:rsidRPr="00B36DEC">
        <w:rPr>
          <w:i/>
          <w:iCs/>
          <w:highlight w:val="green"/>
          <w:lang w:val="en-GB"/>
        </w:rPr>
        <w:t>fit</w:t>
      </w:r>
      <w:proofErr w:type="spellEnd"/>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proofErr w:type="spellStart"/>
      <w:r w:rsidR="00520DEB" w:rsidRPr="00B36DEC">
        <w:rPr>
          <w:i/>
          <w:iCs/>
          <w:highlight w:val="green"/>
          <w:lang w:val="en-GB"/>
        </w:rPr>
        <w:t>ros</w:t>
      </w:r>
      <w:proofErr w:type="spellEnd"/>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E00913" w:rsidRDefault="00FA23AA" w:rsidP="001A7ED5">
      <w:pPr>
        <w:pStyle w:val="Titre1"/>
        <w:rPr>
          <w:sz w:val="32"/>
          <w:szCs w:val="36"/>
          <w:lang w:val="en-US"/>
        </w:rPr>
      </w:pPr>
      <w:bookmarkStart w:id="25" w:name="_Toc199498302"/>
      <w:r w:rsidRPr="00E00913">
        <w:rPr>
          <w:sz w:val="32"/>
          <w:szCs w:val="36"/>
          <w:lang w:val="en-US"/>
        </w:rPr>
        <w:t>Results</w:t>
      </w:r>
      <w:bookmarkEnd w:id="25"/>
    </w:p>
    <w:p w14:paraId="7E4FD2EB" w14:textId="2A214D1E" w:rsidR="00300972" w:rsidRPr="00E00913" w:rsidRDefault="00300972" w:rsidP="001A7ED5">
      <w:pPr>
        <w:pStyle w:val="Titre2"/>
        <w:rPr>
          <w:sz w:val="32"/>
          <w:szCs w:val="36"/>
          <w:highlight w:val="green"/>
          <w:lang w:val="en-US"/>
        </w:rPr>
      </w:pPr>
      <w:bookmarkStart w:id="26" w:name="_Toc199498303"/>
      <w:r w:rsidRPr="00E00913">
        <w:rPr>
          <w:sz w:val="32"/>
          <w:szCs w:val="36"/>
          <w:highlight w:val="green"/>
          <w:lang w:val="en-US"/>
        </w:rPr>
        <w:t>Contamination data</w:t>
      </w:r>
      <w:bookmarkEnd w:id="26"/>
    </w:p>
    <w:p w14:paraId="008F6944" w14:textId="2B8C194B" w:rsidR="00300972" w:rsidRPr="00E00913" w:rsidRDefault="00300972" w:rsidP="00300972">
      <w:pPr>
        <w:pStyle w:val="Titre3"/>
        <w:rPr>
          <w:highlight w:val="green"/>
          <w:lang w:val="en-US"/>
        </w:rPr>
      </w:pPr>
      <w:bookmarkStart w:id="27" w:name="_Toc199498304"/>
      <w:r w:rsidRPr="00E00913">
        <w:rPr>
          <w:highlight w:val="green"/>
          <w:lang w:val="en-US"/>
        </w:rPr>
        <w:t>Total levels of contamination</w:t>
      </w:r>
      <w:bookmarkEnd w:id="27"/>
    </w:p>
    <w:p w14:paraId="3117F032" w14:textId="75F6DCFA"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00554466" w:rsidRPr="00554466">
        <w:rPr>
          <w:highlight w:val="green"/>
          <w:lang w:val="en-US"/>
        </w:rPr>
        <w:t xml:space="preserve">Figure </w:t>
      </w:r>
      <w:r w:rsidR="00554466" w:rsidRPr="00554466">
        <w:rPr>
          <w:noProof/>
          <w:highlight w:val="green"/>
          <w:lang w:val="en-US"/>
        </w:rPr>
        <w:t>2</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lastRenderedPageBreak/>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77B51ECF" w:rsidR="00941F23" w:rsidRPr="00251C75" w:rsidRDefault="00941F23" w:rsidP="00941F23">
      <w:pPr>
        <w:pStyle w:val="Lgende"/>
        <w:rPr>
          <w:highlight w:val="green"/>
          <w:lang w:val="en-GB"/>
        </w:rPr>
      </w:pPr>
      <w:bookmarkStart w:id="28"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E50086">
        <w:rPr>
          <w:noProof/>
          <w:lang w:val="en-US"/>
        </w:rPr>
        <w:t>2</w:t>
      </w:r>
      <w:r>
        <w:fldChar w:fldCharType="end"/>
      </w:r>
      <w:bookmarkEnd w:id="28"/>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381ECF">
      <w:pPr>
        <w:pStyle w:val="Titre3"/>
        <w:numPr>
          <w:ilvl w:val="2"/>
          <w:numId w:val="8"/>
        </w:numPr>
        <w:rPr>
          <w:highlight w:val="green"/>
          <w:lang w:val="en-US"/>
        </w:rPr>
      </w:pPr>
      <w:bookmarkStart w:id="29" w:name="_Toc199498305"/>
      <w:r w:rsidRPr="00BB12AE">
        <w:rPr>
          <w:highlight w:val="green"/>
          <w:lang w:val="en-US"/>
        </w:rPr>
        <w:t xml:space="preserve">Relationship with lipid content </w:t>
      </w:r>
      <w:r>
        <w:rPr>
          <w:highlight w:val="green"/>
          <w:lang w:val="en-US"/>
        </w:rPr>
        <w:t>for PCB</w:t>
      </w:r>
      <w:bookmarkEnd w:id="29"/>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30"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30"/>
    </w:p>
    <w:p w14:paraId="0905B085" w14:textId="57462995"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00554466" w:rsidRPr="00554466">
        <w:rPr>
          <w:sz w:val="24"/>
          <w:szCs w:val="24"/>
          <w:highlight w:val="green"/>
          <w:lang w:val="en-US"/>
        </w:rPr>
        <w:t xml:space="preserve">Figure </w:t>
      </w:r>
      <w:r w:rsidR="00554466" w:rsidRPr="00554466">
        <w:rPr>
          <w:noProof/>
          <w:sz w:val="24"/>
          <w:szCs w:val="24"/>
          <w:highlight w:val="green"/>
          <w:lang w:val="en-US"/>
        </w:rPr>
        <w:t>3</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532C048" w:rsidR="00E34D0C" w:rsidRPr="0070114B" w:rsidRDefault="00E34D0C" w:rsidP="00E34D0C">
      <w:pPr>
        <w:pStyle w:val="Lgende"/>
        <w:rPr>
          <w:sz w:val="20"/>
          <w:szCs w:val="20"/>
          <w:highlight w:val="green"/>
          <w:lang w:val="en-GB"/>
        </w:rPr>
      </w:pPr>
      <w:bookmarkStart w:id="31"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E50086">
        <w:rPr>
          <w:noProof/>
          <w:sz w:val="20"/>
          <w:szCs w:val="20"/>
          <w:highlight w:val="green"/>
          <w:lang w:val="en-GB"/>
        </w:rPr>
        <w:t>3</w:t>
      </w:r>
      <w:r w:rsidR="00B012A9" w:rsidRPr="0070114B">
        <w:rPr>
          <w:sz w:val="20"/>
          <w:szCs w:val="20"/>
          <w:highlight w:val="green"/>
          <w:lang w:val="en-GB"/>
        </w:rPr>
        <w:fldChar w:fldCharType="end"/>
      </w:r>
      <w:bookmarkEnd w:id="31"/>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1A7ED5">
      <w:pPr>
        <w:pStyle w:val="Titre2"/>
        <w:rPr>
          <w:sz w:val="32"/>
          <w:szCs w:val="36"/>
          <w:highlight w:val="green"/>
        </w:rPr>
      </w:pPr>
      <w:bookmarkStart w:id="32" w:name="_Toc199498307"/>
      <w:proofErr w:type="spellStart"/>
      <w:r w:rsidRPr="00B233B1">
        <w:rPr>
          <w:sz w:val="32"/>
          <w:szCs w:val="36"/>
          <w:highlight w:val="green"/>
        </w:rPr>
        <w:t>BMFs</w:t>
      </w:r>
      <w:proofErr w:type="spellEnd"/>
      <w:r w:rsidR="0092793B" w:rsidRPr="00B233B1">
        <w:rPr>
          <w:sz w:val="32"/>
          <w:szCs w:val="36"/>
          <w:highlight w:val="green"/>
        </w:rPr>
        <w:t xml:space="preserve"> for </w:t>
      </w:r>
      <w:proofErr w:type="spellStart"/>
      <w:r w:rsidR="0092793B" w:rsidRPr="00B233B1">
        <w:rPr>
          <w:sz w:val="32"/>
          <w:szCs w:val="36"/>
          <w:highlight w:val="green"/>
        </w:rPr>
        <w:t>PCBs</w:t>
      </w:r>
      <w:bookmarkEnd w:id="32"/>
      <w:proofErr w:type="spellEnd"/>
    </w:p>
    <w:p w14:paraId="4713078E" w14:textId="15201F20" w:rsidR="00292784" w:rsidRDefault="00E00913" w:rsidP="009A105D">
      <w:pPr>
        <w:pStyle w:val="Titre3"/>
        <w:rPr>
          <w:lang w:val="en-GB"/>
        </w:rPr>
      </w:pPr>
      <w:bookmarkStart w:id="33" w:name="_Hlk199258568"/>
      <w:bookmarkStart w:id="34" w:name="_Toc199498308"/>
      <w:r>
        <w:rPr>
          <w:highlight w:val="green"/>
          <w:lang w:val="en-GB"/>
        </w:rPr>
        <w:t>P</w:t>
      </w:r>
      <w:r w:rsidRPr="00E00913">
        <w:rPr>
          <w:highlight w:val="green"/>
          <w:lang w:val="en-GB"/>
        </w:rPr>
        <w:t xml:space="preserve">redator-prey BMF </w:t>
      </w:r>
      <w:bookmarkEnd w:id="33"/>
      <w:r w:rsidRPr="00E00913">
        <w:rPr>
          <w:highlight w:val="green"/>
          <w:lang w:val="en-GB"/>
        </w:rPr>
        <w:t>(BMF</w:t>
      </w:r>
      <w:r w:rsidRPr="00E00913">
        <w:rPr>
          <w:highlight w:val="green"/>
          <w:vertAlign w:val="subscript"/>
          <w:lang w:val="en-GB"/>
        </w:rPr>
        <w:t>PP</w:t>
      </w:r>
      <w:r w:rsidRPr="00E00913">
        <w:rPr>
          <w:highlight w:val="green"/>
          <w:lang w:val="en-GB"/>
        </w:rPr>
        <w:t>)</w:t>
      </w:r>
      <w:bookmarkEnd w:id="34"/>
      <w:r w:rsidRPr="00E00913">
        <w:rPr>
          <w:highlight w:val="green"/>
          <w:lang w:val="en-GB"/>
        </w:rPr>
        <w:t xml:space="preserve"> </w:t>
      </w:r>
    </w:p>
    <w:p w14:paraId="5BD8FDAD" w14:textId="6FC35FDC"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w:t>
      </w:r>
      <w:r w:rsidR="00DA77C2">
        <w:rPr>
          <w:highlight w:val="green"/>
          <w:lang w:val="en-US"/>
        </w:rPr>
        <w:t>the congener CB153</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554466" w:rsidRPr="002D207F">
        <w:rPr>
          <w:highlight w:val="green"/>
          <w:lang w:val="en-US"/>
        </w:rPr>
        <w:t xml:space="preserve">Figure </w:t>
      </w:r>
      <w:r w:rsidR="00554466">
        <w:rPr>
          <w:noProof/>
          <w:highlight w:val="green"/>
          <w:lang w:val="en-US"/>
        </w:rPr>
        <w:t>4</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w:t>
      </w:r>
      <w:r w:rsidR="00DA77C2">
        <w:rPr>
          <w:highlight w:val="green"/>
          <w:lang w:val="en-US"/>
        </w:rPr>
        <w:t>4</w:t>
      </w:r>
      <w:r w:rsidR="00417BF0">
        <w:rPr>
          <w:highlight w:val="green"/>
          <w:lang w:val="en-US"/>
        </w:rPr>
        <w:t>4</w:t>
      </w:r>
      <w:r w:rsidR="008F268E" w:rsidRPr="002D207F">
        <w:rPr>
          <w:highlight w:val="green"/>
          <w:lang w:val="en-US"/>
        </w:rPr>
        <w:t>[</w:t>
      </w:r>
      <w:r w:rsidR="00417BF0">
        <w:rPr>
          <w:highlight w:val="green"/>
          <w:lang w:val="en-US"/>
        </w:rPr>
        <w:t>0.</w:t>
      </w:r>
      <w:r w:rsidR="00DA77C2">
        <w:rPr>
          <w:highlight w:val="green"/>
          <w:lang w:val="en-US"/>
        </w:rPr>
        <w:t>35</w:t>
      </w:r>
      <w:r w:rsidR="008F268E" w:rsidRPr="002D207F">
        <w:rPr>
          <w:highlight w:val="green"/>
          <w:lang w:val="en-US"/>
        </w:rPr>
        <w:t>-</w:t>
      </w:r>
      <w:r w:rsidR="00417BF0">
        <w:rPr>
          <w:highlight w:val="green"/>
          <w:lang w:val="en-US"/>
        </w:rPr>
        <w:t>0.</w:t>
      </w:r>
      <w:r w:rsidR="00DA77C2">
        <w:rPr>
          <w:highlight w:val="green"/>
          <w:lang w:val="en-US"/>
        </w:rPr>
        <w:t>49</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w:t>
      </w:r>
      <w:r w:rsidR="00DA77C2">
        <w:rPr>
          <w:highlight w:val="green"/>
          <w:lang w:val="en-US"/>
        </w:rPr>
        <w:t>6.41</w:t>
      </w:r>
      <w:r w:rsidR="00417BF0">
        <w:rPr>
          <w:highlight w:val="green"/>
          <w:lang w:val="en-US"/>
        </w:rPr>
        <w:t>[</w:t>
      </w:r>
      <w:r w:rsidR="00DA77C2">
        <w:rPr>
          <w:highlight w:val="green"/>
          <w:lang w:val="en-US"/>
        </w:rPr>
        <w:t>4.99-9.25</w:t>
      </w:r>
      <w:r w:rsidR="00417BF0">
        <w:rPr>
          <w:highlight w:val="green"/>
          <w:lang w:val="en-US"/>
        </w:rPr>
        <w:t>])</w:t>
      </w:r>
      <w:r w:rsidR="008F268E" w:rsidRPr="002D207F">
        <w:rPr>
          <w:highlight w:val="green"/>
          <w:lang w:val="en-US"/>
        </w:rPr>
        <w:t>. Moreover, for the majority of species (</w:t>
      </w:r>
      <w:r w:rsidR="00DA77C2">
        <w:rPr>
          <w:highlight w:val="green"/>
          <w:lang w:val="en-US"/>
        </w:rPr>
        <w:t>8</w:t>
      </w:r>
      <w:r w:rsidR="008F268E" w:rsidRPr="002D207F">
        <w:rPr>
          <w:highlight w:val="green"/>
          <w:lang w:val="en-US"/>
        </w:rPr>
        <w:t xml:space="preserve">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76174615"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554466" w:rsidRPr="00C76BC8">
        <w:rPr>
          <w:highlight w:val="green"/>
          <w:lang w:val="en-US"/>
        </w:rPr>
        <w:t xml:space="preserve">Figure </w:t>
      </w:r>
      <w:r w:rsidR="00554466">
        <w:rPr>
          <w:noProof/>
          <w:highlight w:val="green"/>
          <w:lang w:val="en-US"/>
        </w:rPr>
        <w:t>5</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554466">
        <w:rPr>
          <w:highlight w:val="green"/>
          <w:lang w:val="en-US"/>
        </w:rPr>
        <w:t xml:space="preserve"> (16 out of 19)</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w:t>
      </w:r>
      <w:r w:rsidR="007F4CF1" w:rsidRPr="00282519">
        <w:rPr>
          <w:highlight w:val="green"/>
          <w:lang w:val="en-US"/>
        </w:rPr>
        <w:lastRenderedPageBreak/>
        <w:t>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63EFCC20">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1508D079" w:rsidR="00E00913" w:rsidRPr="002D207F" w:rsidRDefault="00E00913" w:rsidP="00E00913">
      <w:pPr>
        <w:pStyle w:val="Lgende"/>
        <w:rPr>
          <w:highlight w:val="green"/>
          <w:lang w:val="en-US"/>
        </w:rPr>
      </w:pPr>
      <w:bookmarkStart w:id="35"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E50086">
        <w:rPr>
          <w:noProof/>
          <w:highlight w:val="green"/>
          <w:lang w:val="en-US"/>
        </w:rPr>
        <w:t>4</w:t>
      </w:r>
      <w:r w:rsidRPr="002D207F">
        <w:rPr>
          <w:highlight w:val="green"/>
        </w:rPr>
        <w:fldChar w:fldCharType="end"/>
      </w:r>
      <w:bookmarkEnd w:id="35"/>
      <w:r w:rsidRPr="002D207F">
        <w:rPr>
          <w:highlight w:val="green"/>
          <w:lang w:val="en-US"/>
        </w:rPr>
        <w:t xml:space="preserve"> – </w:t>
      </w:r>
      <w:bookmarkStart w:id="36"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w:t>
      </w:r>
      <w:r w:rsidR="00A84BA6">
        <w:rPr>
          <w:highlight w:val="green"/>
          <w:lang w:val="en-US"/>
        </w:rPr>
        <w:t>CB153</w:t>
      </w:r>
      <w:r w:rsidRPr="002D207F">
        <w:rPr>
          <w:highlight w:val="green"/>
          <w:lang w:val="en-US"/>
        </w:rPr>
        <w:t xml:space="preserve"> congener</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6"/>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3E926330">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3B9A930A" w:rsidR="008757EF" w:rsidRPr="00C76BC8" w:rsidRDefault="00E00913" w:rsidP="00E00913">
      <w:pPr>
        <w:pStyle w:val="Lgende"/>
        <w:rPr>
          <w:lang w:val="en-US"/>
        </w:rPr>
      </w:pPr>
      <w:bookmarkStart w:id="37"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E50086">
        <w:rPr>
          <w:noProof/>
          <w:highlight w:val="green"/>
          <w:lang w:val="en-US"/>
        </w:rPr>
        <w:t>5</w:t>
      </w:r>
      <w:r w:rsidRPr="00C76BC8">
        <w:rPr>
          <w:highlight w:val="green"/>
        </w:rPr>
        <w:fldChar w:fldCharType="end"/>
      </w:r>
      <w:bookmarkEnd w:id="37"/>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8"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8"/>
    </w:p>
    <w:p w14:paraId="41CEFCF4" w14:textId="24E7A6FB"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00554466" w:rsidRPr="005B78BD">
        <w:rPr>
          <w:highlight w:val="green"/>
          <w:lang w:val="en-US"/>
        </w:rPr>
        <w:t xml:space="preserve">Figure </w:t>
      </w:r>
      <w:r w:rsidR="00554466">
        <w:rPr>
          <w:noProof/>
          <w:highlight w:val="green"/>
          <w:lang w:val="en-US"/>
        </w:rPr>
        <w:t>6</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xml:space="preserve">) and </w:t>
      </w:r>
      <w:r w:rsidR="00554466">
        <w:rPr>
          <w:highlight w:val="green"/>
          <w:lang w:val="en-US"/>
        </w:rPr>
        <w:t>6</w:t>
      </w:r>
      <w:r w:rsidR="004C6AD8" w:rsidRPr="005B78BD">
        <w:rPr>
          <w:highlight w:val="green"/>
          <w:lang w:val="en-US"/>
        </w:rPr>
        <w:t xml:space="preserve"> of the 1</w:t>
      </w:r>
      <w:r w:rsidR="00554466">
        <w:rPr>
          <w:highlight w:val="green"/>
          <w:lang w:val="en-US"/>
        </w:rPr>
        <w:t>8</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lastRenderedPageBreak/>
        <w:drawing>
          <wp:inline distT="0" distB="0" distL="0" distR="0" wp14:anchorId="30812827" wp14:editId="7911519B">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68A5C930" w:rsidR="005B78BD" w:rsidRPr="00C76BC8" w:rsidRDefault="002D207F" w:rsidP="005B78BD">
      <w:pPr>
        <w:pStyle w:val="Lgende"/>
        <w:rPr>
          <w:lang w:val="en-US"/>
        </w:rPr>
      </w:pPr>
      <w:bookmarkStart w:id="39"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E50086">
        <w:rPr>
          <w:noProof/>
          <w:highlight w:val="green"/>
          <w:lang w:val="en-US"/>
        </w:rPr>
        <w:t>6</w:t>
      </w:r>
      <w:r w:rsidRPr="005B78BD">
        <w:rPr>
          <w:highlight w:val="green"/>
        </w:rPr>
        <w:fldChar w:fldCharType="end"/>
      </w:r>
      <w:bookmarkEnd w:id="39"/>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381ECF">
      <w:pPr>
        <w:pStyle w:val="Titre3"/>
        <w:numPr>
          <w:ilvl w:val="2"/>
          <w:numId w:val="10"/>
        </w:numPr>
        <w:rPr>
          <w:highlight w:val="green"/>
          <w:lang w:val="en-GB"/>
        </w:rPr>
      </w:pPr>
      <w:bookmarkStart w:id="40" w:name="_Hlk199258597"/>
      <w:bookmarkStart w:id="41" w:name="_Toc199498310"/>
      <w:r w:rsidRPr="00B233B1">
        <w:rPr>
          <w:highlight w:val="green"/>
          <w:lang w:val="en-GB"/>
        </w:rPr>
        <w:t xml:space="preserve">Predator-prey trophic level–normalized BMF </w:t>
      </w:r>
      <w:bookmarkEnd w:id="40"/>
      <w:r w:rsidRPr="00B233B1">
        <w:rPr>
          <w:highlight w:val="green"/>
          <w:lang w:val="en-GB"/>
        </w:rPr>
        <w:t>(TL-BMF</w:t>
      </w:r>
      <w:r w:rsidRPr="00B233B1">
        <w:rPr>
          <w:highlight w:val="green"/>
          <w:vertAlign w:val="subscript"/>
          <w:lang w:val="en-GB"/>
        </w:rPr>
        <w:t>PP</w:t>
      </w:r>
      <w:r w:rsidRPr="00B233B1">
        <w:rPr>
          <w:highlight w:val="green"/>
          <w:lang w:val="en-GB"/>
        </w:rPr>
        <w:t>)</w:t>
      </w:r>
      <w:bookmarkEnd w:id="41"/>
    </w:p>
    <w:p w14:paraId="33FBECAF" w14:textId="2574E6FF" w:rsidR="005534FC"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2"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2"/>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w:t>
      </w:r>
      <w:r w:rsidR="00554466">
        <w:rPr>
          <w:highlight w:val="green"/>
          <w:lang w:val="en-US"/>
        </w:rPr>
        <w:t>CB153</w:t>
      </w:r>
      <w:r w:rsidR="0009601B" w:rsidRPr="00D44979">
        <w:rPr>
          <w:highlight w:val="green"/>
          <w:lang w:val="en-US"/>
        </w:rPr>
        <w:t xml:space="preserve">,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4466" w:rsidRPr="00554466">
        <w:rPr>
          <w:highlight w:val="green"/>
          <w:lang w:val="en-US"/>
        </w:rPr>
        <w:t xml:space="preserve">Figure </w:t>
      </w:r>
      <w:r w:rsidR="00554466" w:rsidRPr="00554466">
        <w:rPr>
          <w:noProof/>
          <w:highlight w:val="green"/>
          <w:lang w:val="en-US"/>
        </w:rPr>
        <w:t>7</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A84BA6">
        <w:rPr>
          <w:highlight w:val="green"/>
          <w:lang w:val="en-US"/>
        </w:rPr>
        <w:t xml:space="preserve"> (except for </w:t>
      </w:r>
      <w:proofErr w:type="spellStart"/>
      <w:r w:rsidR="00A84BA6" w:rsidRPr="00A84BA6">
        <w:rPr>
          <w:i/>
          <w:iCs/>
          <w:highlight w:val="green"/>
          <w:lang w:val="en-US"/>
        </w:rPr>
        <w:t>Lanice</w:t>
      </w:r>
      <w:proofErr w:type="spellEnd"/>
      <w:r w:rsidR="00A84BA6" w:rsidRPr="00A84BA6">
        <w:rPr>
          <w:i/>
          <w:iCs/>
          <w:highlight w:val="green"/>
          <w:lang w:val="en-US"/>
        </w:rPr>
        <w:t xml:space="preserve"> </w:t>
      </w:r>
      <w:proofErr w:type="spellStart"/>
      <w:r w:rsidR="00A84BA6" w:rsidRPr="00A84BA6">
        <w:rPr>
          <w:i/>
          <w:iCs/>
          <w:highlight w:val="green"/>
          <w:lang w:val="en-US"/>
        </w:rPr>
        <w:t>conchilega</w:t>
      </w:r>
      <w:proofErr w:type="spellEnd"/>
      <w:r w:rsidR="00A84BA6">
        <w:rPr>
          <w:highlight w:val="green"/>
          <w:lang w:val="en-US"/>
        </w:rPr>
        <w:t>)</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A84BA6">
        <w:rPr>
          <w:highlight w:val="green"/>
          <w:lang w:val="en-US"/>
        </w:rPr>
        <w:t>Five</w:t>
      </w:r>
      <w:r w:rsidR="00C80E98" w:rsidRPr="00D44979">
        <w:rPr>
          <w:highlight w:val="green"/>
          <w:lang w:val="en-US"/>
        </w:rPr>
        <w:t xml:space="preserve"> species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5EC2A119" w14:textId="77777777" w:rsidR="00E23168" w:rsidRDefault="00E23168" w:rsidP="00E23168">
      <w:pPr>
        <w:keepNext/>
      </w:pPr>
      <w:r>
        <w:rPr>
          <w:noProof/>
          <w:lang w:val="en-GB"/>
        </w:rPr>
        <w:drawing>
          <wp:inline distT="0" distB="0" distL="0" distR="0" wp14:anchorId="20437014" wp14:editId="562F67D6">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6BAB28A7" w14:textId="77777777" w:rsidR="00E23168" w:rsidRDefault="00E23168" w:rsidP="00E23168">
      <w:pPr>
        <w:pStyle w:val="Lgende"/>
        <w:rPr>
          <w:lang w:val="en-US"/>
        </w:rPr>
      </w:pPr>
      <w:bookmarkStart w:id="43" w:name="_Ref199260500"/>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7</w:t>
      </w:r>
      <w:r>
        <w:fldChar w:fldCharType="end"/>
      </w:r>
      <w:bookmarkEnd w:id="43"/>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19ECF60C" w14:textId="10830134" w:rsidR="001E6E6A" w:rsidRPr="00D44979" w:rsidRDefault="001E6E6A" w:rsidP="001E6E6A">
      <w:pPr>
        <w:rPr>
          <w:lang w:val="en-US"/>
        </w:rPr>
      </w:pPr>
      <w:r w:rsidRPr="00D44979">
        <w:rPr>
          <w:highlight w:val="green"/>
          <w:lang w:val="en-US"/>
        </w:rPr>
        <w:lastRenderedPageBreak/>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447025" w:rsidRPr="00447025">
        <w:rPr>
          <w:highlight w:val="green"/>
          <w:lang w:val="en-US"/>
        </w:rPr>
        <w:t xml:space="preserve">Figure </w:t>
      </w:r>
      <w:r w:rsidR="00447025" w:rsidRPr="00447025">
        <w:rPr>
          <w:noProof/>
          <w:highlight w:val="green"/>
          <w:lang w:val="en-US"/>
        </w:rPr>
        <w:t>8</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w:t>
      </w:r>
      <w:r w:rsidR="00447025">
        <w:rPr>
          <w:highlight w:val="green"/>
          <w:lang w:val="en-US"/>
        </w:rPr>
        <w:t>3</w:t>
      </w:r>
      <w:r w:rsidR="00D75DE7" w:rsidRPr="00D44979">
        <w:rPr>
          <w:highlight w:val="green"/>
          <w:lang w:val="en-US"/>
        </w:rPr>
        <w:t xml:space="preserve"> out of 1</w:t>
      </w:r>
      <w:r w:rsidR="00447025">
        <w:rPr>
          <w:highlight w:val="green"/>
          <w:lang w:val="en-US"/>
        </w:rPr>
        <w:t>9</w:t>
      </w:r>
      <w:r w:rsidR="00D75DE7" w:rsidRPr="00D44979">
        <w:rPr>
          <w:highlight w:val="green"/>
          <w:lang w:val="en-US"/>
        </w:rPr>
        <w:t xml:space="preserve">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w:t>
      </w:r>
      <w:r w:rsidR="00447025">
        <w:rPr>
          <w:highlight w:val="green"/>
          <w:lang w:val="en-US"/>
        </w:rPr>
        <w:t>ive</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CB28, CB31, CB132, CB149</w:t>
      </w:r>
      <w:r w:rsidR="00447025">
        <w:rPr>
          <w:highlight w:val="green"/>
          <w:lang w:val="en-US"/>
        </w:rPr>
        <w:t xml:space="preserve"> and CB187</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0660FD23" w14:textId="77777777" w:rsidR="00627231" w:rsidRDefault="00627231" w:rsidP="00627231">
      <w:pPr>
        <w:keepNext/>
      </w:pPr>
      <w:r>
        <w:rPr>
          <w:noProof/>
          <w:lang w:val="en-US"/>
        </w:rPr>
        <w:drawing>
          <wp:inline distT="0" distB="0" distL="0" distR="0" wp14:anchorId="3AAE284D" wp14:editId="75423748">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58B7FB96" w:rsidR="00627231" w:rsidRPr="00627231" w:rsidRDefault="00627231" w:rsidP="00627231">
      <w:pPr>
        <w:pStyle w:val="Lgende"/>
        <w:rPr>
          <w:lang w:val="en-US"/>
        </w:rPr>
      </w:pPr>
      <w:bookmarkStart w:id="44"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E50086">
        <w:rPr>
          <w:noProof/>
          <w:lang w:val="en-US"/>
        </w:rPr>
        <w:t>8</w:t>
      </w:r>
      <w:r>
        <w:fldChar w:fldCharType="end"/>
      </w:r>
      <w:bookmarkEnd w:id="44"/>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5"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5"/>
    </w:p>
    <w:p w14:paraId="705DD3B2" w14:textId="02DB4488"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00E23168" w:rsidRPr="00E23168">
        <w:rPr>
          <w:highlight w:val="green"/>
          <w:lang w:val="en-US"/>
        </w:rPr>
        <w:t xml:space="preserve">Figure </w:t>
      </w:r>
      <w:r w:rsidR="00E23168" w:rsidRPr="00E23168">
        <w:rPr>
          <w:noProof/>
          <w:highlight w:val="green"/>
          <w:lang w:val="en-US"/>
        </w:rPr>
        <w:t>9</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w:t>
      </w:r>
      <w:r w:rsidR="00E23168">
        <w:rPr>
          <w:highlight w:val="green"/>
          <w:lang w:val="en-US"/>
        </w:rPr>
        <w:t>42</w:t>
      </w:r>
      <w:r w:rsidR="00A84BA6">
        <w:rPr>
          <w:highlight w:val="green"/>
          <w:lang w:val="en-US"/>
        </w:rPr>
        <w:t>,</w:t>
      </w:r>
      <w:r w:rsidRPr="00B935AE">
        <w:rPr>
          <w:highlight w:val="green"/>
          <w:lang w:val="en-US"/>
        </w:rPr>
        <w:t xml:space="preserve"> p-value = 0.0</w:t>
      </w:r>
      <w:r w:rsidR="00E23168">
        <w:rPr>
          <w:highlight w:val="green"/>
          <w:lang w:val="en-US"/>
        </w:rPr>
        <w:t>14</w:t>
      </w:r>
      <w:r w:rsidRPr="00B935AE">
        <w:rPr>
          <w:highlight w:val="green"/>
          <w:lang w:val="en-US"/>
        </w:rPr>
        <w:t xml:space="preserve">). For </w:t>
      </w:r>
      <w:r w:rsidR="00E23168">
        <w:rPr>
          <w:highlight w:val="green"/>
          <w:lang w:val="en-US"/>
        </w:rPr>
        <w:t>18 out of 19</w:t>
      </w:r>
      <w:r w:rsidRPr="00B935AE">
        <w:rPr>
          <w:highlight w:val="green"/>
          <w:lang w:val="en-US"/>
        </w:rPr>
        <w:t xml:space="preserve">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w:t>
      </w:r>
      <w:r w:rsidR="00E23168">
        <w:rPr>
          <w:highlight w:val="green"/>
          <w:lang w:val="en-US"/>
        </w:rPr>
        <w:t>one</w:t>
      </w:r>
      <w:r w:rsidRPr="00B935AE">
        <w:rPr>
          <w:highlight w:val="green"/>
          <w:lang w:val="en-US"/>
        </w:rPr>
        <w:t xml:space="preserv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w:t>
      </w:r>
      <w:r w:rsidR="00E23168">
        <w:rPr>
          <w:highlight w:val="green"/>
          <w:lang w:val="en-US"/>
        </w:rPr>
        <w:t>5</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w:t>
      </w:r>
      <w:r w:rsidR="00E23168">
        <w:rPr>
          <w:highlight w:val="green"/>
          <w:lang w:val="en-US"/>
        </w:rPr>
        <w:t>4</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w:t>
      </w:r>
      <w:r w:rsidR="00E23168">
        <w:rPr>
          <w:highlight w:val="green"/>
          <w:lang w:val="en-US"/>
        </w:rPr>
        <w:t>2</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lastRenderedPageBreak/>
        <w:drawing>
          <wp:inline distT="0" distB="0" distL="0" distR="0" wp14:anchorId="2FAA95F1" wp14:editId="0A36321A">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0853B6CA" w:rsidR="009E2773" w:rsidRPr="009E2773" w:rsidRDefault="00FE78E2" w:rsidP="00FE78E2">
      <w:pPr>
        <w:pStyle w:val="Lgende"/>
        <w:rPr>
          <w:highlight w:val="green"/>
          <w:lang w:val="en-GB"/>
        </w:rPr>
      </w:pPr>
      <w:bookmarkStart w:id="46"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E50086">
        <w:rPr>
          <w:noProof/>
          <w:lang w:val="en-US"/>
        </w:rPr>
        <w:t>9</w:t>
      </w:r>
      <w:r>
        <w:fldChar w:fldCharType="end"/>
      </w:r>
      <w:bookmarkEnd w:id="46"/>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7" w:name="_Toc199498312"/>
      <w:r>
        <w:rPr>
          <w:highlight w:val="green"/>
        </w:rPr>
        <w:t xml:space="preserve">BMF </w:t>
      </w:r>
      <w:proofErr w:type="spellStart"/>
      <w:r>
        <w:rPr>
          <w:highlight w:val="green"/>
        </w:rPr>
        <w:t>methodological</w:t>
      </w:r>
      <w:proofErr w:type="spellEnd"/>
      <w:r w:rsidR="005B78BD">
        <w:rPr>
          <w:highlight w:val="green"/>
        </w:rPr>
        <w:t xml:space="preserve"> </w:t>
      </w:r>
      <w:proofErr w:type="spellStart"/>
      <w:r w:rsidR="005B78BD">
        <w:rPr>
          <w:highlight w:val="green"/>
        </w:rPr>
        <w:t>comparison</w:t>
      </w:r>
      <w:bookmarkEnd w:id="47"/>
      <w:proofErr w:type="spellEnd"/>
    </w:p>
    <w:p w14:paraId="3132BA58" w14:textId="1FDB9DD0" w:rsidR="00DB2861" w:rsidRPr="00A941BB" w:rsidRDefault="00A84BA6" w:rsidP="00DB2861">
      <w:pPr>
        <w:pStyle w:val="Lgende"/>
        <w:keepNext/>
        <w:rPr>
          <w:highlight w:val="green"/>
        </w:rPr>
      </w:pPr>
      <w:r w:rsidRPr="00A941BB">
        <w:rPr>
          <w:noProof/>
          <w:highlight w:val="green"/>
        </w:rPr>
        <w:drawing>
          <wp:inline distT="0" distB="0" distL="0" distR="0" wp14:anchorId="4741FB4B" wp14:editId="49673E8C">
            <wp:extent cx="4068661" cy="271333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4122" cy="2716980"/>
                    </a:xfrm>
                    <a:prstGeom prst="rect">
                      <a:avLst/>
                    </a:prstGeom>
                  </pic:spPr>
                </pic:pic>
              </a:graphicData>
            </a:graphic>
          </wp:inline>
        </w:drawing>
      </w:r>
    </w:p>
    <w:p w14:paraId="1A26A0D0" w14:textId="5B52D2BE" w:rsidR="00C61E81" w:rsidRPr="00A941BB" w:rsidRDefault="00DB2861" w:rsidP="00DB2861">
      <w:pPr>
        <w:pStyle w:val="Lgende"/>
        <w:rPr>
          <w:highlight w:val="green"/>
          <w:lang w:val="en-US"/>
        </w:rPr>
      </w:pPr>
      <w:bookmarkStart w:id="48" w:name="_Ref200638019"/>
      <w:r w:rsidRPr="00A941BB">
        <w:rPr>
          <w:highlight w:val="green"/>
          <w:lang w:val="en-US"/>
        </w:rPr>
        <w:t xml:space="preserve">Figure </w:t>
      </w:r>
      <w:r w:rsidRPr="00A941BB">
        <w:rPr>
          <w:highlight w:val="green"/>
        </w:rPr>
        <w:fldChar w:fldCharType="begin"/>
      </w:r>
      <w:r w:rsidRPr="00A941BB">
        <w:rPr>
          <w:highlight w:val="green"/>
          <w:lang w:val="en-US"/>
        </w:rPr>
        <w:instrText xml:space="preserve"> SEQ Figure \* ARABIC </w:instrText>
      </w:r>
      <w:r w:rsidRPr="00A941BB">
        <w:rPr>
          <w:highlight w:val="green"/>
        </w:rPr>
        <w:fldChar w:fldCharType="separate"/>
      </w:r>
      <w:r w:rsidR="00E23168" w:rsidRPr="00A941BB">
        <w:rPr>
          <w:noProof/>
          <w:highlight w:val="green"/>
          <w:lang w:val="en-US"/>
        </w:rPr>
        <w:t>10</w:t>
      </w:r>
      <w:r w:rsidRPr="00A941BB">
        <w:rPr>
          <w:highlight w:val="green"/>
        </w:rPr>
        <w:fldChar w:fldCharType="end"/>
      </w:r>
      <w:bookmarkEnd w:id="48"/>
      <w:r w:rsidRPr="00A941BB">
        <w:rPr>
          <w:highlight w:val="green"/>
          <w:lang w:val="en-US"/>
        </w:rPr>
        <w:t xml:space="preserve"> – Influence of BMF computation </w:t>
      </w:r>
      <w:r w:rsidR="00E23168" w:rsidRPr="00A941BB">
        <w:rPr>
          <w:highlight w:val="green"/>
          <w:lang w:val="en-US"/>
        </w:rPr>
        <w:t xml:space="preserve">scenario on BMF estimates </w:t>
      </w:r>
      <w:r w:rsidRPr="00A941BB">
        <w:rPr>
          <w:highlight w:val="green"/>
          <w:lang w:val="en-US"/>
        </w:rPr>
        <w:t xml:space="preserve">for </w:t>
      </w:r>
      <w:r w:rsidR="00A84BA6" w:rsidRPr="00A941BB">
        <w:rPr>
          <w:highlight w:val="green"/>
          <w:lang w:val="en-US"/>
        </w:rPr>
        <w:t>CB153</w:t>
      </w:r>
      <w:r w:rsidRPr="00A941BB">
        <w:rPr>
          <w:highlight w:val="green"/>
          <w:lang w:val="en-US"/>
        </w:rPr>
        <w:t>.</w:t>
      </w:r>
    </w:p>
    <w:p w14:paraId="701AE39D" w14:textId="3AA4483B" w:rsidR="0092793B" w:rsidRPr="00EB0E50" w:rsidRDefault="00DB2861" w:rsidP="00DB2861">
      <w:pPr>
        <w:rPr>
          <w:lang w:val="en-US"/>
        </w:rPr>
      </w:pPr>
      <w:bookmarkStart w:id="49" w:name="_Ref193382885"/>
      <w:r w:rsidRPr="00A941BB">
        <w:rPr>
          <w:highlight w:val="green"/>
          <w:lang w:val="en-US"/>
        </w:rPr>
        <w:t>S</w:t>
      </w:r>
      <w:r w:rsidRPr="00A941BB">
        <w:rPr>
          <w:highlight w:val="green"/>
          <w:lang w:val="en-US"/>
        </w:rPr>
        <w:t>ummary statistics of BMF estimates for each computation method</w:t>
      </w:r>
      <w:r w:rsidRPr="00A941BB">
        <w:rPr>
          <w:highlight w:val="green"/>
          <w:lang w:val="en-US"/>
        </w:rPr>
        <w:t xml:space="preserve"> are presented in </w:t>
      </w:r>
      <w:r w:rsidRPr="00A941BB">
        <w:rPr>
          <w:highlight w:val="green"/>
          <w:lang w:val="en-US"/>
        </w:rPr>
        <w:fldChar w:fldCharType="begin"/>
      </w:r>
      <w:r w:rsidRPr="00A941BB">
        <w:rPr>
          <w:highlight w:val="green"/>
          <w:lang w:val="en-US"/>
        </w:rPr>
        <w:instrText xml:space="preserve"> REF _Ref200638019 \h </w:instrText>
      </w:r>
      <w:r w:rsidRPr="00A941BB">
        <w:rPr>
          <w:highlight w:val="green"/>
          <w:lang w:val="en-US"/>
        </w:rPr>
      </w:r>
      <w:r w:rsidR="00A941BB">
        <w:rPr>
          <w:highlight w:val="green"/>
          <w:lang w:val="en-US"/>
        </w:rPr>
        <w:instrText xml:space="preserve"> \* MERGEFORMAT </w:instrText>
      </w:r>
      <w:r w:rsidRPr="00A941BB">
        <w:rPr>
          <w:highlight w:val="green"/>
          <w:lang w:val="en-US"/>
        </w:rPr>
        <w:fldChar w:fldCharType="separate"/>
      </w:r>
      <w:r w:rsidR="00E23168" w:rsidRPr="00A941BB">
        <w:rPr>
          <w:highlight w:val="green"/>
          <w:lang w:val="en-US"/>
        </w:rPr>
        <w:t xml:space="preserve">Figure </w:t>
      </w:r>
      <w:r w:rsidR="00E23168" w:rsidRPr="00A941BB">
        <w:rPr>
          <w:noProof/>
          <w:highlight w:val="green"/>
          <w:lang w:val="en-US"/>
        </w:rPr>
        <w:t>10</w:t>
      </w:r>
      <w:r w:rsidRPr="00A941BB">
        <w:rPr>
          <w:highlight w:val="green"/>
          <w:lang w:val="en-US"/>
        </w:rPr>
        <w:fldChar w:fldCharType="end"/>
      </w:r>
      <w:r w:rsidR="00326BCB" w:rsidRPr="00A941BB">
        <w:rPr>
          <w:highlight w:val="green"/>
          <w:lang w:val="en-US"/>
        </w:rPr>
        <w:t xml:space="preserve">, with </w:t>
      </w:r>
      <w:r w:rsidR="00E23168" w:rsidRPr="00A941BB">
        <w:rPr>
          <w:highlight w:val="green"/>
          <w:lang w:val="en-US"/>
        </w:rPr>
        <w:t xml:space="preserve">detailed </w:t>
      </w:r>
      <w:r w:rsidRPr="00A941BB">
        <w:rPr>
          <w:highlight w:val="green"/>
          <w:lang w:val="en-US"/>
        </w:rPr>
        <w:t xml:space="preserve">values </w:t>
      </w:r>
      <w:r w:rsidR="00E23168" w:rsidRPr="00A941BB">
        <w:rPr>
          <w:highlight w:val="green"/>
          <w:lang w:val="en-US"/>
        </w:rPr>
        <w:t>by PCB congener and</w:t>
      </w:r>
      <w:r w:rsidR="00326BCB" w:rsidRPr="00A941BB">
        <w:rPr>
          <w:highlight w:val="green"/>
          <w:lang w:val="en-US"/>
        </w:rPr>
        <w:t xml:space="preserve"> for</w:t>
      </w:r>
      <w:r w:rsidR="00E23168" w:rsidRPr="00A941BB">
        <w:rPr>
          <w:highlight w:val="green"/>
          <w:lang w:val="en-US"/>
        </w:rPr>
        <w:t xml:space="preserve"> the sum of PCBs </w:t>
      </w:r>
      <w:r w:rsidR="00326BCB" w:rsidRPr="00A941BB">
        <w:rPr>
          <w:highlight w:val="green"/>
          <w:lang w:val="en-US"/>
        </w:rPr>
        <w:t>available</w:t>
      </w:r>
      <w:r w:rsidRPr="00A941BB">
        <w:rPr>
          <w:highlight w:val="green"/>
          <w:lang w:val="en-US"/>
        </w:rPr>
        <w:t xml:space="preserve"> in SI section 3.4</w:t>
      </w:r>
      <w:r w:rsidRPr="00A941BB">
        <w:rPr>
          <w:highlight w:val="green"/>
          <w:lang w:val="en-US"/>
        </w:rPr>
        <w:t>.</w:t>
      </w:r>
      <w:r w:rsidR="00E23168" w:rsidRPr="00A941BB">
        <w:rPr>
          <w:highlight w:val="green"/>
          <w:lang w:val="en-US"/>
        </w:rPr>
        <w:t xml:space="preserve"> Results </w:t>
      </w:r>
      <w:r w:rsidR="00326BCB" w:rsidRPr="00A941BB">
        <w:rPr>
          <w:highlight w:val="green"/>
          <w:lang w:val="en-US"/>
        </w:rPr>
        <w:t>indicate</w:t>
      </w:r>
      <w:r w:rsidR="00E23168" w:rsidRPr="00A941BB">
        <w:rPr>
          <w:highlight w:val="green"/>
          <w:lang w:val="en-US"/>
        </w:rPr>
        <w:t xml:space="preserve"> BMF estimates </w:t>
      </w:r>
      <w:r w:rsidR="00326BCB" w:rsidRPr="00A941BB">
        <w:rPr>
          <w:highlight w:val="green"/>
          <w:lang w:val="en-US"/>
        </w:rPr>
        <w:t xml:space="preserve">show </w:t>
      </w:r>
      <w:r w:rsidR="00E23168" w:rsidRPr="00A941BB">
        <w:rPr>
          <w:highlight w:val="green"/>
          <w:lang w:val="en-US"/>
        </w:rPr>
        <w:t xml:space="preserve">greater </w:t>
      </w:r>
      <w:r w:rsidR="00326BCB" w:rsidRPr="00A941BB">
        <w:rPr>
          <w:highlight w:val="green"/>
          <w:lang w:val="en-US"/>
        </w:rPr>
        <w:t>variability in</w:t>
      </w:r>
      <w:r w:rsidR="00E23168" w:rsidRPr="00A941BB">
        <w:rPr>
          <w:highlight w:val="green"/>
          <w:lang w:val="en-US"/>
        </w:rPr>
        <w:t xml:space="preserve"> scenarios based on diet composition. </w:t>
      </w:r>
      <w:r w:rsidR="00A941BB" w:rsidRPr="00A941BB">
        <w:rPr>
          <w:highlight w:val="green"/>
          <w:lang w:val="en-US"/>
        </w:rPr>
        <w:t>Notably</w:t>
      </w:r>
      <w:r w:rsidR="00E23168" w:rsidRPr="00A941BB">
        <w:rPr>
          <w:highlight w:val="green"/>
          <w:lang w:val="en-US"/>
        </w:rPr>
        <w:t xml:space="preserve">, only the diet-based scenario </w:t>
      </w:r>
      <w:r w:rsidR="00A941BB" w:rsidRPr="00A941BB">
        <w:rPr>
          <w:highlight w:val="green"/>
          <w:lang w:val="en-US"/>
        </w:rPr>
        <w:t>clearly supports</w:t>
      </w:r>
      <w:r w:rsidR="00E23168" w:rsidRPr="00A941BB">
        <w:rPr>
          <w:highlight w:val="green"/>
          <w:lang w:val="en-US"/>
        </w:rPr>
        <w:t xml:space="preserve"> bioaccumulation of CB153</w:t>
      </w:r>
      <w:r w:rsidR="00A941BB" w:rsidRPr="00A941BB">
        <w:rPr>
          <w:highlight w:val="green"/>
          <w:lang w:val="en-US"/>
        </w:rPr>
        <w:t xml:space="preserve">, with an estimated BMF of </w:t>
      </w:r>
      <w:r w:rsidR="00E23168" w:rsidRPr="00A941BB">
        <w:rPr>
          <w:highlight w:val="green"/>
          <w:lang w:val="en-US"/>
        </w:rPr>
        <w:t>2.01 [1.24-2.68]</w:t>
      </w:r>
      <w:r w:rsidR="00A941BB" w:rsidRPr="00A941BB">
        <w:rPr>
          <w:highlight w:val="green"/>
          <w:lang w:val="en-US"/>
        </w:rPr>
        <w:t>, while estimates for</w:t>
      </w:r>
      <w:r w:rsidR="00E23168" w:rsidRPr="00A941BB">
        <w:rPr>
          <w:highlight w:val="green"/>
          <w:lang w:val="en-US"/>
        </w:rPr>
        <w:t xml:space="preserve"> the other</w:t>
      </w:r>
      <w:r w:rsidR="00A941BB" w:rsidRPr="00A941BB">
        <w:rPr>
          <w:highlight w:val="green"/>
          <w:lang w:val="en-US"/>
        </w:rPr>
        <w:t xml:space="preserve"> methods span</w:t>
      </w:r>
      <w:r w:rsidR="00E23168" w:rsidRPr="00A941BB">
        <w:rPr>
          <w:highlight w:val="green"/>
          <w:lang w:val="en-US"/>
        </w:rPr>
        <w:t xml:space="preserve"> both above and below </w:t>
      </w:r>
      <w:r w:rsidR="00A941BB" w:rsidRPr="00A941BB">
        <w:rPr>
          <w:highlight w:val="green"/>
          <w:lang w:val="en-US"/>
        </w:rPr>
        <w:t>the</w:t>
      </w:r>
      <w:r w:rsidR="00E23168" w:rsidRPr="00A941BB">
        <w:rPr>
          <w:highlight w:val="green"/>
          <w:lang w:val="en-US"/>
        </w:rPr>
        <w:t xml:space="preserve"> bioaccumulation </w:t>
      </w:r>
      <w:r w:rsidR="00A941BB" w:rsidRPr="00A941BB">
        <w:rPr>
          <w:highlight w:val="green"/>
          <w:lang w:val="en-US"/>
        </w:rPr>
        <w:t xml:space="preserve">threshold </w:t>
      </w:r>
      <w:r w:rsidR="00E23168" w:rsidRPr="00A941BB">
        <w:rPr>
          <w:highlight w:val="green"/>
          <w:lang w:val="en-US"/>
        </w:rPr>
        <w:t>of 1.</w:t>
      </w:r>
      <w:r w:rsidR="00EB0E50" w:rsidRPr="00A941BB">
        <w:rPr>
          <w:highlight w:val="green"/>
          <w:lang w:val="en-US"/>
        </w:rPr>
        <w:t xml:space="preserve"> Diet-based scenarios </w:t>
      </w:r>
      <w:r w:rsidR="00A941BB" w:rsidRPr="00A941BB">
        <w:rPr>
          <w:highlight w:val="green"/>
          <w:lang w:val="en-US"/>
        </w:rPr>
        <w:t xml:space="preserve">also yield </w:t>
      </w:r>
      <w:r w:rsidR="00EB0E50" w:rsidRPr="00A941BB">
        <w:rPr>
          <w:highlight w:val="green"/>
          <w:lang w:val="en-US"/>
        </w:rPr>
        <w:t xml:space="preserve">higher median BMFs </w:t>
      </w:r>
      <w:r w:rsidR="00A941BB" w:rsidRPr="00A941BB">
        <w:rPr>
          <w:highlight w:val="green"/>
          <w:lang w:val="en-US"/>
        </w:rPr>
        <w:t xml:space="preserve">values </w:t>
      </w:r>
      <w:r w:rsidR="00EB0E50" w:rsidRPr="00A941BB">
        <w:rPr>
          <w:highlight w:val="green"/>
          <w:lang w:val="en-US"/>
        </w:rPr>
        <w:t xml:space="preserve">compared to predator-prey scenarios, </w:t>
      </w:r>
      <w:r w:rsidR="00A941BB" w:rsidRPr="00A941BB">
        <w:rPr>
          <w:highlight w:val="green"/>
          <w:lang w:val="en-US"/>
        </w:rPr>
        <w:t>suggesting</w:t>
      </w:r>
      <w:r w:rsidR="00EB0E50" w:rsidRPr="00A941BB">
        <w:rPr>
          <w:highlight w:val="green"/>
          <w:lang w:val="en-US"/>
        </w:rPr>
        <w:t xml:space="preserve"> that </w:t>
      </w:r>
      <w:r w:rsidR="00A941BB" w:rsidRPr="00A941BB">
        <w:rPr>
          <w:highlight w:val="green"/>
          <w:lang w:val="en-US"/>
        </w:rPr>
        <w:t xml:space="preserve">the </w:t>
      </w:r>
      <w:proofErr w:type="spellStart"/>
      <w:r w:rsidR="00A941BB" w:rsidRPr="00A941BB">
        <w:rPr>
          <w:highlight w:val="green"/>
          <w:lang w:val="en-US"/>
        </w:rPr>
        <w:t>dierary</w:t>
      </w:r>
      <w:proofErr w:type="spellEnd"/>
      <w:r w:rsidR="00A941BB" w:rsidRPr="00A941BB">
        <w:rPr>
          <w:highlight w:val="green"/>
          <w:lang w:val="en-US"/>
        </w:rPr>
        <w:t xml:space="preserve"> contamination level</w:t>
      </w:r>
      <w:r w:rsidR="00EB0E50" w:rsidRPr="00A941BB">
        <w:rPr>
          <w:highlight w:val="green"/>
          <w:lang w:val="en-US"/>
        </w:rPr>
        <w:t xml:space="preserve"> </w:t>
      </w:r>
      <w:r w:rsidR="00326BCB" w:rsidRPr="00A941BB">
        <w:rPr>
          <w:highlight w:val="green"/>
          <w:lang w:val="en-US"/>
        </w:rPr>
        <w:t>(</w:t>
      </w:r>
      <w:r w:rsidR="00326BCB" w:rsidRPr="00A941BB">
        <w:rPr>
          <w:highlight w:val="green"/>
          <w:lang w:val="en-US"/>
        </w:rPr>
        <w:t>666</w:t>
      </w:r>
      <w:r w:rsidR="00326BCB" w:rsidRPr="00A941BB">
        <w:rPr>
          <w:highlight w:val="green"/>
          <w:lang w:val="en-US"/>
        </w:rPr>
        <w:t>6 [</w:t>
      </w:r>
      <w:r w:rsidR="00326BCB" w:rsidRPr="00A941BB">
        <w:rPr>
          <w:highlight w:val="green"/>
          <w:lang w:val="en-US"/>
        </w:rPr>
        <w:t>5224</w:t>
      </w:r>
      <w:r w:rsidR="00326BCB" w:rsidRPr="00A941BB">
        <w:rPr>
          <w:highlight w:val="green"/>
          <w:lang w:val="en-US"/>
        </w:rPr>
        <w:t>-</w:t>
      </w:r>
      <w:r w:rsidR="00326BCB" w:rsidRPr="00A941BB">
        <w:rPr>
          <w:highlight w:val="green"/>
          <w:lang w:val="en-US"/>
        </w:rPr>
        <w:t>8058</w:t>
      </w:r>
      <w:r w:rsidR="00326BCB" w:rsidRPr="00A941BB">
        <w:rPr>
          <w:highlight w:val="green"/>
          <w:lang w:val="en-US"/>
        </w:rPr>
        <w:t xml:space="preserve">] ng/g </w:t>
      </w:r>
      <w:proofErr w:type="spellStart"/>
      <w:r w:rsidR="00326BCB" w:rsidRPr="00A941BB">
        <w:rPr>
          <w:highlight w:val="green"/>
          <w:lang w:val="en-US"/>
        </w:rPr>
        <w:t>lw</w:t>
      </w:r>
      <w:proofErr w:type="spellEnd"/>
      <w:r w:rsidR="00326BCB" w:rsidRPr="00A941BB">
        <w:rPr>
          <w:highlight w:val="green"/>
          <w:lang w:val="en-US"/>
        </w:rPr>
        <w:t xml:space="preserve">) </w:t>
      </w:r>
      <w:r w:rsidR="00EB0E50" w:rsidRPr="00A941BB">
        <w:rPr>
          <w:highlight w:val="green"/>
          <w:lang w:val="en-US"/>
        </w:rPr>
        <w:t xml:space="preserve">is </w:t>
      </w:r>
      <w:r w:rsidR="00A941BB" w:rsidRPr="00A941BB">
        <w:rPr>
          <w:highlight w:val="green"/>
          <w:lang w:val="en-US"/>
        </w:rPr>
        <w:t>lower than</w:t>
      </w:r>
      <w:r w:rsidR="00EB0E50" w:rsidRPr="00A941BB">
        <w:rPr>
          <w:highlight w:val="green"/>
          <w:lang w:val="en-US"/>
        </w:rPr>
        <w:t xml:space="preserve"> the median contamination level </w:t>
      </w:r>
      <w:r w:rsidR="00A941BB" w:rsidRPr="00A941BB">
        <w:rPr>
          <w:highlight w:val="green"/>
          <w:lang w:val="en-US"/>
        </w:rPr>
        <w:t>observed in</w:t>
      </w:r>
      <w:r w:rsidR="00EB0E50" w:rsidRPr="00A941BB">
        <w:rPr>
          <w:highlight w:val="green"/>
          <w:lang w:val="en-US"/>
        </w:rPr>
        <w:t xml:space="preserve"> </w:t>
      </w:r>
      <w:proofErr w:type="gramStart"/>
      <w:r w:rsidR="00EB0E50" w:rsidRPr="00A941BB">
        <w:rPr>
          <w:highlight w:val="green"/>
          <w:lang w:val="en-US"/>
        </w:rPr>
        <w:t>preys</w:t>
      </w:r>
      <w:proofErr w:type="gramEnd"/>
      <w:r w:rsidR="00326BCB" w:rsidRPr="00A941BB">
        <w:rPr>
          <w:highlight w:val="green"/>
          <w:lang w:val="en-US"/>
        </w:rPr>
        <w:t xml:space="preserve"> </w:t>
      </w:r>
      <w:r w:rsidR="00A941BB" w:rsidRPr="00A941BB">
        <w:rPr>
          <w:highlight w:val="green"/>
          <w:lang w:val="en-US"/>
        </w:rPr>
        <w:t xml:space="preserve">species </w:t>
      </w:r>
      <w:r w:rsidR="00326BCB" w:rsidRPr="00A941BB">
        <w:rPr>
          <w:highlight w:val="green"/>
          <w:lang w:val="en-US"/>
        </w:rPr>
        <w:t xml:space="preserve">(10 754 [922-59 074] ng/g </w:t>
      </w:r>
      <w:proofErr w:type="spellStart"/>
      <w:r w:rsidR="00326BCB" w:rsidRPr="00A941BB">
        <w:rPr>
          <w:highlight w:val="green"/>
          <w:lang w:val="en-US"/>
        </w:rPr>
        <w:t>lw</w:t>
      </w:r>
      <w:proofErr w:type="spellEnd"/>
      <w:r w:rsidR="00326BCB" w:rsidRPr="00A941BB">
        <w:rPr>
          <w:highlight w:val="green"/>
          <w:lang w:val="en-US"/>
        </w:rPr>
        <w:t>).</w:t>
      </w:r>
    </w:p>
    <w:p w14:paraId="49D49A0D" w14:textId="3C86441B" w:rsidR="00C54A24" w:rsidRPr="00165B63" w:rsidRDefault="00F70F0B" w:rsidP="0092793B">
      <w:pPr>
        <w:pStyle w:val="Titre2"/>
        <w:rPr>
          <w:highlight w:val="green"/>
          <w:lang w:val="en-GB"/>
        </w:rPr>
      </w:pPr>
      <w:bookmarkStart w:id="50" w:name="_Toc199498313"/>
      <w:bookmarkEnd w:id="49"/>
      <w:r w:rsidRPr="00165B63">
        <w:rPr>
          <w:highlight w:val="green"/>
          <w:lang w:val="en-GB"/>
        </w:rPr>
        <w:t>Diet-based B</w:t>
      </w:r>
      <w:r w:rsidR="00C61E81" w:rsidRPr="00165B63">
        <w:rPr>
          <w:highlight w:val="green"/>
          <w:lang w:val="en-GB"/>
        </w:rPr>
        <w:t>MF</w:t>
      </w:r>
      <w:r w:rsidR="00D56A27" w:rsidRPr="00165B63">
        <w:rPr>
          <w:highlight w:val="green"/>
          <w:lang w:val="en-GB"/>
        </w:rPr>
        <w:t>s</w:t>
      </w:r>
      <w:r w:rsidRPr="00165B63">
        <w:rPr>
          <w:highlight w:val="green"/>
          <w:lang w:val="en-GB"/>
        </w:rPr>
        <w:t xml:space="preserve"> fo</w:t>
      </w:r>
      <w:r w:rsidR="00C61E81" w:rsidRPr="00165B63">
        <w:rPr>
          <w:highlight w:val="green"/>
          <w:lang w:val="en-GB"/>
        </w:rPr>
        <w:t>r PFASs</w:t>
      </w:r>
      <w:bookmarkEnd w:id="50"/>
    </w:p>
    <w:p w14:paraId="05EF97DA" w14:textId="7A07B85E" w:rsidR="00D8789F" w:rsidRPr="00165B63" w:rsidRDefault="00D8789F" w:rsidP="00D8789F">
      <w:pPr>
        <w:pStyle w:val="Titre3"/>
        <w:rPr>
          <w:highlight w:val="green"/>
          <w:lang w:val="en-GB"/>
        </w:rPr>
      </w:pPr>
      <w:r w:rsidRPr="00165B63">
        <w:rPr>
          <w:highlight w:val="green"/>
          <w:lang w:val="en-US"/>
        </w:rPr>
        <w:lastRenderedPageBreak/>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F4E769" w14:textId="77777777" w:rsidR="00EB0E50" w:rsidRDefault="003774E3" w:rsidP="00B543D7">
      <w:pPr>
        <w:rPr>
          <w:highlight w:val="green"/>
          <w:lang w:val="en-US"/>
        </w:rPr>
      </w:pPr>
      <w:r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Pr="00B543D7">
        <w:rPr>
          <w:highlight w:val="green"/>
          <w:lang w:val="en-US"/>
        </w:rPr>
        <w:t xml:space="preserve">for certain compounds, the “uncensored” scenario (based solely on detected values) yielded median BMF estimates that differed from those obtained with the other approaches. </w:t>
      </w:r>
      <w:r w:rsidRPr="00B543D7">
        <w:rPr>
          <w:highlight w:val="green"/>
          <w:lang w:val="en-US"/>
        </w:rPr>
        <w:t xml:space="preserve">Slight differences were observed for PFDA, </w:t>
      </w:r>
      <w:proofErr w:type="spellStart"/>
      <w:r w:rsidRPr="00B543D7">
        <w:rPr>
          <w:highlight w:val="green"/>
          <w:lang w:val="en-US"/>
        </w:rPr>
        <w:t>PFTrDA</w:t>
      </w:r>
      <w:proofErr w:type="spellEnd"/>
      <w:r w:rsidRPr="00B543D7">
        <w:rPr>
          <w:highlight w:val="green"/>
          <w:lang w:val="en-US"/>
        </w:rPr>
        <w:t xml:space="preserve">, FOSA, </w:t>
      </w:r>
      <w:proofErr w:type="spellStart"/>
      <w:r w:rsidRPr="00B543D7">
        <w:rPr>
          <w:highlight w:val="green"/>
          <w:lang w:val="en-US"/>
        </w:rPr>
        <w:t>EtFOSAA</w:t>
      </w:r>
      <w:proofErr w:type="spellEnd"/>
      <w:r w:rsidRPr="00B543D7">
        <w:rPr>
          <w:highlight w:val="green"/>
          <w:lang w:val="en-US"/>
        </w:rPr>
        <w:t>, and Br-PFOS</w:t>
      </w:r>
      <w:r w:rsidR="00B543D7" w:rsidRPr="00B543D7">
        <w:rPr>
          <w:highlight w:val="green"/>
          <w:lang w:val="en-US"/>
        </w:rPr>
        <w:t>. More</w:t>
      </w:r>
      <w:r w:rsidRPr="00B543D7">
        <w:rPr>
          <w:highlight w:val="green"/>
          <w:lang w:val="en-US"/>
        </w:rPr>
        <w:t xml:space="preserve"> substantial discrepancies occurred for </w:t>
      </w:r>
      <w:proofErr w:type="spellStart"/>
      <w:r w:rsidRPr="00B543D7">
        <w:rPr>
          <w:highlight w:val="green"/>
          <w:lang w:val="en-US"/>
        </w:rPr>
        <w:t>PFUnDA</w:t>
      </w:r>
      <w:proofErr w:type="spellEnd"/>
      <w:r w:rsidRPr="00B543D7">
        <w:rPr>
          <w:highlight w:val="green"/>
          <w:lang w:val="en-US"/>
        </w:rPr>
        <w:t xml:space="preserve">, </w:t>
      </w:r>
      <w:proofErr w:type="spellStart"/>
      <w:r w:rsidRPr="00B543D7">
        <w:rPr>
          <w:highlight w:val="green"/>
          <w:lang w:val="en-US"/>
        </w:rPr>
        <w:t>PFTeDA</w:t>
      </w:r>
      <w:proofErr w:type="spellEnd"/>
      <w:r w:rsidRPr="00B543D7">
        <w:rPr>
          <w:highlight w:val="green"/>
          <w:lang w:val="en-US"/>
        </w:rPr>
        <w:t>,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Pr="00B543D7">
        <w:rPr>
          <w:highlight w:val="green"/>
          <w:lang w:val="en-US"/>
        </w:rPr>
        <w:t xml:space="preserve">the uncensored scenario indicated biomagnification, whereas the other </w:t>
      </w:r>
      <w:r w:rsidR="00B543D7" w:rsidRPr="00B543D7">
        <w:rPr>
          <w:highlight w:val="green"/>
          <w:lang w:val="en-US"/>
        </w:rPr>
        <w:t>methods consistently</w:t>
      </w:r>
      <w:r w:rsidRPr="00B543D7">
        <w:rPr>
          <w:highlight w:val="green"/>
          <w:lang w:val="en-US"/>
        </w:rPr>
        <w:t xml:space="preserve"> suggested strong </w:t>
      </w:r>
      <w:proofErr w:type="spellStart"/>
      <w:r w:rsidRPr="00B543D7">
        <w:rPr>
          <w:highlight w:val="green"/>
          <w:lang w:val="en-US"/>
        </w:rPr>
        <w:t>biodilution</w:t>
      </w:r>
      <w:proofErr w:type="spellEnd"/>
      <w:r w:rsidRPr="00B543D7">
        <w:rPr>
          <w:highlight w:val="green"/>
          <w:lang w:val="en-US"/>
        </w:rPr>
        <w:t>.</w:t>
      </w:r>
      <w:r w:rsidR="00B543D7" w:rsidRPr="00B543D7">
        <w:rPr>
          <w:highlight w:val="green"/>
          <w:lang w:val="en-US"/>
        </w:rPr>
        <w:t xml:space="preserve"> </w:t>
      </w:r>
    </w:p>
    <w:p w14:paraId="182769F1" w14:textId="065E5468" w:rsidR="00D56A27" w:rsidRDefault="00A4580A" w:rsidP="00B543D7">
      <w:pPr>
        <w:rPr>
          <w:lang w:val="en-US"/>
        </w:rPr>
      </w:pPr>
      <w:r w:rsidRPr="00B543D7">
        <w:rPr>
          <w:highlight w:val="green"/>
          <w:lang w:val="en-US"/>
        </w:rPr>
        <w:t xml:space="preserve">The two </w:t>
      </w:r>
      <w:r w:rsidR="00B543D7" w:rsidRPr="00B543D7">
        <w:rPr>
          <w:highlight w:val="green"/>
          <w:lang w:val="en-US"/>
        </w:rPr>
        <w:t xml:space="preserve">substitution-based </w:t>
      </w:r>
      <w:r w:rsidRPr="00B543D7">
        <w:rPr>
          <w:highlight w:val="green"/>
          <w:lang w:val="en-US"/>
        </w:rPr>
        <w:t xml:space="preserve">scenarios </w:t>
      </w:r>
      <w:r w:rsidR="00B543D7" w:rsidRPr="00B543D7">
        <w:rPr>
          <w:highlight w:val="green"/>
          <w:lang w:val="en-US"/>
        </w:rPr>
        <w:t>(i.e., half-LOQ and log-normal imputation) produced comparable results</w:t>
      </w:r>
      <w:r w:rsidRPr="00B543D7">
        <w:rPr>
          <w:highlight w:val="green"/>
          <w:lang w:val="en-US"/>
        </w:rPr>
        <w:t xml:space="preserve">. </w:t>
      </w:r>
      <w:r w:rsidR="00B543D7" w:rsidRPr="00B543D7">
        <w:rPr>
          <w:highlight w:val="green"/>
          <w:lang w:val="en-US"/>
        </w:rPr>
        <w:t>Similarly, t</w:t>
      </w:r>
      <w:r w:rsidRPr="00B543D7">
        <w:rPr>
          <w:highlight w:val="green"/>
          <w:lang w:val="en-US"/>
        </w:rPr>
        <w:t xml:space="preserve">he Kaplan-Meier </w:t>
      </w:r>
      <w:r w:rsidR="00B543D7" w:rsidRPr="00B543D7">
        <w:rPr>
          <w:highlight w:val="green"/>
          <w:lang w:val="en-US"/>
        </w:rPr>
        <w:t>method yielded results consistent with the substitution approaches, except</w:t>
      </w:r>
      <w:r w:rsidRPr="00B543D7">
        <w:rPr>
          <w:highlight w:val="green"/>
          <w:lang w:val="en-US"/>
        </w:rPr>
        <w:t xml:space="preserve"> for eight compound</w:t>
      </w:r>
      <w:r w:rsidR="00B543D7" w:rsidRPr="00B543D7">
        <w:rPr>
          <w:highlight w:val="green"/>
          <w:lang w:val="en-US"/>
        </w:rPr>
        <w:t>s</w:t>
      </w:r>
      <w:r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Pr="00B543D7">
        <w:rPr>
          <w:highlight w:val="green"/>
          <w:lang w:val="en-US"/>
        </w:rPr>
        <w:t>summary statistics</w:t>
      </w:r>
      <w:r w:rsidR="00B543D7" w:rsidRPr="00B543D7">
        <w:rPr>
          <w:highlight w:val="green"/>
          <w:lang w:val="en-US"/>
        </w:rPr>
        <w:t xml:space="preserve"> could not be estimated</w:t>
      </w:r>
      <w:r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Pr="00B543D7">
        <w:rPr>
          <w:highlight w:val="green"/>
          <w:lang w:val="en-US"/>
        </w:rPr>
        <w:t xml:space="preserve">, except for </w:t>
      </w:r>
      <w:proofErr w:type="spellStart"/>
      <w:r w:rsidRPr="00B543D7">
        <w:rPr>
          <w:highlight w:val="green"/>
          <w:lang w:val="en-US"/>
        </w:rPr>
        <w:t>PFU</w:t>
      </w:r>
      <w:r w:rsidR="008032F3" w:rsidRPr="00B543D7">
        <w:rPr>
          <w:highlight w:val="green"/>
          <w:lang w:val="en-US"/>
        </w:rPr>
        <w:t>nDA</w:t>
      </w:r>
      <w:proofErr w:type="spellEnd"/>
      <w:r w:rsidR="008032F3" w:rsidRPr="00B543D7">
        <w:rPr>
          <w:highlight w:val="green"/>
          <w:lang w:val="en-US"/>
        </w:rPr>
        <w:t xml:space="preserve">, </w:t>
      </w:r>
      <w:proofErr w:type="spellStart"/>
      <w:r w:rsidR="008032F3" w:rsidRPr="00B543D7">
        <w:rPr>
          <w:highlight w:val="green"/>
          <w:lang w:val="en-US"/>
        </w:rPr>
        <w:t>PFTeDA</w:t>
      </w:r>
      <w:proofErr w:type="spellEnd"/>
      <w:r w:rsidR="008032F3" w:rsidRPr="00B543D7">
        <w:rPr>
          <w:highlight w:val="green"/>
          <w:lang w:val="en-US"/>
        </w:rPr>
        <w:t>, Br-PFOS, and 2:2 FTSA</w:t>
      </w:r>
      <w:r w:rsidR="003774E3"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003774E3"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proofErr w:type="spellStart"/>
      <w:r w:rsidR="008032F3" w:rsidRPr="00B543D7">
        <w:rPr>
          <w:highlight w:val="green"/>
          <w:lang w:val="en-US"/>
        </w:rPr>
        <w:t>biodilution</w:t>
      </w:r>
      <w:proofErr w:type="spellEnd"/>
      <w:r w:rsidR="008032F3" w:rsidRPr="00B543D7">
        <w:rPr>
          <w:highlight w:val="green"/>
          <w:lang w:val="en-US"/>
        </w:rPr>
        <w:t xml:space="preserve"> or biomagnification</w:t>
      </w:r>
      <w:r w:rsidR="003774E3" w:rsidRPr="00B543D7">
        <w:rPr>
          <w:highlight w:val="green"/>
          <w:lang w:val="en-US"/>
        </w:rPr>
        <w:t>.</w:t>
      </w:r>
    </w:p>
    <w:p w14:paraId="759DC1C9" w14:textId="4A6ACF40" w:rsidR="00EB0E50" w:rsidRPr="00A84BA6" w:rsidRDefault="00EB0E50" w:rsidP="00EB0E50">
      <w:pPr>
        <w:rPr>
          <w:highlight w:val="yellow"/>
        </w:rPr>
      </w:pPr>
      <w:r w:rsidRPr="00A84BA6">
        <w:rPr>
          <w:highlight w:val="yellow"/>
        </w:rPr>
        <w:t xml:space="preserve">Le L-PFOS, utilisé comme référence de composé </w:t>
      </w:r>
      <w:proofErr w:type="spellStart"/>
      <w:r w:rsidRPr="00A84BA6">
        <w:rPr>
          <w:highlight w:val="yellow"/>
        </w:rPr>
        <w:t>biomagnifié</w:t>
      </w:r>
      <w:proofErr w:type="spellEnd"/>
      <w:r w:rsidRPr="00A84BA6">
        <w:rPr>
          <w:highlight w:val="yellow"/>
        </w:rPr>
        <w:t xml:space="preserve"> parmi les PFAS, a bien une valeur médiane </w:t>
      </w:r>
      <w:proofErr w:type="spellStart"/>
      <w:r w:rsidRPr="00A84BA6">
        <w:rPr>
          <w:highlight w:val="yellow"/>
        </w:rPr>
        <w:t>au dessus</w:t>
      </w:r>
      <w:proofErr w:type="spellEnd"/>
      <w:r w:rsidRPr="00A84BA6">
        <w:rPr>
          <w:highlight w:val="yellow"/>
        </w:rPr>
        <w:t xml:space="preserve"> de 1 pour la méthode </w:t>
      </w:r>
      <w:proofErr w:type="spellStart"/>
      <w:r w:rsidRPr="00A84BA6">
        <w:rPr>
          <w:highlight w:val="yellow"/>
        </w:rPr>
        <w:t>diet</w:t>
      </w:r>
      <w:proofErr w:type="spellEnd"/>
      <w:r w:rsidRPr="00A84BA6">
        <w:rPr>
          <w:highlight w:val="yellow"/>
        </w:rPr>
        <w:t xml:space="preserve"> (1.48 [0.89-3.16]). Celle-ci est plus élevée pour la méthode </w:t>
      </w:r>
      <w:proofErr w:type="spellStart"/>
      <w:r w:rsidRPr="00A84BA6">
        <w:rPr>
          <w:highlight w:val="yellow"/>
        </w:rPr>
        <w:t>species</w:t>
      </w:r>
      <w:proofErr w:type="spellEnd"/>
      <w:r w:rsidRPr="00A84BA6">
        <w:rPr>
          <w:highlight w:val="yellow"/>
        </w:rPr>
        <w:t xml:space="preserve"> (4.94 [0.47-23.90]). Dans les deux cas la variabilité rend difficile de conclure sur des propriétés de bioaccumulation.</w:t>
      </w:r>
    </w:p>
    <w:p w14:paraId="40203807" w14:textId="77777777" w:rsidR="00EB0E50" w:rsidRPr="00A84BA6" w:rsidRDefault="00EB0E50" w:rsidP="00EB0E50">
      <w:pPr>
        <w:rPr>
          <w:sz w:val="24"/>
          <w:szCs w:val="24"/>
          <w:highlight w:val="yellow"/>
        </w:rPr>
      </w:pPr>
      <w:r w:rsidRPr="00A84BA6">
        <w:rPr>
          <w:sz w:val="24"/>
          <w:szCs w:val="24"/>
          <w:highlight w:val="yellow"/>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A84BA6">
        <w:rPr>
          <w:sz w:val="24"/>
          <w:szCs w:val="24"/>
          <w:highlight w:val="yellow"/>
        </w:rPr>
        <w:fldChar w:fldCharType="begin"/>
      </w:r>
      <w:r w:rsidRPr="00A84BA6">
        <w:rPr>
          <w:sz w:val="24"/>
          <w:szCs w:val="24"/>
          <w:highlight w:val="yellow"/>
        </w:rPr>
        <w:instrText xml:space="preserve"> REF _Ref187850994 \h  \* MERGEFORMAT </w:instrText>
      </w:r>
      <w:r w:rsidRPr="00A84BA6">
        <w:rPr>
          <w:sz w:val="24"/>
          <w:szCs w:val="24"/>
          <w:highlight w:val="yellow"/>
        </w:rPr>
      </w:r>
      <w:r w:rsidRPr="00A84BA6">
        <w:rPr>
          <w:sz w:val="24"/>
          <w:szCs w:val="24"/>
          <w:highlight w:val="yellow"/>
        </w:rPr>
        <w:fldChar w:fldCharType="separate"/>
      </w:r>
      <w:r w:rsidRPr="00A84BA6">
        <w:rPr>
          <w:sz w:val="24"/>
          <w:szCs w:val="24"/>
          <w:highlight w:val="yellow"/>
        </w:rPr>
        <w:t xml:space="preserve">Tableau </w:t>
      </w:r>
      <w:r w:rsidRPr="00A84BA6">
        <w:rPr>
          <w:noProof/>
          <w:sz w:val="24"/>
          <w:szCs w:val="24"/>
          <w:highlight w:val="yellow"/>
        </w:rPr>
        <w:t>4</w:t>
      </w:r>
      <w:r w:rsidRPr="00A84BA6">
        <w:rPr>
          <w:sz w:val="24"/>
          <w:szCs w:val="24"/>
          <w:highlight w:val="yellow"/>
        </w:rPr>
        <w:fldChar w:fldCharType="end"/>
      </w:r>
      <w:r w:rsidRPr="00A84BA6">
        <w:rPr>
          <w:sz w:val="24"/>
          <w:szCs w:val="24"/>
          <w:highlight w:val="yellow"/>
        </w:rPr>
        <w:t xml:space="preserve">, les BMF moyens ou médians sont supérieurs à 1, ce qui suggère la bioamplification de ces COH en bon accord avec des résultats antérieurs obtenus sur la Gironde pour les PCB et les PFAS (Munoz et al., 2017 ; </w:t>
      </w:r>
      <w:proofErr w:type="spellStart"/>
      <w:r w:rsidRPr="00A84BA6">
        <w:rPr>
          <w:sz w:val="24"/>
          <w:szCs w:val="24"/>
          <w:highlight w:val="yellow"/>
        </w:rPr>
        <w:t>Lauzent</w:t>
      </w:r>
      <w:proofErr w:type="spellEnd"/>
      <w:r w:rsidRPr="00A84BA6">
        <w:rPr>
          <w:sz w:val="24"/>
          <w:szCs w:val="24"/>
          <w:highlight w:val="yellow"/>
        </w:rPr>
        <w:t xml:space="preserve">, 2017). </w:t>
      </w:r>
    </w:p>
    <w:p w14:paraId="6BD8C22A" w14:textId="77777777" w:rsidR="00EB0E50" w:rsidRPr="00EB0E50" w:rsidRDefault="00EB0E50" w:rsidP="00B543D7"/>
    <w:p w14:paraId="06F10DC8" w14:textId="77777777" w:rsidR="003774E3" w:rsidRPr="007B167E" w:rsidRDefault="003774E3" w:rsidP="003774E3">
      <w:pPr>
        <w:keepNext/>
        <w:rPr>
          <w:highlight w:val="green"/>
          <w:lang w:val="en-US"/>
        </w:rPr>
      </w:pPr>
      <w:r w:rsidRPr="007B167E">
        <w:rPr>
          <w:noProof/>
          <w:highlight w:val="green"/>
          <w:lang w:val="en-US"/>
        </w:rPr>
        <w:lastRenderedPageBreak/>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AB5A35" w:rsidR="003774E3" w:rsidRDefault="003774E3" w:rsidP="003774E3">
      <w:pPr>
        <w:pStyle w:val="Lgende"/>
        <w:rPr>
          <w:lang w:val="en-US"/>
        </w:rPr>
      </w:pPr>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E50086">
        <w:rPr>
          <w:noProof/>
          <w:highlight w:val="green"/>
          <w:lang w:val="en-US"/>
        </w:rPr>
        <w:t>11</w:t>
      </w:r>
      <w:r w:rsidRPr="007B167E">
        <w:rPr>
          <w:highlight w:val="green"/>
        </w:rPr>
        <w:fldChar w:fldCharType="end"/>
      </w:r>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381ECF">
      <w:pPr>
        <w:pStyle w:val="Titre3"/>
        <w:numPr>
          <w:ilvl w:val="2"/>
          <w:numId w:val="11"/>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5E43FA1C" w:rsidR="00D8789F" w:rsidRPr="00165B63" w:rsidRDefault="00165B63" w:rsidP="00D8789F">
      <w:pPr>
        <w:rPr>
          <w:highlight w:val="green"/>
          <w:lang w:val="en-US"/>
        </w:rPr>
      </w:pPr>
      <w:r w:rsidRPr="00165B63">
        <w:rPr>
          <w:highlight w:val="green"/>
          <w:lang w:val="en-US"/>
        </w:rPr>
        <w:t xml:space="preserve">For a given </w:t>
      </w:r>
      <w:proofErr w:type="spellStart"/>
      <w:r w:rsidRPr="00165B63">
        <w:rPr>
          <w:highlight w:val="green"/>
          <w:lang w:val="en-US"/>
        </w:rPr>
        <w:t>perfluorinated</w:t>
      </w:r>
      <w:proofErr w:type="spellEnd"/>
      <w:r w:rsidRPr="00165B63">
        <w:rPr>
          <w:highlight w:val="green"/>
          <w:lang w:val="en-US"/>
        </w:rPr>
        <w:t xml:space="preserve"> chain length of eight carbon atoms, perfluoroalkyl sulfonates (PFSAs) exhibit higher median BMF estimates, indicating biomagnification, whereas the other sub-families show patterns consistent with </w:t>
      </w:r>
      <w:proofErr w:type="spellStart"/>
      <w:r w:rsidRPr="00165B63">
        <w:rPr>
          <w:highlight w:val="green"/>
          <w:lang w:val="en-US"/>
        </w:rPr>
        <w:t>biodilution</w:t>
      </w:r>
      <w:proofErr w:type="spellEnd"/>
      <w:r w:rsidRPr="00165B63">
        <w:rPr>
          <w:highlight w:val="green"/>
          <w:lang w:val="en-US"/>
        </w:rPr>
        <w:t>. In contrast, within the perfluoroalkyl carboxylic acids (PFCAs) sub-family, BMF estimates show no clear trend with increasing chain length.</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5F7CC219"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E50086">
        <w:rPr>
          <w:noProof/>
          <w:highlight w:val="green"/>
          <w:lang w:val="en-US"/>
        </w:rPr>
        <w:t>12</w:t>
      </w:r>
      <w:r w:rsidRPr="00165B63">
        <w:rPr>
          <w:highlight w:val="green"/>
        </w:rPr>
        <w:fldChar w:fldCharType="end"/>
      </w:r>
      <w:r w:rsidRPr="00165B63">
        <w:rPr>
          <w:highlight w:val="green"/>
          <w:lang w:val="en-US"/>
        </w:rPr>
        <w:t xml:space="preserve"> – Comparison of diet-based BMFs for PFASs estimated using the ROS method, by </w:t>
      </w:r>
      <w:proofErr w:type="spellStart"/>
      <w:r w:rsidRPr="00165B63">
        <w:rPr>
          <w:highlight w:val="green"/>
          <w:lang w:val="en-US"/>
        </w:rPr>
        <w:t>perfluorinated</w:t>
      </w:r>
      <w:proofErr w:type="spellEnd"/>
      <w:r w:rsidRPr="00165B63">
        <w:rPr>
          <w:highlight w:val="green"/>
          <w:lang w:val="en-US"/>
        </w:rPr>
        <w:t xml:space="preserve"> chain length and sub-family.</w:t>
      </w:r>
    </w:p>
    <w:p w14:paraId="234BEA00" w14:textId="5397F323" w:rsidR="00E61956" w:rsidRPr="00F92A4A" w:rsidRDefault="00FA23AA" w:rsidP="001A7ED5">
      <w:pPr>
        <w:pStyle w:val="Titre1"/>
        <w:rPr>
          <w:sz w:val="32"/>
          <w:szCs w:val="36"/>
        </w:rPr>
      </w:pPr>
      <w:bookmarkStart w:id="51" w:name="_Toc199498314"/>
      <w:r w:rsidRPr="00F92A4A">
        <w:rPr>
          <w:sz w:val="32"/>
          <w:szCs w:val="36"/>
        </w:rPr>
        <w:t>Discussion</w:t>
      </w:r>
      <w:bookmarkEnd w:id="51"/>
    </w:p>
    <w:p w14:paraId="7211C376" w14:textId="1A718AA4" w:rsidR="008F3242" w:rsidRDefault="008F3242" w:rsidP="001A7ED5">
      <w:pPr>
        <w:pStyle w:val="Titre2"/>
        <w:rPr>
          <w:sz w:val="32"/>
          <w:szCs w:val="36"/>
        </w:rPr>
      </w:pPr>
      <w:bookmarkStart w:id="52" w:name="_Toc199498315"/>
      <w:r>
        <w:rPr>
          <w:sz w:val="32"/>
          <w:szCs w:val="36"/>
        </w:rPr>
        <w:t>Composition du régime alimentaire utilisée</w:t>
      </w:r>
    </w:p>
    <w:p w14:paraId="55B9C2F7" w14:textId="030CB73F" w:rsidR="008F3242" w:rsidRDefault="008F3242" w:rsidP="00381ECF">
      <w:pPr>
        <w:pStyle w:val="Paragraphedeliste"/>
        <w:numPr>
          <w:ilvl w:val="0"/>
          <w:numId w:val="7"/>
        </w:numPr>
      </w:pPr>
      <w:r>
        <w:t xml:space="preserve">Groupe taxonomique des </w:t>
      </w:r>
      <w:proofErr w:type="spellStart"/>
      <w:r>
        <w:t>hexanauplia</w:t>
      </w:r>
      <w:proofErr w:type="spellEnd"/>
      <w:r>
        <w:t xml:space="preserve"> représente 32% du régime alimentaire </w:t>
      </w:r>
      <w:r w:rsidR="0044185E">
        <w:t>(dont 31.5% d’</w:t>
      </w:r>
      <w:proofErr w:type="spellStart"/>
      <w:r w:rsidR="0044185E">
        <w:t>harpacticoida</w:t>
      </w:r>
      <w:proofErr w:type="spellEnd"/>
      <w:r w:rsidR="0044185E">
        <w:t xml:space="preserve">) </w:t>
      </w:r>
      <w:r>
        <w:t xml:space="preserve">mais n’a pas du tout été dosé chimiquement. </w:t>
      </w:r>
    </w:p>
    <w:p w14:paraId="10E06430" w14:textId="25D76008" w:rsidR="008F3242" w:rsidRDefault="008F3242" w:rsidP="00381ECF">
      <w:pPr>
        <w:pStyle w:val="Paragraphedeliste"/>
        <w:numPr>
          <w:ilvl w:val="0"/>
          <w:numId w:val="7"/>
        </w:numPr>
      </w:pPr>
      <w:r>
        <w:t xml:space="preserve">Toutefois, les proportions </w:t>
      </w:r>
      <w:r w:rsidR="0044185E">
        <w:t xml:space="preserve">estimées ici </w:t>
      </w:r>
      <w:r>
        <w:t xml:space="preserve">étant basées sur un nombre d’individus présents dans les estomacs, </w:t>
      </w:r>
      <w:r w:rsidR="0044185E">
        <w:t>cette forte proportion est surestimée</w:t>
      </w:r>
      <w:r w:rsidR="0044185E">
        <w:t xml:space="preserve"> car</w:t>
      </w:r>
      <w:r>
        <w:t xml:space="preserve"> les copépodes du groupe </w:t>
      </w:r>
      <w:proofErr w:type="spellStart"/>
      <w:r>
        <w:t>hexanauplia</w:t>
      </w:r>
      <w:proofErr w:type="spellEnd"/>
      <w:r>
        <w:t xml:space="preserve"> </w:t>
      </w:r>
      <w:r w:rsidR="0044185E">
        <w:t>ont</w:t>
      </w:r>
      <w:r>
        <w:t xml:space="preserve"> </w:t>
      </w:r>
      <w:r w:rsidR="0044185E">
        <w:t>une</w:t>
      </w:r>
      <w:r>
        <w:t xml:space="preserve"> masse individuelle très faible en comparaison de celles des espèces du groupe des </w:t>
      </w:r>
      <w:proofErr w:type="spellStart"/>
      <w:r>
        <w:t>Malocostraca</w:t>
      </w:r>
      <w:proofErr w:type="spellEnd"/>
      <w:r>
        <w:t xml:space="preserve"> (espèces majoritairement retrouvées : 11.5% de </w:t>
      </w:r>
      <w:proofErr w:type="spellStart"/>
      <w:r>
        <w:t>Corophium</w:t>
      </w:r>
      <w:proofErr w:type="spellEnd"/>
      <w:r>
        <w:t xml:space="preserve"> </w:t>
      </w:r>
      <w:proofErr w:type="spellStart"/>
      <w:r>
        <w:t>volutator</w:t>
      </w:r>
      <w:proofErr w:type="spellEnd"/>
      <w:r>
        <w:t xml:space="preserve"> et </w:t>
      </w:r>
      <w:r w:rsidR="0044185E">
        <w:t xml:space="preserve">1.6% de Crangon </w:t>
      </w:r>
      <w:proofErr w:type="spellStart"/>
      <w:r w:rsidR="0044185E">
        <w:t>crangon</w:t>
      </w:r>
      <w:proofErr w:type="spellEnd"/>
      <w:r w:rsidR="0044185E">
        <w:t>)</w:t>
      </w:r>
      <w:r>
        <w:t>. En effet les proportions recherchées pour estimer la composition du régime alimentaire devraient être estimées en masse</w:t>
      </w:r>
      <w:r w:rsidR="0044185E">
        <w:t xml:space="preserve"> pour étudier la bioaccumulation</w:t>
      </w:r>
      <w:r>
        <w:t>.</w:t>
      </w:r>
    </w:p>
    <w:p w14:paraId="64772CD2" w14:textId="77777777" w:rsidR="00FB7468" w:rsidRDefault="008F3242" w:rsidP="00381ECF">
      <w:pPr>
        <w:pStyle w:val="Paragraphedeliste"/>
        <w:numPr>
          <w:ilvl w:val="0"/>
          <w:numId w:val="7"/>
        </w:numPr>
      </w:pPr>
      <w:r>
        <w:t xml:space="preserve">Etant donné la forte variabilité de contamination entre espèces au sein d’un groupe taxonomique, la composition du régime alimentaire par espèces dosées en contaminant serait importante pour estimer la composition du régime alimentaire. </w:t>
      </w:r>
    </w:p>
    <w:p w14:paraId="67CF8CD7" w14:textId="77777777" w:rsidR="00FB7468" w:rsidRDefault="008F3242" w:rsidP="00381ECF">
      <w:pPr>
        <w:pStyle w:val="Paragraphedeliste"/>
        <w:numPr>
          <w:ilvl w:val="1"/>
          <w:numId w:val="7"/>
        </w:numPr>
      </w:pPr>
      <w:r>
        <w:t>Toutefois, les contenus stomacaux permettent difficilement de différencier les espèces de bivalves car la plupart du temps seuls les siphons sont retrouvés</w:t>
      </w:r>
      <w:r w:rsidR="0044185E">
        <w:t xml:space="preserve"> (11.5% de bivalves non identifiables dans les contenus stomacaux</w:t>
      </w:r>
      <w:r w:rsidR="00FB7468">
        <w:t>, 4 espèces dosées en contaminants sur 6 n’ont pas été identifiables</w:t>
      </w:r>
      <w:r w:rsidR="0044185E">
        <w:t xml:space="preserve">). </w:t>
      </w:r>
    </w:p>
    <w:p w14:paraId="59B6F657" w14:textId="516F9CF2" w:rsidR="00FB7468" w:rsidRPr="00FB7468" w:rsidRDefault="00FB7468" w:rsidP="00381ECF">
      <w:pPr>
        <w:pStyle w:val="Paragraphedeliste"/>
        <w:numPr>
          <w:ilvl w:val="1"/>
          <w:numId w:val="7"/>
        </w:numPr>
      </w:pPr>
      <w:r>
        <w:t xml:space="preserve">Dans le cas des arthropodes </w:t>
      </w:r>
      <w:proofErr w:type="spellStart"/>
      <w:r>
        <w:t>malacostraca</w:t>
      </w:r>
      <w:proofErr w:type="spellEnd"/>
      <w:r>
        <w:t xml:space="preserve"> de très nombreuses espèces ont été identifiées mais seules deux d’entre elles ont été dosées en contaminant alors que certaines étaient en proportions équivalentes à celle de Crangon </w:t>
      </w:r>
      <w:proofErr w:type="spellStart"/>
      <w:r>
        <w:t>crangon</w:t>
      </w:r>
      <w:proofErr w:type="spellEnd"/>
      <w:r>
        <w:t xml:space="preserve"> (1.03% pour </w:t>
      </w:r>
      <w:proofErr w:type="spellStart"/>
      <w:r w:rsidRPr="00FB7468">
        <w:rPr>
          <w:rFonts w:ascii="Calibri" w:eastAsia="Times New Roman" w:hAnsi="Calibri" w:cs="Calibri"/>
          <w:color w:val="000000"/>
          <w:lang w:eastAsia="fr-FR"/>
        </w:rPr>
        <w:t>Diastylis</w:t>
      </w:r>
      <w:proofErr w:type="spellEnd"/>
      <w:r w:rsidRPr="00FB7468">
        <w:rPr>
          <w:rFonts w:ascii="Calibri" w:eastAsia="Times New Roman" w:hAnsi="Calibri" w:cs="Calibri"/>
          <w:color w:val="000000"/>
          <w:lang w:eastAsia="fr-FR"/>
        </w:rPr>
        <w:t xml:space="preserve"> </w:t>
      </w:r>
      <w:proofErr w:type="spellStart"/>
      <w:r w:rsidRPr="00FB7468">
        <w:rPr>
          <w:rFonts w:ascii="Calibri" w:eastAsia="Times New Roman" w:hAnsi="Calibri" w:cs="Calibri"/>
          <w:color w:val="000000"/>
          <w:lang w:eastAsia="fr-FR"/>
        </w:rPr>
        <w:t>bradyi</w:t>
      </w:r>
      <w:proofErr w:type="spellEnd"/>
      <w:r w:rsidRPr="00FB7468">
        <w:rPr>
          <w:rFonts w:ascii="Calibri" w:eastAsia="Times New Roman" w:hAnsi="Calibri" w:cs="Calibri"/>
          <w:color w:val="000000"/>
          <w:lang w:eastAsia="fr-FR"/>
        </w:rPr>
        <w:t>)</w:t>
      </w:r>
      <w:r>
        <w:t xml:space="preserve"> </w:t>
      </w:r>
    </w:p>
    <w:p w14:paraId="4E75A5BF" w14:textId="50B22237" w:rsidR="008F3242" w:rsidRDefault="0044185E" w:rsidP="00381ECF">
      <w:pPr>
        <w:pStyle w:val="Paragraphedeliste"/>
        <w:numPr>
          <w:ilvl w:val="1"/>
          <w:numId w:val="7"/>
        </w:numPr>
      </w:pPr>
      <w:r>
        <w:t xml:space="preserve">Dans le cas des polychètes, l’espèce majoritaire dans les contenus stomacaux 24.0% de </w:t>
      </w:r>
      <w:proofErr w:type="spellStart"/>
      <w:r>
        <w:t>Polydora</w:t>
      </w:r>
      <w:proofErr w:type="spellEnd"/>
      <w:r>
        <w:t xml:space="preserve"> </w:t>
      </w:r>
      <w:proofErr w:type="spellStart"/>
      <w:r>
        <w:t>ciliata</w:t>
      </w:r>
      <w:proofErr w:type="spellEnd"/>
      <w:r>
        <w:t>, n’a pas été dosées en contaminants</w:t>
      </w:r>
      <w:r w:rsidR="00FB7468">
        <w:t>. C</w:t>
      </w:r>
      <w:r>
        <w:t>elles dosées ont des proportions inférieur</w:t>
      </w:r>
      <w:r w:rsidR="00FB7468">
        <w:t>e</w:t>
      </w:r>
      <w:r>
        <w:t xml:space="preserve">s à 1% dans le régime alimentaire (0.4% pour </w:t>
      </w:r>
      <w:proofErr w:type="spellStart"/>
      <w:r>
        <w:t>Owenia</w:t>
      </w:r>
      <w:proofErr w:type="spellEnd"/>
      <w:r>
        <w:t xml:space="preserve"> </w:t>
      </w:r>
      <w:proofErr w:type="spellStart"/>
      <w:r>
        <w:t>fusiformis</w:t>
      </w:r>
      <w:proofErr w:type="spellEnd"/>
      <w:r>
        <w:t xml:space="preserve">, </w:t>
      </w:r>
      <w:r>
        <w:lastRenderedPageBreak/>
        <w:t>0.5</w:t>
      </w:r>
      <w:r w:rsidR="00FB7468">
        <w:t>3</w:t>
      </w:r>
      <w:r>
        <w:t xml:space="preserve">% pour </w:t>
      </w:r>
      <w:proofErr w:type="spellStart"/>
      <w:r>
        <w:t>Lagis</w:t>
      </w:r>
      <w:proofErr w:type="spellEnd"/>
      <w:r>
        <w:t xml:space="preserve"> </w:t>
      </w:r>
      <w:proofErr w:type="spellStart"/>
      <w:r>
        <w:t>koreni</w:t>
      </w:r>
      <w:proofErr w:type="spellEnd"/>
      <w:r>
        <w:t>, 0.</w:t>
      </w:r>
      <w:r w:rsidR="00FB7468">
        <w:t>18</w:t>
      </w:r>
      <w:r>
        <w:t xml:space="preserve">% pour Lanice </w:t>
      </w:r>
      <w:proofErr w:type="spellStart"/>
      <w:r>
        <w:t>conchilega</w:t>
      </w:r>
      <w:proofErr w:type="spellEnd"/>
      <w:r w:rsidR="00FB7468">
        <w:t>) voir non identifiées (</w:t>
      </w:r>
      <w:proofErr w:type="spellStart"/>
      <w:r w:rsidR="00FB7468">
        <w:t>Hediste</w:t>
      </w:r>
      <w:proofErr w:type="spellEnd"/>
      <w:r w:rsidR="00FB7468">
        <w:t xml:space="preserve"> </w:t>
      </w:r>
      <w:proofErr w:type="spellStart"/>
      <w:r w:rsidR="00FB7468">
        <w:t>diversicolor</w:t>
      </w:r>
      <w:proofErr w:type="spellEnd"/>
      <w:r w:rsidR="00FB7468">
        <w:t xml:space="preserve"> et Nephtys </w:t>
      </w:r>
      <w:proofErr w:type="spellStart"/>
      <w:r w:rsidR="00FB7468">
        <w:t>sp</w:t>
      </w:r>
      <w:proofErr w:type="spellEnd"/>
      <w:r w:rsidR="00FB7468">
        <w:t>.)</w:t>
      </w:r>
    </w:p>
    <w:p w14:paraId="50DDB075" w14:textId="5406AACC" w:rsidR="00326BCB" w:rsidRPr="00326BCB" w:rsidRDefault="00326BCB" w:rsidP="00381ECF">
      <w:pPr>
        <w:pStyle w:val="Paragraphedeliste"/>
        <w:numPr>
          <w:ilvl w:val="0"/>
          <w:numId w:val="7"/>
        </w:numPr>
        <w:rPr>
          <w:sz w:val="24"/>
          <w:szCs w:val="24"/>
        </w:rPr>
      </w:pPr>
      <w:r w:rsidRPr="00326BCB">
        <w:rPr>
          <w:sz w:val="24"/>
          <w:szCs w:val="24"/>
        </w:rPr>
        <w:t xml:space="preserve">Les BMF PCB plus élevés pour </w:t>
      </w:r>
      <w:proofErr w:type="gramStart"/>
      <w:r w:rsidRPr="00326BCB">
        <w:rPr>
          <w:sz w:val="24"/>
          <w:szCs w:val="24"/>
        </w:rPr>
        <w:t>les scenario</w:t>
      </w:r>
      <w:proofErr w:type="gramEnd"/>
      <w:r w:rsidRPr="00326BCB">
        <w:rPr>
          <w:sz w:val="24"/>
          <w:szCs w:val="24"/>
        </w:rPr>
        <w:t xml:space="preserve"> </w:t>
      </w:r>
      <w:proofErr w:type="spellStart"/>
      <w:r w:rsidRPr="00326BCB">
        <w:rPr>
          <w:sz w:val="24"/>
          <w:szCs w:val="24"/>
        </w:rPr>
        <w:t>diet-based</w:t>
      </w:r>
      <w:proofErr w:type="spellEnd"/>
      <w:r w:rsidRPr="00326BCB">
        <w:rPr>
          <w:sz w:val="24"/>
          <w:szCs w:val="24"/>
        </w:rPr>
        <w:t xml:space="preserve"> sont due à la concentration du </w:t>
      </w:r>
      <w:proofErr w:type="spellStart"/>
      <w:r w:rsidRPr="00326BCB">
        <w:rPr>
          <w:sz w:val="24"/>
          <w:szCs w:val="24"/>
        </w:rPr>
        <w:t>diet</w:t>
      </w:r>
      <w:proofErr w:type="spellEnd"/>
      <w:r w:rsidRPr="00326BCB">
        <w:rPr>
          <w:sz w:val="24"/>
          <w:szCs w:val="24"/>
        </w:rPr>
        <w:t xml:space="preserve"> est inférieure à la concentration médiane des proies. En effet le régime alimentaire contient une majorité de crustacés alors que ces derniers sont le groupe taxonomique le moins contaminé et qu’ils ne représentent que 7 points de mesure dans le calcul de la médiane des espèces calculées sur 44 mesures. </w:t>
      </w:r>
    </w:p>
    <w:p w14:paraId="5CD771F8" w14:textId="7A590F4C" w:rsidR="00326BCB" w:rsidRPr="008F3242" w:rsidRDefault="00326BCB" w:rsidP="00381ECF">
      <w:pPr>
        <w:pStyle w:val="Paragraphedeliste"/>
        <w:numPr>
          <w:ilvl w:val="0"/>
          <w:numId w:val="7"/>
        </w:numPr>
      </w:pPr>
    </w:p>
    <w:p w14:paraId="430FCA36" w14:textId="55F34E5A" w:rsidR="00B4059B" w:rsidRPr="00F92A4A" w:rsidRDefault="00B4059B" w:rsidP="001A7ED5">
      <w:pPr>
        <w:pStyle w:val="Titre2"/>
        <w:rPr>
          <w:sz w:val="32"/>
          <w:szCs w:val="36"/>
        </w:rPr>
      </w:pPr>
      <w:r w:rsidRPr="00F92A4A">
        <w:rPr>
          <w:sz w:val="32"/>
          <w:szCs w:val="36"/>
        </w:rPr>
        <w:t>Niveaux et profiles de contamination</w:t>
      </w:r>
      <w:bookmarkEnd w:id="52"/>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rPr>
        <w:t>Limecola</w:t>
      </w:r>
      <w:proofErr w:type="spellEnd"/>
      <w:r w:rsidRPr="004B42DB">
        <w:rPr>
          <w:i/>
          <w:iCs/>
          <w:highlight w:val="yellow"/>
        </w:rPr>
        <w:t xml:space="preserve"> </w:t>
      </w:r>
      <w:proofErr w:type="spellStart"/>
      <w:r w:rsidRPr="004B42DB">
        <w:rPr>
          <w:i/>
          <w:iCs/>
          <w:highlight w:val="yellow"/>
        </w:rPr>
        <w:t>balthica</w:t>
      </w:r>
      <w:proofErr w:type="spellEnd"/>
      <w:r w:rsidRPr="004B42DB">
        <w:rPr>
          <w:highlight w:val="yellow"/>
        </w:rPr>
        <w:t xml:space="preserve"> semble également avoir une bioaccumulation des </w:t>
      </w:r>
      <w:proofErr w:type="spellStart"/>
      <w:r w:rsidRPr="004B42DB">
        <w:rPr>
          <w:highlight w:val="yellow"/>
        </w:rPr>
        <w:t>PCBs</w:t>
      </w:r>
      <w:proofErr w:type="spellEnd"/>
      <w:r w:rsidRPr="004B42DB">
        <w:rPr>
          <w:highlight w:val="yellow"/>
        </w:rPr>
        <w:t xml:space="preserve"> différente des autres bivalves, sans facteur explicatif.</w:t>
      </w:r>
    </w:p>
    <w:p w14:paraId="0551BE09" w14:textId="753BE395" w:rsidR="00282AFB" w:rsidRPr="00F92A4A" w:rsidRDefault="00A1179E" w:rsidP="001A7ED5">
      <w:pPr>
        <w:pStyle w:val="Titre3"/>
        <w:rPr>
          <w:sz w:val="28"/>
          <w:szCs w:val="32"/>
        </w:rPr>
      </w:pPr>
      <w:bookmarkStart w:id="53" w:name="_Toc199498316"/>
      <w:r w:rsidRPr="00F92A4A">
        <w:rPr>
          <w:sz w:val="28"/>
          <w:szCs w:val="32"/>
        </w:rPr>
        <w:t>Niveaux généraux entre les familles</w:t>
      </w:r>
      <w:bookmarkEnd w:id="53"/>
    </w:p>
    <w:p w14:paraId="4DC24318" w14:textId="76E384D3" w:rsidR="00282AFB" w:rsidRPr="00F92A4A" w:rsidRDefault="00282AFB" w:rsidP="00381ECF">
      <w:pPr>
        <w:pStyle w:val="Paragraphedeliste"/>
        <w:numPr>
          <w:ilvl w:val="0"/>
          <w:numId w:val="5"/>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w:t>
      </w:r>
      <w:r w:rsidRPr="00F92A4A">
        <w:rPr>
          <w:sz w:val="24"/>
          <w:szCs w:val="24"/>
        </w:rPr>
        <w:lastRenderedPageBreak/>
        <w:t xml:space="preserve">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4" w:name="_Toc199498317"/>
      <w:r w:rsidRPr="00F92A4A">
        <w:rPr>
          <w:sz w:val="28"/>
          <w:szCs w:val="32"/>
        </w:rPr>
        <w:t>Niveaux et profils pour les PCB</w:t>
      </w:r>
      <w:bookmarkEnd w:id="54"/>
    </w:p>
    <w:p w14:paraId="528C70F4" w14:textId="46DBB709" w:rsidR="00282AFB" w:rsidRPr="00F92A4A" w:rsidRDefault="00282AFB" w:rsidP="00381ECF">
      <w:pPr>
        <w:pStyle w:val="Paragraphedeliste"/>
        <w:numPr>
          <w:ilvl w:val="0"/>
          <w:numId w:val="4"/>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381ECF">
      <w:pPr>
        <w:pStyle w:val="Paragraphedeliste"/>
        <w:numPr>
          <w:ilvl w:val="0"/>
          <w:numId w:val="4"/>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w:t>
      </w:r>
      <w:proofErr w:type="spellStart"/>
      <w:r w:rsidR="005637C5" w:rsidRPr="00384AFD">
        <w:rPr>
          <w:rFonts w:ascii="Calibri" w:hAnsi="Calibri" w:cs="Calibri"/>
          <w:sz w:val="24"/>
          <w:szCs w:val="24"/>
        </w:rPr>
        <w:t>Ael</w:t>
      </w:r>
      <w:proofErr w:type="spellEnd"/>
      <w:r w:rsidR="005637C5" w:rsidRPr="00384AFD">
        <w:rPr>
          <w:rFonts w:ascii="Calibri" w:hAnsi="Calibri" w:cs="Calibri"/>
          <w:sz w:val="24"/>
          <w:szCs w:val="24"/>
        </w:rPr>
        <w:t xml:space="preserve">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proofErr w:type="spellStart"/>
      <w:r w:rsidR="00C04FDB" w:rsidRPr="00384AFD">
        <w:rPr>
          <w:color w:val="000000"/>
          <w:sz w:val="24"/>
          <w:szCs w:val="24"/>
          <w:highlight w:val="yellow"/>
        </w:rPr>
        <w:t>results</w:t>
      </w:r>
      <w:proofErr w:type="spellEnd"/>
      <w:r w:rsidR="00C04FDB" w:rsidRPr="00384AFD">
        <w:rPr>
          <w:color w:val="000000"/>
          <w:sz w:val="24"/>
          <w:szCs w:val="24"/>
          <w:highlight w:val="yellow"/>
        </w:rPr>
        <w:t xml:space="preserve"> – reste : 2 derniers paragraphes discussion)</w:t>
      </w:r>
    </w:p>
    <w:p w14:paraId="2D6612ED" w14:textId="01B62F45" w:rsidR="00136EA7" w:rsidRPr="005637C5" w:rsidRDefault="006E4E1A" w:rsidP="00381ECF">
      <w:pPr>
        <w:pStyle w:val="Paragraphedeliste"/>
        <w:numPr>
          <w:ilvl w:val="0"/>
          <w:numId w:val="4"/>
        </w:numPr>
        <w:rPr>
          <w:rFonts w:ascii="Calibri" w:eastAsiaTheme="majorEastAsia" w:hAnsi="Calibri" w:cstheme="majorBidi"/>
          <w:b/>
          <w:bCs/>
          <w:iCs/>
          <w:sz w:val="24"/>
          <w:szCs w:val="28"/>
          <w:highlight w:val="yellow"/>
          <w:lang w:val="en-US"/>
        </w:rPr>
      </w:pPr>
      <w:r w:rsidRPr="00BE6B5A">
        <w:rPr>
          <w:rFonts w:ascii="Calibri" w:eastAsiaTheme="majorEastAsia" w:hAnsi="Calibri" w:cstheme="majorBidi"/>
          <w:bCs/>
          <w:iCs/>
          <w:color w:val="000000"/>
          <w:sz w:val="24"/>
          <w:szCs w:val="28"/>
          <w:highlight w:val="yellow"/>
          <w:lang w:val="en-US"/>
        </w:rPr>
        <w:t>Belgian north sea western Scheldt estuary</w:t>
      </w:r>
      <w:r w:rsidR="005637C5" w:rsidRPr="00BE6B5A">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BE6B5A">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w:t>
      </w:r>
      <w:proofErr w:type="spellStart"/>
      <w:r w:rsidR="00B7035B" w:rsidRPr="00B7035B">
        <w:rPr>
          <w:rFonts w:ascii="Calibri" w:hAnsi="Calibri" w:cs="Calibri"/>
          <w:sz w:val="24"/>
          <w:szCs w:val="24"/>
          <w:lang w:val="en-US"/>
        </w:rPr>
        <w:t>Voorspoels</w:t>
      </w:r>
      <w:proofErr w:type="spellEnd"/>
      <w:r w:rsidR="00B7035B" w:rsidRPr="00B7035B">
        <w:rPr>
          <w:rFonts w:ascii="Calibri" w:hAnsi="Calibri" w:cs="Calibri"/>
          <w:sz w:val="24"/>
          <w:szCs w:val="24"/>
          <w:lang w:val="en-US"/>
        </w:rPr>
        <w:t xml:space="preserve">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381ECF">
      <w:pPr>
        <w:pStyle w:val="Paragraphedeliste"/>
        <w:numPr>
          <w:ilvl w:val="0"/>
          <w:numId w:val="4"/>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381ECF">
      <w:pPr>
        <w:pStyle w:val="Paragraphedeliste"/>
        <w:numPr>
          <w:ilvl w:val="0"/>
          <w:numId w:val="4"/>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381ECF">
      <w:pPr>
        <w:pStyle w:val="Paragraphedeliste"/>
        <w:numPr>
          <w:ilvl w:val="1"/>
          <w:numId w:val="4"/>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381ECF">
      <w:pPr>
        <w:pStyle w:val="Paragraphedeliste"/>
        <w:numPr>
          <w:ilvl w:val="1"/>
          <w:numId w:val="4"/>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381ECF">
      <w:pPr>
        <w:pStyle w:val="Paragraphedeliste"/>
        <w:numPr>
          <w:ilvl w:val="1"/>
          <w:numId w:val="4"/>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81ECF">
      <w:pPr>
        <w:pStyle w:val="Paragraphedeliste"/>
        <w:numPr>
          <w:ilvl w:val="1"/>
          <w:numId w:val="4"/>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5"/>
      <w:r w:rsidR="00BF4C1C" w:rsidRPr="00F92A4A">
        <w:rPr>
          <w:color w:val="000000"/>
          <w:sz w:val="24"/>
          <w:szCs w:val="24"/>
        </w:rPr>
        <w:t xml:space="preserve">qui </w:t>
      </w:r>
      <w:r w:rsidR="00A52AEA" w:rsidRPr="00F92A4A">
        <w:rPr>
          <w:color w:val="000000"/>
          <w:sz w:val="24"/>
          <w:szCs w:val="24"/>
        </w:rPr>
        <w:t xml:space="preserve">était le plus abondant </w:t>
      </w:r>
      <w:commentRangeEnd w:id="55"/>
      <w:r w:rsidR="00BF4C1C" w:rsidRPr="00F92A4A">
        <w:rPr>
          <w:rStyle w:val="Marquedecommentaire"/>
          <w:rFonts w:eastAsia="Batang" w:cs="Arial"/>
          <w:color w:val="000000"/>
          <w:sz w:val="18"/>
          <w:szCs w:val="18"/>
          <w:lang w:eastAsia="fr-FR"/>
        </w:rPr>
        <w:commentReference w:id="55"/>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381ECF">
      <w:pPr>
        <w:pStyle w:val="Paragraphedeliste"/>
        <w:numPr>
          <w:ilvl w:val="0"/>
          <w:numId w:val="4"/>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381ECF">
      <w:pPr>
        <w:pStyle w:val="Paragraphedeliste"/>
        <w:numPr>
          <w:ilvl w:val="0"/>
          <w:numId w:val="4"/>
        </w:numPr>
        <w:rPr>
          <w:color w:val="000000"/>
          <w:sz w:val="24"/>
          <w:szCs w:val="24"/>
          <w:highlight w:val="yellow"/>
          <w:lang w:val="en-US"/>
        </w:rPr>
      </w:pPr>
      <w:proofErr w:type="spellStart"/>
      <w:r w:rsidRPr="00BE6B5A">
        <w:rPr>
          <w:color w:val="000000"/>
          <w:sz w:val="24"/>
          <w:szCs w:val="24"/>
          <w:highlight w:val="yellow"/>
          <w:lang w:val="en-US"/>
        </w:rPr>
        <w:t>Comparaison</w:t>
      </w:r>
      <w:proofErr w:type="spellEnd"/>
      <w:r w:rsidRPr="00BE6B5A">
        <w:rPr>
          <w:color w:val="000000"/>
          <w:sz w:val="24"/>
          <w:szCs w:val="24"/>
          <w:highlight w:val="yellow"/>
          <w:lang w:val="en-US"/>
        </w:rPr>
        <w:t xml:space="preserve"> PCB </w:t>
      </w:r>
      <w:proofErr w:type="spellStart"/>
      <w:r w:rsidRPr="00BE6B5A">
        <w:rPr>
          <w:color w:val="000000"/>
          <w:sz w:val="24"/>
          <w:szCs w:val="24"/>
          <w:highlight w:val="yellow"/>
          <w:lang w:val="en-US"/>
        </w:rPr>
        <w:t>poisson</w:t>
      </w:r>
      <w:proofErr w:type="spellEnd"/>
      <w:r w:rsidRPr="00BE6B5A">
        <w:rPr>
          <w:color w:val="000000"/>
          <w:sz w:val="24"/>
          <w:szCs w:val="24"/>
          <w:highlight w:val="yellow"/>
          <w:lang w:val="en-US"/>
        </w:rPr>
        <w:t xml:space="preserve"> (European sea bass) </w:t>
      </w:r>
      <w:proofErr w:type="spellStart"/>
      <w:r w:rsidRPr="00BE6B5A">
        <w:rPr>
          <w:color w:val="000000"/>
          <w:sz w:val="24"/>
          <w:szCs w:val="24"/>
          <w:highlight w:val="yellow"/>
          <w:lang w:val="en-US"/>
        </w:rPr>
        <w:t>en</w:t>
      </w:r>
      <w:proofErr w:type="spellEnd"/>
      <w:r w:rsidRPr="00BE6B5A">
        <w:rPr>
          <w:color w:val="000000"/>
          <w:sz w:val="24"/>
          <w:szCs w:val="24"/>
          <w:highlight w:val="yellow"/>
          <w:lang w:val="en-US"/>
        </w:rPr>
        <w:t xml:space="preserve"> </w:t>
      </w:r>
      <w:proofErr w:type="spellStart"/>
      <w:r w:rsidRPr="00BE6B5A">
        <w:rPr>
          <w:color w:val="000000"/>
          <w:sz w:val="24"/>
          <w:szCs w:val="24"/>
          <w:highlight w:val="yellow"/>
          <w:lang w:val="en-US"/>
        </w:rPr>
        <w:t>estuaires</w:t>
      </w:r>
      <w:proofErr w:type="spellEnd"/>
      <w:r w:rsidRPr="00BE6B5A">
        <w:rPr>
          <w:color w:val="000000"/>
          <w:sz w:val="24"/>
          <w:szCs w:val="24"/>
          <w:highlight w:val="yellow"/>
          <w:lang w:val="en-US"/>
        </w:rPr>
        <w:t xml:space="preserve"> </w:t>
      </w:r>
      <w:proofErr w:type="spellStart"/>
      <w:r w:rsidRPr="00BE6B5A">
        <w:rPr>
          <w:color w:val="000000"/>
          <w:sz w:val="24"/>
          <w:szCs w:val="24"/>
          <w:highlight w:val="yellow"/>
          <w:lang w:val="en-US"/>
        </w:rPr>
        <w:t>Européens</w:t>
      </w:r>
      <w:proofErr w:type="spellEnd"/>
      <w:r w:rsidR="00B7035B" w:rsidRPr="00BE6B5A">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BE6B5A">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BE6B5A">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lastRenderedPageBreak/>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381ECF">
      <w:pPr>
        <w:pStyle w:val="Paragraphedeliste"/>
        <w:numPr>
          <w:ilvl w:val="0"/>
          <w:numId w:val="4"/>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381ECF">
      <w:pPr>
        <w:pStyle w:val="Paragraphedeliste"/>
        <w:numPr>
          <w:ilvl w:val="0"/>
          <w:numId w:val="4"/>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381ECF"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381ECF"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381ECF"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w:t>
      </w:r>
      <w:r w:rsidRPr="00F92A4A">
        <w:rPr>
          <w:color w:val="000000"/>
          <w:sz w:val="24"/>
          <w:szCs w:val="24"/>
        </w:rPr>
        <w:lastRenderedPageBreak/>
        <w:t xml:space="preserve">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56" w:name="_Toc199498318"/>
      <w:r w:rsidRPr="00F92A4A">
        <w:rPr>
          <w:sz w:val="32"/>
          <w:szCs w:val="36"/>
        </w:rPr>
        <w:t>Biomagnification des contaminants</w:t>
      </w:r>
      <w:bookmarkEnd w:id="56"/>
    </w:p>
    <w:p w14:paraId="327598C4" w14:textId="74A95600" w:rsidR="00EE227D" w:rsidRPr="00F92A4A" w:rsidRDefault="00EE227D" w:rsidP="00EE227D">
      <w:pPr>
        <w:pStyle w:val="Titre3"/>
        <w:rPr>
          <w:sz w:val="28"/>
          <w:szCs w:val="32"/>
        </w:rPr>
      </w:pPr>
      <w:bookmarkStart w:id="57" w:name="_Toc199498319"/>
      <w:r w:rsidRPr="00F92A4A">
        <w:rPr>
          <w:sz w:val="28"/>
          <w:szCs w:val="32"/>
        </w:rPr>
        <w:t>Des différences entre familles</w:t>
      </w:r>
      <w:bookmarkEnd w:id="57"/>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8" w:name="_Toc199498320"/>
      <w:r w:rsidRPr="00F92A4A">
        <w:rPr>
          <w:sz w:val="28"/>
          <w:szCs w:val="32"/>
        </w:rPr>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8"/>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9" w:name="_Toc199498321"/>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9"/>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w:t>
      </w:r>
      <w:r w:rsidRPr="00F92A4A">
        <w:rPr>
          <w:sz w:val="24"/>
          <w:szCs w:val="24"/>
        </w:rPr>
        <w:lastRenderedPageBreak/>
        <w:t xml:space="preserve">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BE6B5A" w:rsidRDefault="009A420D" w:rsidP="002F51CB">
      <w:pPr>
        <w:rPr>
          <w:color w:val="000000"/>
          <w:sz w:val="24"/>
          <w:szCs w:val="24"/>
          <w:lang w:val="en-US"/>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BE6B5A">
        <w:rPr>
          <w:rFonts w:ascii="Calibri" w:hAnsi="Calibri" w:cs="Calibri"/>
          <w:sz w:val="24"/>
          <w:szCs w:val="24"/>
          <w:lang w:val="en-US"/>
        </w:rPr>
        <w:t>(</w:t>
      </w:r>
      <w:proofErr w:type="spellStart"/>
      <w:r w:rsidR="00FE1121" w:rsidRPr="00BE6B5A">
        <w:rPr>
          <w:rFonts w:ascii="Calibri" w:hAnsi="Calibri" w:cs="Calibri"/>
          <w:sz w:val="24"/>
          <w:szCs w:val="24"/>
          <w:lang w:val="en-US"/>
        </w:rPr>
        <w:t>Borgå</w:t>
      </w:r>
      <w:proofErr w:type="spellEnd"/>
      <w:r w:rsidR="00FE1121" w:rsidRPr="00BE6B5A">
        <w:rPr>
          <w:rFonts w:ascii="Calibri" w:hAnsi="Calibri" w:cs="Calibri"/>
          <w:sz w:val="24"/>
          <w:szCs w:val="24"/>
          <w:lang w:val="en-US"/>
        </w:rPr>
        <w:t xml:space="preserve"> </w:t>
      </w:r>
      <w:r w:rsidR="00FE1121" w:rsidRPr="00BE6B5A">
        <w:rPr>
          <w:rFonts w:ascii="Calibri" w:hAnsi="Calibri" w:cs="Calibri"/>
          <w:i/>
          <w:iCs/>
          <w:sz w:val="24"/>
          <w:szCs w:val="24"/>
          <w:lang w:val="en-US"/>
        </w:rPr>
        <w:t>et al.</w:t>
      </w:r>
      <w:r w:rsidR="00FE1121" w:rsidRPr="00BE6B5A">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BE6B5A" w:rsidRDefault="001D624F" w:rsidP="00EE227D">
      <w:pPr>
        <w:pStyle w:val="Titre3"/>
        <w:rPr>
          <w:sz w:val="28"/>
          <w:szCs w:val="32"/>
          <w:lang w:val="en-US"/>
        </w:rPr>
      </w:pPr>
      <w:bookmarkStart w:id="60" w:name="_Toc199498322"/>
      <w:r w:rsidRPr="00BE6B5A">
        <w:rPr>
          <w:sz w:val="28"/>
          <w:szCs w:val="32"/>
          <w:lang w:val="en-US"/>
        </w:rPr>
        <w:t>BMF vs TMF</w:t>
      </w:r>
      <w:bookmarkEnd w:id="60"/>
    </w:p>
    <w:p w14:paraId="2EA786DF" w14:textId="5DF841EA" w:rsidR="00DC46DA" w:rsidRPr="00F92A4A" w:rsidRDefault="001D624F" w:rsidP="00DC46DA">
      <w:pPr>
        <w:rPr>
          <w:color w:val="000000"/>
          <w:sz w:val="24"/>
          <w:szCs w:val="24"/>
          <w:lang w:val="en-GB"/>
        </w:rPr>
      </w:pPr>
      <w:r w:rsidRPr="00BE6B5A">
        <w:rPr>
          <w:sz w:val="24"/>
          <w:szCs w:val="24"/>
          <w:lang w:val="en-US"/>
        </w:rPr>
        <w:t xml:space="preserve">Field- and laboratory-derived BAFs and bioconcentration factors are generally less accurate in predicting </w:t>
      </w:r>
      <w:proofErr w:type="spellStart"/>
      <w:r w:rsidRPr="00BE6B5A">
        <w:rPr>
          <w:sz w:val="24"/>
          <w:szCs w:val="24"/>
          <w:lang w:val="en-US"/>
        </w:rPr>
        <w:t>biomagni</w:t>
      </w:r>
      <w:proofErr w:type="spellEnd"/>
      <w:r w:rsidRPr="00F92A4A">
        <w:rPr>
          <w:sz w:val="24"/>
          <w:szCs w:val="24"/>
        </w:rPr>
        <w:t>ﬁ</w:t>
      </w:r>
      <w:r w:rsidRPr="00BE6B5A">
        <w:rPr>
          <w:sz w:val="24"/>
          <w:szCs w:val="24"/>
          <w:lang w:val="en-US"/>
        </w:rPr>
        <w:t>cation</w:t>
      </w:r>
      <w:r w:rsidR="00FE1121" w:rsidRPr="00BE6B5A">
        <w:rPr>
          <w:sz w:val="24"/>
          <w:szCs w:val="24"/>
          <w:lang w:val="en-US"/>
        </w:rPr>
        <w:t xml:space="preserve"> </w:t>
      </w:r>
      <w:r w:rsidR="00FE1121">
        <w:rPr>
          <w:sz w:val="24"/>
          <w:szCs w:val="24"/>
          <w:lang w:val="en-GB"/>
        </w:rPr>
        <w:fldChar w:fldCharType="begin"/>
      </w:r>
      <w:r w:rsidR="00FE1121" w:rsidRPr="00BE6B5A">
        <w:rPr>
          <w:sz w:val="24"/>
          <w:szCs w:val="24"/>
          <w:lang w:val="en-US"/>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381ECF">
      <w:pPr>
        <w:pStyle w:val="Paragraphedeliste"/>
        <w:numPr>
          <w:ilvl w:val="0"/>
          <w:numId w:val="4"/>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381ECF">
      <w:pPr>
        <w:pStyle w:val="Paragraphedeliste"/>
        <w:numPr>
          <w:ilvl w:val="0"/>
          <w:numId w:val="4"/>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61" w:name="_Toc199498323"/>
      <w:r w:rsidRPr="00F92A4A">
        <w:rPr>
          <w:sz w:val="28"/>
          <w:szCs w:val="32"/>
        </w:rPr>
        <w:t>Influence</w:t>
      </w:r>
      <w:r w:rsidR="00EF2B0A" w:rsidRPr="00F92A4A">
        <w:rPr>
          <w:sz w:val="28"/>
          <w:szCs w:val="32"/>
        </w:rPr>
        <w:t xml:space="preserve"> de la prise en compte des valeurs manquantes</w:t>
      </w:r>
      <w:bookmarkEnd w:id="61"/>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2" w:name="_Toc199498324"/>
      <w:r w:rsidRPr="00F92A4A">
        <w:rPr>
          <w:sz w:val="32"/>
          <w:szCs w:val="36"/>
        </w:rPr>
        <w:lastRenderedPageBreak/>
        <w:t>Conclusions et perspectives</w:t>
      </w:r>
      <w:bookmarkEnd w:id="62"/>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381ECF">
      <w:pPr>
        <w:numPr>
          <w:ilvl w:val="0"/>
          <w:numId w:val="3"/>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381ECF">
      <w:pPr>
        <w:numPr>
          <w:ilvl w:val="0"/>
          <w:numId w:val="3"/>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381ECF">
      <w:pPr>
        <w:numPr>
          <w:ilvl w:val="0"/>
          <w:numId w:val="3"/>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381ECF"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3" w:name="_Toc199498325"/>
      <w:proofErr w:type="spellStart"/>
      <w:r>
        <w:rPr>
          <w:sz w:val="32"/>
          <w:szCs w:val="36"/>
        </w:rPr>
        <w:t>References</w:t>
      </w:r>
      <w:bookmarkEnd w:id="63"/>
      <w:proofErr w:type="spellEnd"/>
    </w:p>
    <w:p w14:paraId="0221484C" w14:textId="77777777" w:rsidR="00DC28FF" w:rsidRDefault="00ED2F3F" w:rsidP="00DC28FF">
      <w:pPr>
        <w:pStyle w:val="Bibliographie"/>
      </w:pPr>
      <w:r>
        <w:fldChar w:fldCharType="begin"/>
      </w:r>
      <w:r w:rsidR="003A1EBE">
        <w:rPr>
          <w:lang w:val="en-US"/>
        </w:rPr>
        <w:instrText xml:space="preserve"> ADDIN ZOTERO_BIBL {"uncited":[],"omitted":[],"custom":[]} CSL_BIBLIOGRAPHY </w:instrText>
      </w:r>
      <w:r>
        <w:fldChar w:fldCharType="separate"/>
      </w:r>
      <w:r w:rsidR="00DC28FF" w:rsidRPr="00DC28FF">
        <w:rPr>
          <w:lang w:val="en-US"/>
        </w:rPr>
        <w:t xml:space="preserve">Amara, R. </w:t>
      </w:r>
      <w:r w:rsidR="00DC28FF" w:rsidRPr="00DC28FF">
        <w:rPr>
          <w:i/>
          <w:iCs/>
          <w:lang w:val="en-US"/>
        </w:rPr>
        <w:t>et al.</w:t>
      </w:r>
      <w:r w:rsidR="00DC28FF" w:rsidRPr="00DC28FF">
        <w:rPr>
          <w:lang w:val="en-US"/>
        </w:rPr>
        <w:t xml:space="preserve"> (2007) ‘Growth and condition indices in juvenile sole Solea solea measured to assess the quality of essential fish habitat’, </w:t>
      </w:r>
      <w:r w:rsidR="00DC28FF" w:rsidRPr="00DC28FF">
        <w:rPr>
          <w:i/>
          <w:iCs/>
          <w:lang w:val="en-US"/>
        </w:rPr>
        <w:t>Marine Ecology Progress Series</w:t>
      </w:r>
      <w:r w:rsidR="00DC28FF" w:rsidRPr="00DC28FF">
        <w:rPr>
          <w:lang w:val="en-US"/>
        </w:rPr>
        <w:t xml:space="preserve">, 351, pp. 201–208. </w:t>
      </w:r>
      <w:r w:rsidR="00DC28FF">
        <w:t>Available at: https://doi.org/10.3354/meps07154.</w:t>
      </w:r>
    </w:p>
    <w:p w14:paraId="51DF3D96" w14:textId="77777777" w:rsidR="00DC28FF" w:rsidRPr="00DC28FF" w:rsidRDefault="00DC28FF" w:rsidP="00DC28FF">
      <w:pPr>
        <w:pStyle w:val="Bibliographie"/>
        <w:rPr>
          <w:lang w:val="en-US"/>
        </w:rPr>
      </w:pPr>
      <w:r>
        <w:t xml:space="preserve">Arnot, J.A. </w:t>
      </w:r>
      <w:r>
        <w:rPr>
          <w:i/>
          <w:iCs/>
        </w:rPr>
        <w:t>et al.</w:t>
      </w:r>
      <w:r>
        <w:t xml:space="preserve"> </w:t>
      </w:r>
      <w:r w:rsidRPr="00DC28FF">
        <w:rPr>
          <w:lang w:val="en-US"/>
        </w:rPr>
        <w:t xml:space="preserve">(2023) ‘A weight of evidence approach for bioaccumulation assessment’, </w:t>
      </w:r>
      <w:r w:rsidRPr="00DC28FF">
        <w:rPr>
          <w:i/>
          <w:iCs/>
          <w:lang w:val="en-US"/>
        </w:rPr>
        <w:t>Integrated Environmental Assessment and Management</w:t>
      </w:r>
      <w:r w:rsidRPr="00DC28FF">
        <w:rPr>
          <w:lang w:val="en-US"/>
        </w:rPr>
        <w:t>, 19(5), pp. 1235–1253. Available at: https://doi.org/10.1002/ieam.4583.</w:t>
      </w:r>
    </w:p>
    <w:p w14:paraId="7C4A8340" w14:textId="77777777" w:rsidR="00DC28FF" w:rsidRPr="00DC28FF" w:rsidRDefault="00DC28FF" w:rsidP="00DC28FF">
      <w:pPr>
        <w:pStyle w:val="Bibliographie"/>
        <w:rPr>
          <w:lang w:val="en-US"/>
        </w:rPr>
      </w:pPr>
      <w:r w:rsidRPr="00DC28FF">
        <w:rPr>
          <w:lang w:val="en-US"/>
        </w:rPr>
        <w:t xml:space="preserve">Arnot, J.A. and Gobas, F.A. (2006) ‘A review of bioconcentration factor (BCF) and bioaccumulation factor (BAF) assessments for organic chemicals in aquatic organisms’, </w:t>
      </w:r>
      <w:r w:rsidRPr="00DC28FF">
        <w:rPr>
          <w:i/>
          <w:iCs/>
          <w:lang w:val="en-US"/>
        </w:rPr>
        <w:t>Environmental Reviews</w:t>
      </w:r>
      <w:r w:rsidRPr="00DC28FF">
        <w:rPr>
          <w:lang w:val="en-US"/>
        </w:rPr>
        <w:t>, 14(4), pp. 257–297. Available at: https://doi.org/10.1139/a06-005.</w:t>
      </w:r>
    </w:p>
    <w:p w14:paraId="519A2456" w14:textId="77777777" w:rsidR="00DC28FF" w:rsidRDefault="00DC28FF" w:rsidP="00DC28FF">
      <w:pPr>
        <w:pStyle w:val="Bibliographie"/>
      </w:pPr>
      <w:r w:rsidRPr="00DC28FF">
        <w:rPr>
          <w:lang w:val="en-US"/>
        </w:rPr>
        <w:t xml:space="preserve">Beck, M.W. </w:t>
      </w:r>
      <w:r w:rsidRPr="00DC28FF">
        <w:rPr>
          <w:i/>
          <w:iCs/>
          <w:lang w:val="en-US"/>
        </w:rPr>
        <w:t>et al.</w:t>
      </w:r>
      <w:r w:rsidRPr="00DC28FF">
        <w:rPr>
          <w:lang w:val="en-US"/>
        </w:rPr>
        <w:t xml:space="preserve"> (2001) ‘The identification, conservation, and management of estuarine and marine nurseries for fish and invertebrates’, </w:t>
      </w:r>
      <w:r w:rsidRPr="00DC28FF">
        <w:rPr>
          <w:i/>
          <w:iCs/>
          <w:lang w:val="en-US"/>
        </w:rPr>
        <w:t>BioScience</w:t>
      </w:r>
      <w:r w:rsidRPr="00DC28FF">
        <w:rPr>
          <w:lang w:val="en-US"/>
        </w:rPr>
        <w:t xml:space="preserve">, 51, pp. 633–641. </w:t>
      </w:r>
      <w:r>
        <w:t>Available at: https://doi.org/10.1641/0006-3568(2001)051[0633:TICAMO]2.0.CO;2.</w:t>
      </w:r>
    </w:p>
    <w:p w14:paraId="2170DB46" w14:textId="77777777" w:rsidR="00DC28FF" w:rsidRDefault="00DC28FF" w:rsidP="00DC28FF">
      <w:pPr>
        <w:pStyle w:val="Bibliographie"/>
      </w:pPr>
      <w:r>
        <w:t xml:space="preserve">Bodin, N. </w:t>
      </w:r>
      <w:r>
        <w:rPr>
          <w:i/>
          <w:iCs/>
        </w:rPr>
        <w:t>et al.</w:t>
      </w:r>
      <w:r>
        <w:t xml:space="preserve"> </w:t>
      </w:r>
      <w:r w:rsidRPr="00DC28FF">
        <w:rPr>
          <w:lang w:val="en-US"/>
        </w:rPr>
        <w:t xml:space="preserve">(2014) ‘PCB contamination in fish community from the Gironde Estuary (France): blast from the past.’, </w:t>
      </w:r>
      <w:r w:rsidRPr="00DC28FF">
        <w:rPr>
          <w:i/>
          <w:iCs/>
          <w:lang w:val="en-US"/>
        </w:rPr>
        <w:t>Chemosphere</w:t>
      </w:r>
      <w:r w:rsidRPr="00DC28FF">
        <w:rPr>
          <w:lang w:val="en-US"/>
        </w:rPr>
        <w:t xml:space="preserve">, 98, pp. 66–72. </w:t>
      </w:r>
      <w:r>
        <w:t>Available at: https://doi.org/10.1016/j.chemosphere.2013.10.003.</w:t>
      </w:r>
    </w:p>
    <w:p w14:paraId="0198D2B7" w14:textId="77777777" w:rsidR="00DC28FF" w:rsidRPr="00DC28FF" w:rsidRDefault="00DC28FF" w:rsidP="00DC28FF">
      <w:pPr>
        <w:pStyle w:val="Bibliographie"/>
        <w:rPr>
          <w:lang w:val="en-US"/>
        </w:rPr>
      </w:pPr>
      <w:r>
        <w:t xml:space="preserve">Borgå, K. </w:t>
      </w:r>
      <w:r>
        <w:rPr>
          <w:i/>
          <w:iCs/>
        </w:rPr>
        <w:t>et al.</w:t>
      </w:r>
      <w:r>
        <w:t xml:space="preserve"> </w:t>
      </w:r>
      <w:r w:rsidRPr="00DC28FF">
        <w:rPr>
          <w:lang w:val="en-US"/>
        </w:rPr>
        <w:t xml:space="preserve">(2004) ‘Biological and chemical factors of importance in the bioaccumulation and trophic transfer of persistent organochlorine contaminants in arctic marine food webs’, </w:t>
      </w:r>
      <w:r w:rsidRPr="00DC28FF">
        <w:rPr>
          <w:i/>
          <w:iCs/>
          <w:lang w:val="en-US"/>
        </w:rPr>
        <w:t>Environmental Toxicology and Chemistry</w:t>
      </w:r>
      <w:r w:rsidRPr="00DC28FF">
        <w:rPr>
          <w:lang w:val="en-US"/>
        </w:rPr>
        <w:t>, 23(10), pp. 2367–2385.</w:t>
      </w:r>
    </w:p>
    <w:p w14:paraId="5ED8787E" w14:textId="77777777" w:rsidR="00DC28FF" w:rsidRPr="00DC28FF" w:rsidRDefault="00DC28FF" w:rsidP="00DC28FF">
      <w:pPr>
        <w:pStyle w:val="Bibliographie"/>
        <w:rPr>
          <w:lang w:val="en-US"/>
        </w:rPr>
      </w:pPr>
      <w:r w:rsidRPr="00DC28FF">
        <w:rPr>
          <w:lang w:val="en-US"/>
        </w:rPr>
        <w:lastRenderedPageBreak/>
        <w:t xml:space="preserve">Borgå, K. </w:t>
      </w:r>
      <w:r w:rsidRPr="00DC28FF">
        <w:rPr>
          <w:i/>
          <w:iCs/>
          <w:lang w:val="en-US"/>
        </w:rPr>
        <w:t>et al.</w:t>
      </w:r>
      <w:r w:rsidRPr="00DC28FF">
        <w:rPr>
          <w:lang w:val="en-US"/>
        </w:rPr>
        <w:t xml:space="preserve"> (2005) ‘Bioaccumulation Factors for PCBs Revisited’, </w:t>
      </w:r>
      <w:r w:rsidRPr="00DC28FF">
        <w:rPr>
          <w:i/>
          <w:iCs/>
          <w:lang w:val="en-US"/>
        </w:rPr>
        <w:t>Environmental science &amp; technology</w:t>
      </w:r>
      <w:r w:rsidRPr="00DC28FF">
        <w:rPr>
          <w:lang w:val="en-US"/>
        </w:rPr>
        <w:t>, 39, pp. 4523–4532. Available at: https://doi.org/10.1021/ES050376I.</w:t>
      </w:r>
    </w:p>
    <w:p w14:paraId="31935497" w14:textId="77777777" w:rsidR="00DC28FF" w:rsidRDefault="00DC28FF" w:rsidP="00DC28FF">
      <w:pPr>
        <w:pStyle w:val="Bibliographie"/>
      </w:pPr>
      <w:r w:rsidRPr="00DC28FF">
        <w:rPr>
          <w:lang w:val="en-US"/>
        </w:rPr>
        <w:t xml:space="preserve">Borgå, K. </w:t>
      </w:r>
      <w:r w:rsidRPr="00DC28FF">
        <w:rPr>
          <w:i/>
          <w:iCs/>
          <w:lang w:val="en-US"/>
        </w:rPr>
        <w:t>et al.</w:t>
      </w:r>
      <w:r w:rsidRPr="00DC28FF">
        <w:rPr>
          <w:lang w:val="en-US"/>
        </w:rPr>
        <w:t xml:space="preserve"> (2012) ‘Trophic magnification factors: Considerations of ecology, ecosystems, and study design’, </w:t>
      </w:r>
      <w:r w:rsidRPr="00DC28FF">
        <w:rPr>
          <w:i/>
          <w:iCs/>
          <w:lang w:val="en-US"/>
        </w:rPr>
        <w:t>Integrated Environmental Assessment and Management</w:t>
      </w:r>
      <w:r w:rsidRPr="00DC28FF">
        <w:rPr>
          <w:lang w:val="en-US"/>
        </w:rPr>
        <w:t xml:space="preserve">, 8(1), pp. 64–84. </w:t>
      </w:r>
      <w:r>
        <w:t>Available at: https://doi.org/10.1002/ieam.244.</w:t>
      </w:r>
    </w:p>
    <w:p w14:paraId="7C20E97D" w14:textId="77777777" w:rsidR="00DC28FF" w:rsidRDefault="00DC28FF" w:rsidP="00DC28FF">
      <w:pPr>
        <w:pStyle w:val="Bibliographie"/>
      </w:pPr>
      <w:r>
        <w:t xml:space="preserve">Cara, B. </w:t>
      </w:r>
      <w:r>
        <w:rPr>
          <w:i/>
          <w:iCs/>
        </w:rPr>
        <w:t>et al.</w:t>
      </w:r>
      <w:r>
        <w:t xml:space="preserve"> </w:t>
      </w:r>
      <w:r w:rsidRPr="00DC28FF">
        <w:rPr>
          <w:lang w:val="en-US"/>
        </w:rPr>
        <w:t xml:space="preserve">(2022) ‘Bioaccumulation and trophic transfer of perfluorinated alkyl substances (PFAS) in marine biota from the Belgian North Sea: Distribution and human health risk implications’, </w:t>
      </w:r>
      <w:r w:rsidRPr="00DC28FF">
        <w:rPr>
          <w:i/>
          <w:iCs/>
          <w:lang w:val="en-US"/>
        </w:rPr>
        <w:t>Environmental Pollution</w:t>
      </w:r>
      <w:r w:rsidRPr="00DC28FF">
        <w:rPr>
          <w:lang w:val="en-US"/>
        </w:rPr>
        <w:t xml:space="preserve">, 311, p. 119907. </w:t>
      </w:r>
      <w:r>
        <w:t>Available at: https://doi.org/10.1016/j.envpol.2022.119907.</w:t>
      </w:r>
    </w:p>
    <w:p w14:paraId="15AA48F0" w14:textId="77777777" w:rsidR="00DC28FF" w:rsidRDefault="00DC28FF" w:rsidP="00DC28FF">
      <w:pPr>
        <w:pStyle w:val="Bibliographie"/>
      </w:pPr>
      <w:r>
        <w:t xml:space="preserve">Conder, J.M. </w:t>
      </w:r>
      <w:r>
        <w:rPr>
          <w:i/>
          <w:iCs/>
        </w:rPr>
        <w:t>et al.</w:t>
      </w:r>
      <w:r>
        <w:t xml:space="preserve"> </w:t>
      </w:r>
      <w:r w:rsidRPr="00DC28FF">
        <w:rPr>
          <w:lang w:val="en-US"/>
        </w:rPr>
        <w:t xml:space="preserve">(2008) ‘Are PFCAs Bioaccumulative? A Critical Review and Comparison with Regulatory Criteria and Persistent Lipophilic Compounds’, </w:t>
      </w:r>
      <w:r w:rsidRPr="00DC28FF">
        <w:rPr>
          <w:i/>
          <w:iCs/>
          <w:lang w:val="en-US"/>
        </w:rPr>
        <w:t>Environmental Science &amp; Technology</w:t>
      </w:r>
      <w:r w:rsidRPr="00DC28FF">
        <w:rPr>
          <w:lang w:val="en-US"/>
        </w:rPr>
        <w:t xml:space="preserve">, 42(4), pp. 995–1003. </w:t>
      </w:r>
      <w:r>
        <w:t>Available at: https://doi.org/10.1021/es070895g.</w:t>
      </w:r>
    </w:p>
    <w:p w14:paraId="40BCE1A6" w14:textId="77777777" w:rsidR="00DC28FF" w:rsidRDefault="00DC28FF" w:rsidP="00DC28FF">
      <w:pPr>
        <w:pStyle w:val="Bibliographie"/>
      </w:pPr>
      <w:r>
        <w:t xml:space="preserve">Conder, J.M. </w:t>
      </w:r>
      <w:r>
        <w:rPr>
          <w:i/>
          <w:iCs/>
        </w:rPr>
        <w:t>et al.</w:t>
      </w:r>
      <w:r>
        <w:t xml:space="preserve"> </w:t>
      </w:r>
      <w:r w:rsidRPr="00DC28FF">
        <w:rPr>
          <w:lang w:val="en-US"/>
        </w:rPr>
        <w:t xml:space="preserve">(2012) ‘Use of trophic magnification factors and related measures to characterize bioaccumulation potential of chemicals’, </w:t>
      </w:r>
      <w:r w:rsidRPr="00DC28FF">
        <w:rPr>
          <w:i/>
          <w:iCs/>
          <w:lang w:val="en-US"/>
        </w:rPr>
        <w:t>Integrated Environmental Assessment and Management</w:t>
      </w:r>
      <w:r w:rsidRPr="00DC28FF">
        <w:rPr>
          <w:lang w:val="en-US"/>
        </w:rPr>
        <w:t xml:space="preserve">, 8(1), pp. 85–97. </w:t>
      </w:r>
      <w:r>
        <w:t>Available at: https://doi.org/10.1002/ieam.216.</w:t>
      </w:r>
    </w:p>
    <w:p w14:paraId="29297B91" w14:textId="77777777" w:rsidR="00DC28FF" w:rsidRDefault="00DC28FF" w:rsidP="00DC28FF">
      <w:pPr>
        <w:pStyle w:val="Bibliographie"/>
      </w:pPr>
      <w:r>
        <w:t xml:space="preserve">Covaci, A. </w:t>
      </w:r>
      <w:r>
        <w:rPr>
          <w:i/>
          <w:iCs/>
        </w:rPr>
        <w:t>et al.</w:t>
      </w:r>
      <w:r>
        <w:t xml:space="preserve"> </w:t>
      </w:r>
      <w:r w:rsidRPr="00DC28FF">
        <w:rPr>
          <w:lang w:val="en-US"/>
        </w:rPr>
        <w:t xml:space="preserve">(2011) ‘Novel brominated flame retardants: a review of their analysis, environmental fate and behaviour’, </w:t>
      </w:r>
      <w:r w:rsidRPr="00DC28FF">
        <w:rPr>
          <w:i/>
          <w:iCs/>
          <w:lang w:val="en-US"/>
        </w:rPr>
        <w:t>Environment International</w:t>
      </w:r>
      <w:r w:rsidRPr="00DC28FF">
        <w:rPr>
          <w:lang w:val="en-US"/>
        </w:rPr>
        <w:t xml:space="preserve">, 37(2), pp. 532–556. </w:t>
      </w:r>
      <w:r>
        <w:t>Available at: https://doi.org/10.1016/j.envint.2010.11.007.</w:t>
      </w:r>
    </w:p>
    <w:p w14:paraId="3776307C" w14:textId="77777777" w:rsidR="00DC28FF" w:rsidRDefault="00DC28FF" w:rsidP="00DC28FF">
      <w:pPr>
        <w:pStyle w:val="Bibliographie"/>
      </w:pPr>
      <w:r>
        <w:t xml:space="preserve">Dargnat, C. and Fisson, C. (2010) </w:t>
      </w:r>
      <w:r>
        <w:rPr>
          <w:i/>
          <w:iCs/>
        </w:rPr>
        <w:t>Les PolyChrloroBiphényles (PCB) dans le bassin de la Seine et son estuaire.</w:t>
      </w:r>
    </w:p>
    <w:p w14:paraId="4C2ED179" w14:textId="77777777" w:rsidR="00DC28FF" w:rsidRPr="00DC28FF" w:rsidRDefault="00DC28FF" w:rsidP="00DC28FF">
      <w:pPr>
        <w:pStyle w:val="Bibliographie"/>
        <w:rPr>
          <w:lang w:val="en-US"/>
        </w:rPr>
      </w:pPr>
      <w:r w:rsidRPr="00DC28FF">
        <w:rPr>
          <w:lang w:val="en-US"/>
        </w:rPr>
        <w:t>Daughton, C.G. (2005) ‘“Emerging” Chemicals as Pollutants in the Environment: a 21st Century Perspective’.</w:t>
      </w:r>
    </w:p>
    <w:p w14:paraId="3B26F349" w14:textId="77777777" w:rsidR="00DC28FF" w:rsidRPr="00DC28FF" w:rsidRDefault="00DC28FF" w:rsidP="00DC28FF">
      <w:pPr>
        <w:pStyle w:val="Bibliographie"/>
        <w:rPr>
          <w:lang w:val="en-US"/>
        </w:rPr>
      </w:pPr>
      <w:r w:rsidRPr="00DC28FF">
        <w:rPr>
          <w:lang w:val="en-US"/>
        </w:rPr>
        <w:t xml:space="preserve">Deribe, E. </w:t>
      </w:r>
      <w:r w:rsidRPr="00DC28FF">
        <w:rPr>
          <w:i/>
          <w:iCs/>
          <w:lang w:val="en-US"/>
        </w:rPr>
        <w:t>et al.</w:t>
      </w:r>
      <w:r w:rsidRPr="00DC28FF">
        <w:rPr>
          <w:lang w:val="en-US"/>
        </w:rPr>
        <w:t xml:space="preserve"> (2011) ‘Bioaccumulation of persistent organic pollutants (POPs) in fish species from Lake Koka, Ethiopia: The influence of lipid content and trophic position’, </w:t>
      </w:r>
      <w:r w:rsidRPr="00DC28FF">
        <w:rPr>
          <w:i/>
          <w:iCs/>
          <w:lang w:val="en-US"/>
        </w:rPr>
        <w:t>Science of The Total Environment</w:t>
      </w:r>
      <w:r w:rsidRPr="00DC28FF">
        <w:rPr>
          <w:lang w:val="en-US"/>
        </w:rPr>
        <w:t>, 410–411, pp. 136–145. Available at: https://doi.org/10.1016/j.scitotenv.2011.09.008.</w:t>
      </w:r>
    </w:p>
    <w:p w14:paraId="605019AD" w14:textId="77777777" w:rsidR="00DC28FF" w:rsidRDefault="00DC28FF" w:rsidP="00DC28FF">
      <w:pPr>
        <w:pStyle w:val="Bibliographie"/>
      </w:pPr>
      <w:r w:rsidRPr="00DC28FF">
        <w:rPr>
          <w:lang w:val="en-US"/>
        </w:rPr>
        <w:t xml:space="preserve">Dörr, B. and Liebezeit, G. (2009) ‘Organochlorine Compounds in Blue Mussels, Mytilusedulis, and Pacific Oysters, Crassostrea gigas, from Seven Sites in the Lower Saxonian Wadden Sea, Southern North Sea’, </w:t>
      </w:r>
      <w:r w:rsidRPr="00DC28FF">
        <w:rPr>
          <w:i/>
          <w:iCs/>
          <w:lang w:val="en-US"/>
        </w:rPr>
        <w:t>Bulletin of Environmental Contamination and Toxicology</w:t>
      </w:r>
      <w:r w:rsidRPr="00DC28FF">
        <w:rPr>
          <w:lang w:val="en-US"/>
        </w:rPr>
        <w:t xml:space="preserve">, 83(6), pp. 874–879. </w:t>
      </w:r>
      <w:r>
        <w:t>Available at: https://doi.org/10.1007/s00128-009-9825-2.</w:t>
      </w:r>
    </w:p>
    <w:p w14:paraId="7BF5D9BC" w14:textId="77777777" w:rsidR="00DC28FF" w:rsidRPr="00DC28FF" w:rsidRDefault="00DC28FF" w:rsidP="00DC28FF">
      <w:pPr>
        <w:pStyle w:val="Bibliographie"/>
        <w:rPr>
          <w:lang w:val="en-US"/>
        </w:rPr>
      </w:pPr>
      <w:r>
        <w:t xml:space="preserve">Durou, C. </w:t>
      </w:r>
      <w:r>
        <w:rPr>
          <w:i/>
          <w:iCs/>
        </w:rPr>
        <w:t>et al.</w:t>
      </w:r>
      <w:r>
        <w:t xml:space="preserve"> </w:t>
      </w:r>
      <w:r w:rsidRPr="00DC28FF">
        <w:rPr>
          <w:lang w:val="en-US"/>
        </w:rPr>
        <w:t xml:space="preserve">(2007) ‘Biomonitoring in a clean and a multi-contaminated estuary based on biomarkers and chemical analyses in the endobenthic worm </w:t>
      </w:r>
      <w:r w:rsidRPr="00DC28FF">
        <w:rPr>
          <w:i/>
          <w:iCs/>
          <w:lang w:val="en-US"/>
        </w:rPr>
        <w:t>Nereis diversicolor</w:t>
      </w:r>
      <w:r w:rsidRPr="00DC28FF">
        <w:rPr>
          <w:lang w:val="en-US"/>
        </w:rPr>
        <w:t xml:space="preserve">’, </w:t>
      </w:r>
      <w:r w:rsidRPr="00DC28FF">
        <w:rPr>
          <w:i/>
          <w:iCs/>
          <w:lang w:val="en-US"/>
        </w:rPr>
        <w:t>Environmental Pollution</w:t>
      </w:r>
      <w:r w:rsidRPr="00DC28FF">
        <w:rPr>
          <w:lang w:val="en-US"/>
        </w:rPr>
        <w:t>, 148(2), pp. 445–458. Available at: https://doi.org/10.1016/j.envpol.2006.12.022.</w:t>
      </w:r>
    </w:p>
    <w:p w14:paraId="21AF03F9" w14:textId="77777777" w:rsidR="00DC28FF" w:rsidRPr="00DC28FF" w:rsidRDefault="00DC28FF" w:rsidP="00DC28FF">
      <w:pPr>
        <w:pStyle w:val="Bibliographie"/>
        <w:rPr>
          <w:lang w:val="en-US"/>
        </w:rPr>
      </w:pPr>
      <w:r w:rsidRPr="00DC28FF">
        <w:rPr>
          <w:lang w:val="en-US"/>
        </w:rPr>
        <w:t xml:space="preserve">European Commission (2022) ‘Commission regulation EU 2022/2002 of 21 October 2022 Amending Regulation (EC) No 1881/2006 as Regards Maximum Levels of Dioxins and Polychlorinated Biphenyls in Certain Foodstuffs.’, </w:t>
      </w:r>
      <w:r w:rsidRPr="00DC28FF">
        <w:rPr>
          <w:i/>
          <w:iCs/>
          <w:lang w:val="en-US"/>
        </w:rPr>
        <w:t>Official Journal of the European Union</w:t>
      </w:r>
      <w:r w:rsidRPr="00DC28FF">
        <w:rPr>
          <w:lang w:val="en-US"/>
        </w:rPr>
        <w:t>. L 272, 1-18.</w:t>
      </w:r>
    </w:p>
    <w:p w14:paraId="523838E7" w14:textId="77777777" w:rsidR="00DC28FF" w:rsidRPr="00DC28FF" w:rsidRDefault="00DC28FF" w:rsidP="00DC28FF">
      <w:pPr>
        <w:pStyle w:val="Bibliographie"/>
        <w:rPr>
          <w:lang w:val="en-US"/>
        </w:rPr>
      </w:pPr>
      <w:r w:rsidRPr="00DC28FF">
        <w:rPr>
          <w:lang w:val="en-US"/>
        </w:rPr>
        <w:t xml:space="preserve">Fremlin, K.M., Elliott, J.E. and Gobas, F.A.P.C. (2025) ‘Guidance for measuring and evaluating biomagnification factors and trophic magnification factors of difficult substances: application to decabromodiphenylethane’, </w:t>
      </w:r>
      <w:r w:rsidRPr="00DC28FF">
        <w:rPr>
          <w:i/>
          <w:iCs/>
          <w:lang w:val="en-US"/>
        </w:rPr>
        <w:t>Integrated Environmental Assessment and Management</w:t>
      </w:r>
      <w:r w:rsidRPr="00DC28FF">
        <w:rPr>
          <w:lang w:val="en-US"/>
        </w:rPr>
        <w:t>, 21(2), pp. 263–278. Available at: https://doi.org/10.1093/inteam/vjae025.</w:t>
      </w:r>
    </w:p>
    <w:p w14:paraId="51EBE0C4" w14:textId="77777777" w:rsidR="00DC28FF" w:rsidRDefault="00DC28FF" w:rsidP="00DC28FF">
      <w:pPr>
        <w:pStyle w:val="Bibliographie"/>
      </w:pPr>
      <w:r w:rsidRPr="00DC28FF">
        <w:rPr>
          <w:lang w:val="en-US"/>
        </w:rPr>
        <w:lastRenderedPageBreak/>
        <w:t xml:space="preserve">Gewurtz, S.B. </w:t>
      </w:r>
      <w:r w:rsidRPr="00DC28FF">
        <w:rPr>
          <w:i/>
          <w:iCs/>
          <w:lang w:val="en-US"/>
        </w:rPr>
        <w:t>et al.</w:t>
      </w:r>
      <w:r w:rsidRPr="00DC28FF">
        <w:rPr>
          <w:lang w:val="en-US"/>
        </w:rPr>
        <w:t xml:space="preserve"> (2006) ‘A comparison of contaminant dynamics in arctic and temperate fish: a modeling approach’, </w:t>
      </w:r>
      <w:r w:rsidRPr="00DC28FF">
        <w:rPr>
          <w:i/>
          <w:iCs/>
          <w:lang w:val="en-US"/>
        </w:rPr>
        <w:t>Chemosphere</w:t>
      </w:r>
      <w:r w:rsidRPr="00DC28FF">
        <w:rPr>
          <w:lang w:val="en-US"/>
        </w:rPr>
        <w:t xml:space="preserve">, 63, pp. 1328–1341. </w:t>
      </w:r>
      <w:r>
        <w:t>Available at: https://doi.org/10.1016/j.chemosphere.2005.09.031.</w:t>
      </w:r>
    </w:p>
    <w:p w14:paraId="611A99CA" w14:textId="77777777" w:rsidR="00DC28FF" w:rsidRDefault="00DC28FF" w:rsidP="00DC28FF">
      <w:pPr>
        <w:pStyle w:val="Bibliographie"/>
      </w:pPr>
      <w:r>
        <w:t xml:space="preserve">Gilliers, C. </w:t>
      </w:r>
      <w:r>
        <w:rPr>
          <w:i/>
          <w:iCs/>
        </w:rPr>
        <w:t>et al.</w:t>
      </w:r>
      <w:r>
        <w:t xml:space="preserve"> </w:t>
      </w:r>
      <w:r w:rsidRPr="00DC28FF">
        <w:rPr>
          <w:lang w:val="en-US"/>
        </w:rPr>
        <w:t xml:space="preserve">(2006) ‘Are growth and density quantitative indicators of essential fish habitat quality? An application to the common sole Solea solea nursery grounds’, </w:t>
      </w:r>
      <w:r w:rsidRPr="00DC28FF">
        <w:rPr>
          <w:i/>
          <w:iCs/>
          <w:lang w:val="en-US"/>
        </w:rPr>
        <w:t>Estuarine, Coastal and Shelf Science</w:t>
      </w:r>
      <w:r w:rsidRPr="00DC28FF">
        <w:rPr>
          <w:lang w:val="en-US"/>
        </w:rPr>
        <w:t xml:space="preserve">, 69(1–2), pp. 96–106. </w:t>
      </w:r>
      <w:r>
        <w:t>Available at: https://doi.org/10.1016/j.ecss.2006.02.006.</w:t>
      </w:r>
    </w:p>
    <w:p w14:paraId="548ACB60" w14:textId="77777777" w:rsidR="00DC28FF" w:rsidRPr="00DC28FF" w:rsidRDefault="00DC28FF" w:rsidP="00DC28FF">
      <w:pPr>
        <w:pStyle w:val="Bibliographie"/>
        <w:rPr>
          <w:lang w:val="en-US"/>
        </w:rPr>
      </w:pPr>
      <w:r>
        <w:t xml:space="preserve">GIP Seine-aval (2024) ‘Un estuaire en pleine évolution - GIP Seine-Aval’, </w:t>
      </w:r>
      <w:r>
        <w:rPr>
          <w:i/>
          <w:iCs/>
        </w:rPr>
        <w:t>Tout s’explique !</w:t>
      </w:r>
      <w:r>
        <w:t xml:space="preserve"> </w:t>
      </w:r>
      <w:r w:rsidRPr="00DC28FF">
        <w:rPr>
          <w:lang w:val="en-US"/>
        </w:rPr>
        <w:t>Available at: https://www.seine-aval.fr/tout-s-explique4/ (Accessed: 16 May 2025).</w:t>
      </w:r>
    </w:p>
    <w:p w14:paraId="6BA8F86A" w14:textId="77777777" w:rsidR="00DC28FF" w:rsidRPr="00DC28FF" w:rsidRDefault="00DC28FF" w:rsidP="00DC28FF">
      <w:pPr>
        <w:pStyle w:val="Bibliographie"/>
        <w:rPr>
          <w:lang w:val="en-US"/>
        </w:rPr>
      </w:pPr>
      <w:r>
        <w:t xml:space="preserve">Gobas, F. a P.C. </w:t>
      </w:r>
      <w:r>
        <w:rPr>
          <w:i/>
          <w:iCs/>
        </w:rPr>
        <w:t>et al.</w:t>
      </w:r>
      <w:r>
        <w:t xml:space="preserve"> </w:t>
      </w:r>
      <w:r w:rsidRPr="00DC28FF">
        <w:rPr>
          <w:lang w:val="en-US"/>
        </w:rPr>
        <w:t xml:space="preserve">(1999) ‘Mechanism of biomagnification in fish under laboratory and field conditions’, </w:t>
      </w:r>
      <w:r w:rsidRPr="00DC28FF">
        <w:rPr>
          <w:i/>
          <w:iCs/>
          <w:lang w:val="en-US"/>
        </w:rPr>
        <w:t>Environmental Science and Technology</w:t>
      </w:r>
      <w:r w:rsidRPr="00DC28FF">
        <w:rPr>
          <w:lang w:val="en-US"/>
        </w:rPr>
        <w:t>, 33(1), pp. 133–141. Available at: https://doi.org/10.1021/es980681m.</w:t>
      </w:r>
    </w:p>
    <w:p w14:paraId="4C4EF2D8" w14:textId="77777777" w:rsidR="00DC28FF" w:rsidRPr="00DC28FF" w:rsidRDefault="00DC28FF" w:rsidP="00DC28FF">
      <w:pPr>
        <w:pStyle w:val="Bibliographie"/>
        <w:rPr>
          <w:lang w:val="en-US"/>
        </w:rPr>
      </w:pPr>
      <w:r w:rsidRPr="00DC28FF">
        <w:rPr>
          <w:lang w:val="en-US"/>
        </w:rPr>
        <w:t xml:space="preserve">Gobas, F.A. </w:t>
      </w:r>
      <w:r w:rsidRPr="00DC28FF">
        <w:rPr>
          <w:i/>
          <w:iCs/>
          <w:lang w:val="en-US"/>
        </w:rPr>
        <w:t>et al.</w:t>
      </w:r>
      <w:r w:rsidRPr="00DC28FF">
        <w:rPr>
          <w:lang w:val="en-US"/>
        </w:rPr>
        <w:t xml:space="preserve"> (2009) ‘Revisiting Bioaccumulation Criteria for POPs and PBT Assessments’, </w:t>
      </w:r>
      <w:r w:rsidRPr="00DC28FF">
        <w:rPr>
          <w:i/>
          <w:iCs/>
          <w:lang w:val="en-US"/>
        </w:rPr>
        <w:t>Integrated Environmental Assessment and Management</w:t>
      </w:r>
      <w:r w:rsidRPr="00DC28FF">
        <w:rPr>
          <w:lang w:val="en-US"/>
        </w:rPr>
        <w:t>, 5(4), pp. 624–637. Available at: https://doi.org/10.1897/IEAM_2008-089.1.</w:t>
      </w:r>
    </w:p>
    <w:p w14:paraId="0BC71786" w14:textId="77777777" w:rsidR="00DC28FF" w:rsidRPr="00DC28FF" w:rsidRDefault="00DC28FF" w:rsidP="00DC28FF">
      <w:pPr>
        <w:pStyle w:val="Bibliographie"/>
        <w:rPr>
          <w:lang w:val="en-US"/>
        </w:rPr>
      </w:pPr>
      <w:r w:rsidRPr="00DC28FF">
        <w:rPr>
          <w:lang w:val="en-US"/>
        </w:rPr>
        <w:t xml:space="preserve">Gobas, F.A.P.C. and Morrison, J.B. (2000) ‘Bioconcentration and Biomagnification in the Aquatic Environment’, in </w:t>
      </w:r>
      <w:r w:rsidRPr="00DC28FF">
        <w:rPr>
          <w:i/>
          <w:iCs/>
          <w:lang w:val="en-US"/>
        </w:rPr>
        <w:t>Handbook of Property Estimation Methods for Chemicals</w:t>
      </w:r>
      <w:r w:rsidRPr="00DC28FF">
        <w:rPr>
          <w:lang w:val="en-US"/>
        </w:rPr>
        <w:t>. CRC Press.</w:t>
      </w:r>
    </w:p>
    <w:p w14:paraId="6FDE14FE" w14:textId="77777777" w:rsidR="00DC28FF" w:rsidRPr="00DC28FF" w:rsidRDefault="00DC28FF" w:rsidP="00DC28FF">
      <w:pPr>
        <w:pStyle w:val="Bibliographie"/>
        <w:rPr>
          <w:lang w:val="en-US"/>
        </w:rPr>
      </w:pPr>
      <w:r w:rsidRPr="00DC28FF">
        <w:rPr>
          <w:lang w:val="en-US"/>
        </w:rPr>
        <w:t xml:space="preserve">Gobas, F.A.P.C., Zhang, X. and Wells, R. (1993) ‘Gastrointestinal magnification: The mechanism of biomagnification and food chain accumulation of organic chemicals’, </w:t>
      </w:r>
      <w:r w:rsidRPr="00DC28FF">
        <w:rPr>
          <w:i/>
          <w:iCs/>
          <w:lang w:val="en-US"/>
        </w:rPr>
        <w:t>Environmental Science and Technology</w:t>
      </w:r>
      <w:r w:rsidRPr="00DC28FF">
        <w:rPr>
          <w:lang w:val="en-US"/>
        </w:rPr>
        <w:t>, 27(13), pp. 2855–2863. Available at: https://doi.org/10.1021/es00049a028.</w:t>
      </w:r>
    </w:p>
    <w:p w14:paraId="35D83FA6"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(2008) ‘A Global Map of Human Impact on Marine Ecosystems’, </w:t>
      </w:r>
      <w:r w:rsidRPr="00DC28FF">
        <w:rPr>
          <w:i/>
          <w:iCs/>
          <w:lang w:val="en-US"/>
        </w:rPr>
        <w:t>Science</w:t>
      </w:r>
      <w:r w:rsidRPr="00DC28FF">
        <w:rPr>
          <w:lang w:val="en-US"/>
        </w:rPr>
        <w:t>, 319(5865), pp. 948–952. Available at: https://doi.org/10.1126/science.1149345.</w:t>
      </w:r>
    </w:p>
    <w:p w14:paraId="440E8205"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(2012) ‘An index to assess the health and benefits of the global ocean’, </w:t>
      </w:r>
      <w:r w:rsidRPr="00DC28FF">
        <w:rPr>
          <w:i/>
          <w:iCs/>
          <w:lang w:val="en-US"/>
        </w:rPr>
        <w:t>Nature</w:t>
      </w:r>
      <w:r w:rsidRPr="00DC28FF">
        <w:rPr>
          <w:lang w:val="en-US"/>
        </w:rPr>
        <w:t>, 488(7413), pp. 615–620. Available at: https://doi.org/10.1038/nature11397.</w:t>
      </w:r>
    </w:p>
    <w:p w14:paraId="7B9ED4ED" w14:textId="77777777" w:rsidR="00DC28FF" w:rsidRDefault="00DC28FF" w:rsidP="00DC28FF">
      <w:pPr>
        <w:pStyle w:val="Bibliographie"/>
      </w:pPr>
      <w:r w:rsidRPr="00DC28FF">
        <w:rPr>
          <w:lang w:val="en-US"/>
        </w:rPr>
        <w:t xml:space="preserve">Helsel, D.R. (2006) ‘Fabricating data: How substituting values for nondetects can ruin results, and what can be done about it’, </w:t>
      </w:r>
      <w:r w:rsidRPr="00DC28FF">
        <w:rPr>
          <w:i/>
          <w:iCs/>
          <w:lang w:val="en-US"/>
        </w:rPr>
        <w:t>Chemosphere</w:t>
      </w:r>
      <w:r w:rsidRPr="00DC28FF">
        <w:rPr>
          <w:lang w:val="en-US"/>
        </w:rPr>
        <w:t xml:space="preserve">, 65(11), pp. 2434–2439. </w:t>
      </w:r>
      <w:r>
        <w:t>Available at: https://doi.org/10.1016/j.chemosphere.2006.04.051.</w:t>
      </w:r>
    </w:p>
    <w:p w14:paraId="175B8382" w14:textId="77777777" w:rsidR="00DC28FF" w:rsidRPr="00DC28FF" w:rsidRDefault="00DC28FF" w:rsidP="00DC28FF">
      <w:pPr>
        <w:pStyle w:val="Bibliographie"/>
        <w:rPr>
          <w:lang w:val="en-US"/>
        </w:rPr>
      </w:pPr>
      <w:r>
        <w:t xml:space="preserve">Houde, M. </w:t>
      </w:r>
      <w:r>
        <w:rPr>
          <w:i/>
          <w:iCs/>
        </w:rPr>
        <w:t>et al.</w:t>
      </w:r>
      <w:r>
        <w:t xml:space="preserve"> </w:t>
      </w:r>
      <w:r w:rsidRPr="00DC28FF">
        <w:rPr>
          <w:lang w:val="en-US"/>
        </w:rPr>
        <w:t xml:space="preserve">(2006) ‘Biological monitoring of polyfluoroalkyl substances: A review’, </w:t>
      </w:r>
      <w:r w:rsidRPr="00DC28FF">
        <w:rPr>
          <w:i/>
          <w:iCs/>
          <w:lang w:val="en-US"/>
        </w:rPr>
        <w:t>Environmental Science and Technology</w:t>
      </w:r>
      <w:r w:rsidRPr="00DC28FF">
        <w:rPr>
          <w:lang w:val="en-US"/>
        </w:rPr>
        <w:t>, 40(11), pp. 3463–3473. Available at: https://doi.org/10.1021/es052580b.</w:t>
      </w:r>
    </w:p>
    <w:p w14:paraId="2CD0CBFF" w14:textId="77777777" w:rsidR="00DC28FF" w:rsidRPr="00DC28FF" w:rsidRDefault="00DC28FF" w:rsidP="00DC28FF">
      <w:pPr>
        <w:pStyle w:val="Bibliographie"/>
        <w:rPr>
          <w:lang w:val="en-US"/>
        </w:rPr>
      </w:pPr>
      <w:r w:rsidRPr="00DC28FF">
        <w:rPr>
          <w:lang w:val="en-US"/>
        </w:rPr>
        <w:t>Julian, P. and Helsel, D. (2021) ‘NADA2: Data Analysis for Censored Environmental Data.’ Available at: https://github.com/SwampThingPaul/NADA2.</w:t>
      </w:r>
    </w:p>
    <w:p w14:paraId="612ED133" w14:textId="77777777" w:rsidR="00DC28FF" w:rsidRDefault="00DC28FF" w:rsidP="00DC28FF">
      <w:pPr>
        <w:pStyle w:val="Bibliographie"/>
      </w:pPr>
      <w:r w:rsidRPr="00DC28FF">
        <w:rPr>
          <w:lang w:val="en-US"/>
        </w:rPr>
        <w:t xml:space="preserve">Kelly, B.C. </w:t>
      </w:r>
      <w:r w:rsidRPr="00DC28FF">
        <w:rPr>
          <w:i/>
          <w:iCs/>
          <w:lang w:val="en-US"/>
        </w:rPr>
        <w:t>et al.</w:t>
      </w:r>
      <w:r w:rsidRPr="00DC28FF">
        <w:rPr>
          <w:lang w:val="en-US"/>
        </w:rPr>
        <w:t xml:space="preserve"> (2009) ‘Perfluoroalkyl Contaminants in an Arctic Marine Food Web : Trophic Magnification and Wildlife Exposure’, </w:t>
      </w:r>
      <w:r w:rsidRPr="00DC28FF">
        <w:rPr>
          <w:i/>
          <w:iCs/>
          <w:lang w:val="en-US"/>
        </w:rPr>
        <w:t>Environmental Science &amp; Technology</w:t>
      </w:r>
      <w:r w:rsidRPr="00DC28FF">
        <w:rPr>
          <w:lang w:val="en-US"/>
        </w:rPr>
        <w:t xml:space="preserve">, 43, pp. 4037–4043. </w:t>
      </w:r>
      <w:r>
        <w:t>Available at: https://doi.org/10.1021/es9003894.</w:t>
      </w:r>
    </w:p>
    <w:p w14:paraId="5C1C6A04" w14:textId="77777777" w:rsidR="00DC28FF" w:rsidRPr="00DC28FF" w:rsidRDefault="00DC28FF" w:rsidP="00DC28FF">
      <w:pPr>
        <w:pStyle w:val="Bibliographie"/>
        <w:rPr>
          <w:lang w:val="en-US"/>
        </w:rPr>
      </w:pPr>
      <w:r>
        <w:t xml:space="preserve">Kim, J. </w:t>
      </w:r>
      <w:r>
        <w:rPr>
          <w:i/>
          <w:iCs/>
        </w:rPr>
        <w:t>et al.</w:t>
      </w:r>
      <w:r>
        <w:t xml:space="preserve"> </w:t>
      </w:r>
      <w:r w:rsidRPr="00DC28FF">
        <w:rPr>
          <w:lang w:val="en-US"/>
        </w:rPr>
        <w:t xml:space="preserve">(2016) ‘Evaluating the roles of biotransformation, spatial concentration differences, organism home range, and field sampling design on trophic magnification factors’, </w:t>
      </w:r>
      <w:r w:rsidRPr="00DC28FF">
        <w:rPr>
          <w:i/>
          <w:iCs/>
          <w:lang w:val="en-US"/>
        </w:rPr>
        <w:t>Science of the Total Environment</w:t>
      </w:r>
      <w:r w:rsidRPr="00DC28FF">
        <w:rPr>
          <w:lang w:val="en-US"/>
        </w:rPr>
        <w:t>, 551–552, pp. 438–451. Available at: https://doi.org/10.1016/j.scitotenv.2016.02.013.</w:t>
      </w:r>
    </w:p>
    <w:p w14:paraId="491C0926" w14:textId="77777777" w:rsidR="00DC28FF" w:rsidRDefault="00DC28FF" w:rsidP="00DC28FF">
      <w:pPr>
        <w:pStyle w:val="Bibliographie"/>
      </w:pPr>
      <w:r w:rsidRPr="00DC28FF">
        <w:rPr>
          <w:lang w:val="en-US"/>
        </w:rPr>
        <w:t xml:space="preserve">Labadie, P. and Chevreuil, M. (2011) ‘Partitioning behaviour of perfluorinated alkyl contaminants between water, sediment and fish in the Orge River (nearby Paris, France)’, </w:t>
      </w:r>
      <w:r w:rsidRPr="00DC28FF">
        <w:rPr>
          <w:i/>
          <w:iCs/>
          <w:lang w:val="en-US"/>
        </w:rPr>
        <w:t>Environmental Pollution</w:t>
      </w:r>
      <w:r w:rsidRPr="00DC28FF">
        <w:rPr>
          <w:lang w:val="en-US"/>
        </w:rPr>
        <w:t xml:space="preserve">, 159(2), pp. 391–397. </w:t>
      </w:r>
      <w:r>
        <w:t>Available at: https://doi.org/10.1016/J.ENVPOL.2010.10.039.</w:t>
      </w:r>
    </w:p>
    <w:p w14:paraId="5397CDA5" w14:textId="77777777" w:rsidR="00DC28FF" w:rsidRDefault="00DC28FF" w:rsidP="00DC28FF">
      <w:pPr>
        <w:pStyle w:val="Bibliographie"/>
      </w:pPr>
      <w:r>
        <w:lastRenderedPageBreak/>
        <w:t>Lauzent, M. (2018) ‘Etude de l’écodynamique des polluants organiques persistants et des micropolluants halogénés d’intérêt émergent dans les milieux aquatiques’.</w:t>
      </w:r>
    </w:p>
    <w:p w14:paraId="01B920CA" w14:textId="77777777" w:rsidR="00DC28FF" w:rsidRDefault="00DC28FF" w:rsidP="00DC28FF">
      <w:pPr>
        <w:pStyle w:val="Bibliographie"/>
      </w:pPr>
      <w:r>
        <w:t xml:space="preserve">Le Pape, O. </w:t>
      </w:r>
      <w:r>
        <w:rPr>
          <w:i/>
          <w:iCs/>
        </w:rPr>
        <w:t>et al.</w:t>
      </w:r>
      <w:r>
        <w:t xml:space="preserve"> </w:t>
      </w:r>
      <w:r w:rsidRPr="00DC28FF">
        <w:rPr>
          <w:lang w:val="en-US"/>
        </w:rPr>
        <w:t xml:space="preserve">(2003) ‘Quantitative description of habitat suitability for the juvenile common sole (Solea solea, L.) in the Bay of Biscay (France) and the contribution of different habitats to the adult population’, </w:t>
      </w:r>
      <w:r w:rsidRPr="00DC28FF">
        <w:rPr>
          <w:i/>
          <w:iCs/>
          <w:lang w:val="en-US"/>
        </w:rPr>
        <w:t>Journal of Sea Research</w:t>
      </w:r>
      <w:r w:rsidRPr="00DC28FF">
        <w:rPr>
          <w:lang w:val="en-US"/>
        </w:rPr>
        <w:t xml:space="preserve">, 50(2–3), pp. 139–149. </w:t>
      </w:r>
      <w:r>
        <w:t>Available at: https://doi.org/10.1016/S1385-1101(03)00059-5.</w:t>
      </w:r>
    </w:p>
    <w:p w14:paraId="362BA3CD" w14:textId="77777777" w:rsidR="00DC28FF" w:rsidRPr="00DC28FF" w:rsidRDefault="00DC28FF" w:rsidP="00DC28FF">
      <w:pPr>
        <w:pStyle w:val="Bibliographie"/>
        <w:rPr>
          <w:lang w:val="en-US"/>
        </w:rPr>
      </w:pPr>
      <w:r>
        <w:t xml:space="preserve">Le Pape, O. </w:t>
      </w:r>
      <w:r>
        <w:rPr>
          <w:i/>
          <w:iCs/>
        </w:rPr>
        <w:t>et al.</w:t>
      </w:r>
      <w:r>
        <w:t xml:space="preserve"> </w:t>
      </w:r>
      <w:r w:rsidRPr="00DC28FF">
        <w:rPr>
          <w:lang w:val="en-US"/>
        </w:rPr>
        <w:t xml:space="preserve">(2007) ‘Convergent signs of degradation in both the capacity and the quality of an essential fish habitat: state of the Seine estuary (France) flatfish nurseries’, </w:t>
      </w:r>
      <w:r w:rsidRPr="00DC28FF">
        <w:rPr>
          <w:i/>
          <w:iCs/>
          <w:lang w:val="en-US"/>
        </w:rPr>
        <w:t>Hydrobiologia</w:t>
      </w:r>
      <w:r w:rsidRPr="00DC28FF">
        <w:rPr>
          <w:lang w:val="en-US"/>
        </w:rPr>
        <w:t>, 588(1), pp. 225–229. Available at: https://doi.org/10.1007/s10750-007-0665-y.</w:t>
      </w:r>
    </w:p>
    <w:p w14:paraId="4337AEB7" w14:textId="77777777" w:rsidR="00DC28FF" w:rsidRDefault="00DC28FF" w:rsidP="00DC28FF">
      <w:pPr>
        <w:pStyle w:val="Bibliographie"/>
      </w:pPr>
      <w:r w:rsidRPr="00DC28FF">
        <w:rPr>
          <w:lang w:val="en-US"/>
        </w:rPr>
        <w:t xml:space="preserve">Lescord, G.L. </w:t>
      </w:r>
      <w:r w:rsidRPr="00DC28FF">
        <w:rPr>
          <w:i/>
          <w:iCs/>
          <w:lang w:val="en-US"/>
        </w:rPr>
        <w:t>et al.</w:t>
      </w:r>
      <w:r w:rsidRPr="00DC28FF">
        <w:rPr>
          <w:lang w:val="en-US"/>
        </w:rPr>
        <w:t xml:space="preserve"> (2015) ‘Perfluorinated and Polyfluorinated Compounds in Lake Food Webs from the Canadian High Arctic’, </w:t>
      </w:r>
      <w:r w:rsidRPr="00DC28FF">
        <w:rPr>
          <w:i/>
          <w:iCs/>
          <w:lang w:val="en-US"/>
        </w:rPr>
        <w:t>Environmental Science &amp; Technology</w:t>
      </w:r>
      <w:r w:rsidRPr="00DC28FF">
        <w:rPr>
          <w:lang w:val="en-US"/>
        </w:rPr>
        <w:t xml:space="preserve">, 49(5), pp. 2694–2702. </w:t>
      </w:r>
      <w:r>
        <w:t>Available at: https://doi.org/10.1021/es5048649.</w:t>
      </w:r>
    </w:p>
    <w:p w14:paraId="4A3678A6" w14:textId="77777777" w:rsidR="00DC28FF" w:rsidRPr="00DC28FF" w:rsidRDefault="00DC28FF" w:rsidP="00DC28FF">
      <w:pPr>
        <w:pStyle w:val="Bibliographie"/>
        <w:rPr>
          <w:lang w:val="en-US"/>
        </w:rPr>
      </w:pPr>
      <w:r>
        <w:t xml:space="preserve">Li, J. </w:t>
      </w:r>
      <w:r>
        <w:rPr>
          <w:i/>
          <w:iCs/>
        </w:rPr>
        <w:t>et al.</w:t>
      </w:r>
      <w:r>
        <w:t xml:space="preserve"> </w:t>
      </w:r>
      <w:r w:rsidRPr="00DC28FF">
        <w:rPr>
          <w:lang w:val="en-US"/>
        </w:rPr>
        <w:t xml:space="preserve">(2018) ‘Importance of Growth Rate on Hg and PCB Bioaccumulation in Fish’, </w:t>
      </w:r>
      <w:r w:rsidRPr="00DC28FF">
        <w:rPr>
          <w:i/>
          <w:iCs/>
          <w:lang w:val="en-US"/>
        </w:rPr>
        <w:t>Environmental Toxicology and Chemistry</w:t>
      </w:r>
      <w:r w:rsidRPr="00DC28FF">
        <w:rPr>
          <w:lang w:val="en-US"/>
        </w:rPr>
        <w:t xml:space="preserve"> [Preprint]. Available at: https://doi.org/10.1002/etc.4114.</w:t>
      </w:r>
    </w:p>
    <w:p w14:paraId="26BF4DCD" w14:textId="77777777" w:rsidR="00DC28FF" w:rsidRPr="00DC28FF" w:rsidRDefault="00DC28FF" w:rsidP="00DC28FF">
      <w:pPr>
        <w:pStyle w:val="Bibliographie"/>
        <w:rPr>
          <w:lang w:val="en-US"/>
        </w:rPr>
      </w:pPr>
      <w:r w:rsidRPr="00DC28FF">
        <w:rPr>
          <w:lang w:val="en-US"/>
        </w:rPr>
        <w:t xml:space="preserve">Liu, J., Haffner, G.D. and Drouillard, K.G. (2010) ‘The influence of diet on the assimilation efficiency of 47 polychlorinated biphenyl congeners in Japanese koi (Cyprinus carpio)’, </w:t>
      </w:r>
      <w:r w:rsidRPr="00DC28FF">
        <w:rPr>
          <w:i/>
          <w:iCs/>
          <w:lang w:val="en-US"/>
        </w:rPr>
        <w:t>Environmental Toxicology and Chemistry</w:t>
      </w:r>
      <w:r w:rsidRPr="00DC28FF">
        <w:rPr>
          <w:lang w:val="en-US"/>
        </w:rPr>
        <w:t>, 29(2), pp. 401–409. Available at: https://doi.org/10.1002/etc.47.</w:t>
      </w:r>
    </w:p>
    <w:p w14:paraId="14186E9E" w14:textId="77777777" w:rsidR="00DC28FF" w:rsidRPr="00DC28FF" w:rsidRDefault="00DC28FF" w:rsidP="00DC28FF">
      <w:pPr>
        <w:pStyle w:val="Bibliographie"/>
        <w:rPr>
          <w:lang w:val="en-US"/>
        </w:rPr>
      </w:pPr>
      <w:r w:rsidRPr="00DC28FF">
        <w:rPr>
          <w:lang w:val="en-US"/>
        </w:rPr>
        <w:t xml:space="preserve">Loi, E.I.H. </w:t>
      </w:r>
      <w:r w:rsidRPr="00DC28FF">
        <w:rPr>
          <w:i/>
          <w:iCs/>
          <w:lang w:val="en-US"/>
        </w:rPr>
        <w:t>et al.</w:t>
      </w:r>
      <w:r w:rsidRPr="00DC28FF">
        <w:rPr>
          <w:lang w:val="en-US"/>
        </w:rPr>
        <w:t xml:space="preserve"> (2011) ‘Trophic Magnification of Poly- and Perfluorinated Compounds in a Subtropical Food Web’, </w:t>
      </w:r>
      <w:r w:rsidRPr="00DC28FF">
        <w:rPr>
          <w:i/>
          <w:iCs/>
          <w:lang w:val="en-US"/>
        </w:rPr>
        <w:t>Environmental Science &amp; Technology</w:t>
      </w:r>
      <w:r w:rsidRPr="00DC28FF">
        <w:rPr>
          <w:lang w:val="en-US"/>
        </w:rPr>
        <w:t>, 45(13), pp. 5506–5513. Available at: https://doi.org/10.1021/es200432n.</w:t>
      </w:r>
    </w:p>
    <w:p w14:paraId="08585F45" w14:textId="77777777" w:rsidR="00DC28FF" w:rsidRPr="00DC28FF" w:rsidRDefault="00DC28FF" w:rsidP="00DC28FF">
      <w:pPr>
        <w:pStyle w:val="Bibliographie"/>
        <w:rPr>
          <w:lang w:val="en-US"/>
        </w:rPr>
      </w:pPr>
      <w:r w:rsidRPr="00DC28FF">
        <w:rPr>
          <w:lang w:val="en-US"/>
        </w:rPr>
        <w:t xml:space="preserve">Loizeau, V., Abarnou, A. and Ménesguen, A. (2001) ‘A steady-state model of PCB bioaccumulation in the sea bass (Dicentrarchus labrax) food web from the Seine estuary, France’, </w:t>
      </w:r>
      <w:r w:rsidRPr="00DC28FF">
        <w:rPr>
          <w:i/>
          <w:iCs/>
          <w:lang w:val="en-US"/>
        </w:rPr>
        <w:t>Estuaries</w:t>
      </w:r>
      <w:r w:rsidRPr="00DC28FF">
        <w:rPr>
          <w:lang w:val="en-US"/>
        </w:rPr>
        <w:t>, 24(6), pp. 1074–1087. Available at: https://doi.org/10.2307/1353019.</w:t>
      </w:r>
    </w:p>
    <w:p w14:paraId="414B9290" w14:textId="77777777" w:rsidR="00DC28FF" w:rsidRPr="00DC28FF" w:rsidRDefault="00DC28FF" w:rsidP="00DC28FF">
      <w:pPr>
        <w:pStyle w:val="Bibliographie"/>
        <w:rPr>
          <w:lang w:val="en-US"/>
        </w:rPr>
      </w:pPr>
      <w:r w:rsidRPr="00DC28FF">
        <w:rPr>
          <w:lang w:val="en-US"/>
        </w:rPr>
        <w:t xml:space="preserve">Mackay, D. </w:t>
      </w:r>
      <w:r w:rsidRPr="00DC28FF">
        <w:rPr>
          <w:i/>
          <w:iCs/>
          <w:lang w:val="en-US"/>
        </w:rPr>
        <w:t>et al.</w:t>
      </w:r>
      <w:r w:rsidRPr="00DC28FF">
        <w:rPr>
          <w:lang w:val="en-US"/>
        </w:rPr>
        <w:t xml:space="preserve"> (2016) ‘Processes influencing chemical biomagnification and trophic magnification factors in aquatic ecosystems: Implications for chemical hazard and risk assessment’, </w:t>
      </w:r>
      <w:r w:rsidRPr="00DC28FF">
        <w:rPr>
          <w:i/>
          <w:iCs/>
          <w:lang w:val="en-US"/>
        </w:rPr>
        <w:t>Chemosphere</w:t>
      </w:r>
      <w:r w:rsidRPr="00DC28FF">
        <w:rPr>
          <w:lang w:val="en-US"/>
        </w:rPr>
        <w:t>, 154, pp. 99–108. Available at: https://doi.org/10.1016/j.chemosphere.2016.03.048.</w:t>
      </w:r>
    </w:p>
    <w:p w14:paraId="0B427682" w14:textId="77777777" w:rsidR="00DC28FF" w:rsidRDefault="00DC28FF" w:rsidP="00DC28FF">
      <w:pPr>
        <w:pStyle w:val="Bibliographie"/>
      </w:pPr>
      <w:r w:rsidRPr="00DC28FF">
        <w:rPr>
          <w:lang w:val="en-US"/>
        </w:rPr>
        <w:t xml:space="preserve">Mackay, D. and Fraser, A. (2000) ‘Bioaccumulation of persistent organic chemicals: mechanisms and models’, </w:t>
      </w:r>
      <w:r w:rsidRPr="00DC28FF">
        <w:rPr>
          <w:i/>
          <w:iCs/>
          <w:lang w:val="en-US"/>
        </w:rPr>
        <w:t>Environmental Pollution</w:t>
      </w:r>
      <w:r w:rsidRPr="00DC28FF">
        <w:rPr>
          <w:lang w:val="en-US"/>
        </w:rPr>
        <w:t xml:space="preserve">, 110(3), pp. 375–391. </w:t>
      </w:r>
      <w:r>
        <w:t>Available at: https://doi.org/10.1016/S0269-7491(00)00162-7.</w:t>
      </w:r>
    </w:p>
    <w:p w14:paraId="0FC904B0" w14:textId="77777777" w:rsidR="00DC28FF" w:rsidRDefault="00DC28FF" w:rsidP="00DC28FF">
      <w:pPr>
        <w:pStyle w:val="Bibliographie"/>
      </w:pPr>
      <w:r>
        <w:t xml:space="preserve">Masset, T. </w:t>
      </w:r>
      <w:r>
        <w:rPr>
          <w:i/>
          <w:iCs/>
        </w:rPr>
        <w:t>et al.</w:t>
      </w:r>
      <w:r>
        <w:t xml:space="preserve"> </w:t>
      </w:r>
      <w:r w:rsidRPr="00DC28FF">
        <w:rPr>
          <w:lang w:val="en-US"/>
        </w:rPr>
        <w:t xml:space="preserve">(2019) ‘Trophic position and individual feeding habits as drivers of differential PCB bioaccumulation in fish populations’, </w:t>
      </w:r>
      <w:r w:rsidRPr="00DC28FF">
        <w:rPr>
          <w:i/>
          <w:iCs/>
          <w:lang w:val="en-US"/>
        </w:rPr>
        <w:t>Science of the Total Environment</w:t>
      </w:r>
      <w:r w:rsidRPr="00DC28FF">
        <w:rPr>
          <w:lang w:val="en-US"/>
        </w:rPr>
        <w:t xml:space="preserve">, 674, pp. 472–481. </w:t>
      </w:r>
      <w:r>
        <w:t>Available at: https://doi.org/10.1016/j.scitotenv.2019.04.196.</w:t>
      </w:r>
    </w:p>
    <w:p w14:paraId="2DC594E7" w14:textId="77777777" w:rsidR="00DC28FF" w:rsidRDefault="00DC28FF" w:rsidP="00DC28FF">
      <w:pPr>
        <w:pStyle w:val="Bibliographie"/>
      </w:pPr>
      <w:r>
        <w:t xml:space="preserve">Matthies, M. </w:t>
      </w:r>
      <w:r>
        <w:rPr>
          <w:i/>
          <w:iCs/>
        </w:rPr>
        <w:t>et al.</w:t>
      </w:r>
      <w:r>
        <w:t xml:space="preserve"> </w:t>
      </w:r>
      <w:r w:rsidRPr="00DC28FF">
        <w:rPr>
          <w:lang w:val="en-US"/>
        </w:rPr>
        <w:t xml:space="preserve">(2016) ‘The origin and evolution of assessment criteria for persistent, bioaccumulative and toxic (PBT) chemicals and persistent organic pollutants (POPs)’, </w:t>
      </w:r>
      <w:r w:rsidRPr="00DC28FF">
        <w:rPr>
          <w:i/>
          <w:iCs/>
          <w:lang w:val="en-US"/>
        </w:rPr>
        <w:t>Environmental Science: Processes &amp; Impacts</w:t>
      </w:r>
      <w:r w:rsidRPr="00DC28FF">
        <w:rPr>
          <w:lang w:val="en-US"/>
        </w:rPr>
        <w:t xml:space="preserve">, 18(9), pp. 1114–1128. </w:t>
      </w:r>
      <w:r>
        <w:t>Available at: https://doi.org/10.1039/C6EM00311G.</w:t>
      </w:r>
    </w:p>
    <w:p w14:paraId="0FEE27E7" w14:textId="77777777" w:rsidR="00DC28FF" w:rsidRDefault="00DC28FF" w:rsidP="00DC28FF">
      <w:pPr>
        <w:pStyle w:val="Bibliographie"/>
      </w:pPr>
      <w:r>
        <w:t xml:space="preserve">Mounier, F. </w:t>
      </w:r>
      <w:r>
        <w:rPr>
          <w:i/>
          <w:iCs/>
        </w:rPr>
        <w:t>et al.</w:t>
      </w:r>
      <w:r>
        <w:t xml:space="preserve"> </w:t>
      </w:r>
      <w:r w:rsidRPr="00DC28FF">
        <w:rPr>
          <w:lang w:val="en-US"/>
        </w:rPr>
        <w:t xml:space="preserve">(2020) ‘Dietary bioaccumulation of persistent organic pollutants in the common sole </w:t>
      </w:r>
      <w:r w:rsidRPr="00DC28FF">
        <w:rPr>
          <w:i/>
          <w:iCs/>
          <w:lang w:val="en-US"/>
        </w:rPr>
        <w:t>Solea solea</w:t>
      </w:r>
      <w:r w:rsidRPr="00DC28FF">
        <w:rPr>
          <w:lang w:val="en-US"/>
        </w:rPr>
        <w:t xml:space="preserve"> in the context of global change. Part 2: Sensitivity of juvenile growth and contamination to toxicokinetic parameters uncertainty and environmental conditions variability in estuaries’, </w:t>
      </w:r>
      <w:r w:rsidRPr="00DC28FF">
        <w:rPr>
          <w:i/>
          <w:iCs/>
          <w:lang w:val="en-US"/>
        </w:rPr>
        <w:t>Ecological Modelling</w:t>
      </w:r>
      <w:r w:rsidRPr="00DC28FF">
        <w:rPr>
          <w:lang w:val="en-US"/>
        </w:rPr>
        <w:t xml:space="preserve">, 431, p. 109196. </w:t>
      </w:r>
      <w:r>
        <w:t>Available at: https://doi.org/10.1016/j.ecolmodel.2020.109196.</w:t>
      </w:r>
    </w:p>
    <w:p w14:paraId="3E7D956C" w14:textId="77777777" w:rsidR="00DC28FF" w:rsidRDefault="00DC28FF" w:rsidP="00DC28FF">
      <w:pPr>
        <w:pStyle w:val="Bibliographie"/>
      </w:pPr>
      <w:r>
        <w:lastRenderedPageBreak/>
        <w:t xml:space="preserve">Munoz, G. </w:t>
      </w:r>
      <w:r>
        <w:rPr>
          <w:i/>
          <w:iCs/>
        </w:rPr>
        <w:t>et al.</w:t>
      </w:r>
      <w:r>
        <w:t xml:space="preserve"> </w:t>
      </w:r>
      <w:r w:rsidRPr="00DC28FF">
        <w:rPr>
          <w:lang w:val="en-US"/>
        </w:rPr>
        <w:t xml:space="preserve">(2017) ‘Evidence for the Trophic Transfer of Perfluoroalkylated Substances in a Temperate Macrotidal Estuary’, </w:t>
      </w:r>
      <w:r w:rsidRPr="00DC28FF">
        <w:rPr>
          <w:i/>
          <w:iCs/>
          <w:lang w:val="en-US"/>
        </w:rPr>
        <w:t>Environmental Science and Technology</w:t>
      </w:r>
      <w:r w:rsidRPr="00DC28FF">
        <w:rPr>
          <w:lang w:val="en-US"/>
        </w:rPr>
        <w:t xml:space="preserve">, 51(15), pp. 8450–8459. </w:t>
      </w:r>
      <w:r>
        <w:t>Available at: https://doi.org/10.1021/acs.est.7b02399.</w:t>
      </w:r>
    </w:p>
    <w:p w14:paraId="72DA152A" w14:textId="77777777" w:rsidR="00DC28FF" w:rsidRDefault="00DC28FF" w:rsidP="00DC28FF">
      <w:pPr>
        <w:pStyle w:val="Bibliographie"/>
      </w:pPr>
      <w:r>
        <w:t xml:space="preserve">Munoz, G. </w:t>
      </w:r>
      <w:r>
        <w:rPr>
          <w:i/>
          <w:iCs/>
        </w:rPr>
        <w:t>et al.</w:t>
      </w:r>
      <w:r>
        <w:t xml:space="preserve"> </w:t>
      </w:r>
      <w:r w:rsidRPr="00DC28FF">
        <w:rPr>
          <w:lang w:val="en-US"/>
        </w:rPr>
        <w:t xml:space="preserve">(2018) ‘Spatio-temporal dynamics of per and polyfluoroalkyl substances (PFASs) and transfer to periphytic biofilm in an urban river: case-study on the River Seine’, </w:t>
      </w:r>
      <w:r w:rsidRPr="00DC28FF">
        <w:rPr>
          <w:i/>
          <w:iCs/>
          <w:lang w:val="en-US"/>
        </w:rPr>
        <w:t>Environmental Science and Pollution Research</w:t>
      </w:r>
      <w:r w:rsidRPr="00DC28FF">
        <w:rPr>
          <w:lang w:val="en-US"/>
        </w:rPr>
        <w:t xml:space="preserve">, 25(24), pp. 23574–23582. </w:t>
      </w:r>
      <w:r>
        <w:t>Available at: https://doi.org/10.1007/s11356-016-8051-9.</w:t>
      </w:r>
    </w:p>
    <w:p w14:paraId="336AF0A8" w14:textId="77777777" w:rsidR="00DC28FF" w:rsidRPr="00DC28FF" w:rsidRDefault="00DC28FF" w:rsidP="00DC28FF">
      <w:pPr>
        <w:pStyle w:val="Bibliographie"/>
        <w:rPr>
          <w:lang w:val="en-US"/>
        </w:rPr>
      </w:pPr>
      <w:r>
        <w:t xml:space="preserve">Munschy, C. </w:t>
      </w:r>
      <w:r>
        <w:rPr>
          <w:i/>
          <w:iCs/>
        </w:rPr>
        <w:t>et al.</w:t>
      </w:r>
      <w:r>
        <w:t xml:space="preserve"> </w:t>
      </w:r>
      <w:r w:rsidRPr="00DC28FF">
        <w:rPr>
          <w:lang w:val="en-US"/>
        </w:rPr>
        <w:t xml:space="preserve">(2013) ‘Levels and trends of the emerging contaminants HBCDs (hexabromocyclododecanes) and PFCs (perfluorinated compounds) in marine shellfish along French coasts’, </w:t>
      </w:r>
      <w:r w:rsidRPr="00DC28FF">
        <w:rPr>
          <w:i/>
          <w:iCs/>
          <w:lang w:val="en-US"/>
        </w:rPr>
        <w:t>Chemosphere</w:t>
      </w:r>
      <w:r w:rsidRPr="00DC28FF">
        <w:rPr>
          <w:lang w:val="en-US"/>
        </w:rPr>
        <w:t>, 91(2), pp. 233–240. Available at: https://doi.org/10.1016/j.chemosphere.2012.12.063.</w:t>
      </w:r>
    </w:p>
    <w:p w14:paraId="289F3560" w14:textId="77777777" w:rsidR="00DC28FF" w:rsidRPr="00DC28FF" w:rsidRDefault="00DC28FF" w:rsidP="00DC28FF">
      <w:pPr>
        <w:pStyle w:val="Bibliographie"/>
        <w:rPr>
          <w:lang w:val="en-US"/>
        </w:rPr>
      </w:pPr>
      <w:r w:rsidRPr="00DC28FF">
        <w:rPr>
          <w:lang w:val="en-US"/>
        </w:rPr>
        <w:t xml:space="preserve">Ng, C.A. and Hungerbuhler, K. (2014) ‘Bioaccumulation of Per fl uorinated Alkyl Acids : Observations and Models’, </w:t>
      </w:r>
      <w:r w:rsidRPr="00DC28FF">
        <w:rPr>
          <w:i/>
          <w:iCs/>
          <w:lang w:val="en-US"/>
        </w:rPr>
        <w:t>Environmental science &amp; technology</w:t>
      </w:r>
      <w:r w:rsidRPr="00DC28FF">
        <w:rPr>
          <w:lang w:val="en-US"/>
        </w:rPr>
        <w:t>, 48, pp. 4637–4648. Available at: https://doi.org/10.1021/es404008g.</w:t>
      </w:r>
    </w:p>
    <w:p w14:paraId="7ECF5D44" w14:textId="77777777" w:rsidR="00DC28FF" w:rsidRPr="00DC28FF" w:rsidRDefault="00DC28FF" w:rsidP="00DC28FF">
      <w:pPr>
        <w:pStyle w:val="Bibliographie"/>
        <w:rPr>
          <w:lang w:val="en-US"/>
        </w:rPr>
      </w:pPr>
      <w:r w:rsidRPr="00DC28FF">
        <w:rPr>
          <w:lang w:val="en-US"/>
        </w:rPr>
        <w:t xml:space="preserve">Oh, C.-W., Hartnoll, R.G. and Nash, R.D.M. (2001) ‘Feeding ecology of the common shrimp Crangon crangon in Port Erin Bay, Isle of Man, Irish Sea’, </w:t>
      </w:r>
      <w:r w:rsidRPr="00DC28FF">
        <w:rPr>
          <w:i/>
          <w:iCs/>
          <w:lang w:val="en-US"/>
        </w:rPr>
        <w:t>Marine Ecology Progress Series</w:t>
      </w:r>
      <w:r w:rsidRPr="00DC28FF">
        <w:rPr>
          <w:lang w:val="en-US"/>
        </w:rPr>
        <w:t>, 214, pp. 211–223. Available at: https://doi.org/10.3354/meps214211.</w:t>
      </w:r>
    </w:p>
    <w:p w14:paraId="7439FF26" w14:textId="77777777" w:rsidR="00DC28FF" w:rsidRPr="00DC28FF" w:rsidRDefault="00DC28FF" w:rsidP="00DC28FF">
      <w:pPr>
        <w:pStyle w:val="Bibliographie"/>
        <w:rPr>
          <w:lang w:val="en-US"/>
        </w:rPr>
      </w:pPr>
      <w:r w:rsidRPr="00DC28FF">
        <w:rPr>
          <w:lang w:val="en-US"/>
        </w:rPr>
        <w:t xml:space="preserve">Olisah, C., Adams, J.B. and Rubidge, G. (2021) ‘The state of persistent organic pollutants in South African estuaries: A review of environmental exposure and sources’, </w:t>
      </w:r>
      <w:r w:rsidRPr="00DC28FF">
        <w:rPr>
          <w:i/>
          <w:iCs/>
          <w:lang w:val="en-US"/>
        </w:rPr>
        <w:t>Ecotoxicology and Environmental Safety</w:t>
      </w:r>
      <w:r w:rsidRPr="00DC28FF">
        <w:rPr>
          <w:lang w:val="en-US"/>
        </w:rPr>
        <w:t>, 219, p. 112316. Available at: https://doi.org/10.1016/j.ecoenv.2021.112316.</w:t>
      </w:r>
    </w:p>
    <w:p w14:paraId="6FFE41F9" w14:textId="77777777" w:rsidR="00DC28FF" w:rsidRDefault="00DC28FF" w:rsidP="00DC28FF">
      <w:pPr>
        <w:pStyle w:val="Bibliographie"/>
      </w:pPr>
      <w:r w:rsidRPr="00DC28FF">
        <w:rPr>
          <w:lang w:val="en-US"/>
        </w:rPr>
        <w:t xml:space="preserve">van der Oost, R., Beyer, J. and Vermeulen, N.P.E. (2003) ‘Fish bioaccumulation and biomarkers in environmental risk assessment: A review’, </w:t>
      </w:r>
      <w:r w:rsidRPr="00DC28FF">
        <w:rPr>
          <w:i/>
          <w:iCs/>
          <w:lang w:val="en-US"/>
        </w:rPr>
        <w:t>Environmental Toxicology and Pharmacology</w:t>
      </w:r>
      <w:r w:rsidRPr="00DC28FF">
        <w:rPr>
          <w:lang w:val="en-US"/>
        </w:rPr>
        <w:t xml:space="preserve">, 13(2), pp. 57–149. </w:t>
      </w:r>
      <w:r>
        <w:t>Available at: https://doi.org/10.1016/S1382-6689(02)00126-6.</w:t>
      </w:r>
    </w:p>
    <w:p w14:paraId="0835E053" w14:textId="77777777" w:rsidR="00DC28FF" w:rsidRDefault="00DC28FF" w:rsidP="00DC28FF">
      <w:pPr>
        <w:pStyle w:val="Bibliographie"/>
      </w:pPr>
      <w:r>
        <w:t xml:space="preserve">Pitacco, V. </w:t>
      </w:r>
      <w:r>
        <w:rPr>
          <w:i/>
          <w:iCs/>
        </w:rPr>
        <w:t>et al.</w:t>
      </w:r>
      <w:r>
        <w:t xml:space="preserve"> </w:t>
      </w:r>
      <w:r w:rsidRPr="00DC28FF">
        <w:rPr>
          <w:lang w:val="en-US"/>
        </w:rPr>
        <w:t xml:space="preserve">(2021) ‘Habitat heterogeneity: A confounding factor for the effect of pollutants on macrobenthic community in coastal waters’, </w:t>
      </w:r>
      <w:r w:rsidRPr="00DC28FF">
        <w:rPr>
          <w:i/>
          <w:iCs/>
          <w:lang w:val="en-US"/>
        </w:rPr>
        <w:t>Marine Environmental Research</w:t>
      </w:r>
      <w:r w:rsidRPr="00DC28FF">
        <w:rPr>
          <w:lang w:val="en-US"/>
        </w:rPr>
        <w:t xml:space="preserve">, 172, p. 105499. </w:t>
      </w:r>
      <w:r>
        <w:t>Available at: https://doi.org/10.1016/j.marenvres.2021.105499.</w:t>
      </w:r>
    </w:p>
    <w:p w14:paraId="15EB952A" w14:textId="77777777" w:rsidR="00DC28FF" w:rsidRDefault="00DC28FF" w:rsidP="00DC28FF">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09C62AE7" w14:textId="77777777" w:rsidR="00DC28FF" w:rsidRPr="00DC28FF" w:rsidRDefault="00DC28FF" w:rsidP="00DC28FF">
      <w:pPr>
        <w:pStyle w:val="Bibliographie"/>
        <w:rPr>
          <w:lang w:val="en-US"/>
        </w:rPr>
      </w:pPr>
      <w:r w:rsidRPr="00DC28FF">
        <w:rPr>
          <w:lang w:val="en-US"/>
        </w:rPr>
        <w:t>R core team (2025) ‘R: The R Project for Statistical Computing.’ Available at: https://www.r-project.org/.</w:t>
      </w:r>
    </w:p>
    <w:p w14:paraId="12688DB4" w14:textId="77777777" w:rsidR="00DC28FF" w:rsidRPr="00DC28FF" w:rsidRDefault="00DC28FF" w:rsidP="00DC28FF">
      <w:pPr>
        <w:pStyle w:val="Bibliographie"/>
        <w:rPr>
          <w:lang w:val="en-US"/>
        </w:rPr>
      </w:pPr>
      <w:r w:rsidRPr="00DC28FF">
        <w:rPr>
          <w:lang w:val="en-US"/>
        </w:rPr>
        <w:t xml:space="preserve">Ridgway, J. and Shimmield, G. (2002) ‘Estuaries as Repositories of Historical Contamination and their Impact on Shelf Seas’, </w:t>
      </w:r>
      <w:r w:rsidRPr="00DC28FF">
        <w:rPr>
          <w:i/>
          <w:iCs/>
          <w:lang w:val="en-US"/>
        </w:rPr>
        <w:t>Estuarine, Coastal and Shelf Science</w:t>
      </w:r>
      <w:r w:rsidRPr="00DC28FF">
        <w:rPr>
          <w:lang w:val="en-US"/>
        </w:rPr>
        <w:t>, 55(6), pp. 903–928. Available at: https://doi.org/10.1006/ecss.2002.1035.</w:t>
      </w:r>
    </w:p>
    <w:p w14:paraId="5010E531" w14:textId="77777777" w:rsidR="00DC28FF" w:rsidRPr="00DC28FF" w:rsidRDefault="00DC28FF" w:rsidP="00DC28FF">
      <w:pPr>
        <w:pStyle w:val="Bibliographie"/>
        <w:rPr>
          <w:lang w:val="en-US"/>
        </w:rPr>
      </w:pPr>
      <w:r w:rsidRPr="00DC28FF">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3335687C" w14:textId="77777777" w:rsidR="00DC28FF" w:rsidRDefault="00DC28FF" w:rsidP="00DC28FF">
      <w:pPr>
        <w:pStyle w:val="Bibliographie"/>
      </w:pPr>
      <w:r w:rsidRPr="00DC28FF">
        <w:rPr>
          <w:lang w:val="en-US"/>
        </w:rPr>
        <w:t xml:space="preserve">Rochette, S. </w:t>
      </w:r>
      <w:r w:rsidRPr="00DC28FF">
        <w:rPr>
          <w:i/>
          <w:iCs/>
          <w:lang w:val="en-US"/>
        </w:rPr>
        <w:t>et al.</w:t>
      </w:r>
      <w:r w:rsidRPr="00DC28FF">
        <w:rPr>
          <w:lang w:val="en-US"/>
        </w:rPr>
        <w:t xml:space="preserve"> (2010) ‘Effect of nursery habitat degradation on flatfish population: Application to Solea solea in the Eastern Channel (Western Europe)’, </w:t>
      </w:r>
      <w:r w:rsidRPr="00DC28FF">
        <w:rPr>
          <w:i/>
          <w:iCs/>
          <w:lang w:val="en-US"/>
        </w:rPr>
        <w:t>Journal of Sea Research</w:t>
      </w:r>
      <w:r w:rsidRPr="00DC28FF">
        <w:rPr>
          <w:lang w:val="en-US"/>
        </w:rPr>
        <w:t xml:space="preserve">, 64(1–2), pp. 34–44. </w:t>
      </w:r>
      <w:r>
        <w:t>Available at: https://doi.org/10.1016/j.seares.2009.08.003.</w:t>
      </w:r>
    </w:p>
    <w:p w14:paraId="22F6352A" w14:textId="77777777" w:rsidR="00DC28FF" w:rsidRDefault="00DC28FF" w:rsidP="00DC28FF">
      <w:pPr>
        <w:pStyle w:val="Bibliographie"/>
      </w:pPr>
      <w:r>
        <w:lastRenderedPageBreak/>
        <w:t xml:space="preserve">Ruan, Y. </w:t>
      </w:r>
      <w:r>
        <w:rPr>
          <w:i/>
          <w:iCs/>
        </w:rPr>
        <w:t>et al.</w:t>
      </w:r>
      <w:r>
        <w:t xml:space="preserve"> </w:t>
      </w:r>
      <w:r w:rsidRPr="00DC28FF">
        <w:rPr>
          <w:lang w:val="en-US"/>
        </w:rPr>
        <w:t xml:space="preserve">(2018) ‘Stereoisomer-Specific Trophodynamics of the Chiral Brominated Flame Retardants HBCD and TBECH in a Marine Food Web, with Implications for Human Exposure’, </w:t>
      </w:r>
      <w:r w:rsidRPr="00DC28FF">
        <w:rPr>
          <w:i/>
          <w:iCs/>
          <w:lang w:val="en-US"/>
        </w:rPr>
        <w:t>Environmental Science &amp; Technology</w:t>
      </w:r>
      <w:r w:rsidRPr="00DC28FF">
        <w:rPr>
          <w:lang w:val="en-US"/>
        </w:rPr>
        <w:t xml:space="preserve">, 52(15), pp. 8183–8193. </w:t>
      </w:r>
      <w:r>
        <w:t>Available at: https://doi.org/10.1021/acs.est.8b02206.</w:t>
      </w:r>
    </w:p>
    <w:p w14:paraId="5A62571C" w14:textId="77777777" w:rsidR="00DC28FF" w:rsidRDefault="00DC28FF" w:rsidP="00DC28FF">
      <w:pPr>
        <w:pStyle w:val="Bibliographie"/>
      </w:pPr>
      <w:r>
        <w:t xml:space="preserve">Schäfer, S. </w:t>
      </w:r>
      <w:r>
        <w:rPr>
          <w:i/>
          <w:iCs/>
        </w:rPr>
        <w:t>et al.</w:t>
      </w:r>
      <w:r>
        <w:t xml:space="preserve"> </w:t>
      </w:r>
      <w:r w:rsidRPr="00DC28FF">
        <w:rPr>
          <w:lang w:val="en-US"/>
        </w:rPr>
        <w:t xml:space="preserve">(2015) ‘Bioaccumulation in aquatic systems: methodological approaches, monitoring and assessment’, </w:t>
      </w:r>
      <w:r w:rsidRPr="00DC28FF">
        <w:rPr>
          <w:i/>
          <w:iCs/>
          <w:lang w:val="en-US"/>
        </w:rPr>
        <w:t>Environmental Sciences Europe</w:t>
      </w:r>
      <w:r w:rsidRPr="00DC28FF">
        <w:rPr>
          <w:lang w:val="en-US"/>
        </w:rPr>
        <w:t xml:space="preserve">, 27(1), p. 5. </w:t>
      </w:r>
      <w:r>
        <w:t>Available at: https://doi.org/10.1186/s12302-014-0036-z.</w:t>
      </w:r>
    </w:p>
    <w:p w14:paraId="09B4B89F" w14:textId="77777777" w:rsidR="00DC28FF" w:rsidRPr="00DC28FF" w:rsidRDefault="00DC28FF" w:rsidP="00DC28FF">
      <w:pPr>
        <w:pStyle w:val="Bibliographie"/>
        <w:rPr>
          <w:lang w:val="en-US"/>
        </w:rPr>
      </w:pPr>
      <w:r>
        <w:t xml:space="preserve">Schnitzler, J.G. </w:t>
      </w:r>
      <w:r>
        <w:rPr>
          <w:i/>
          <w:iCs/>
        </w:rPr>
        <w:t>et al.</w:t>
      </w:r>
      <w:r>
        <w:t xml:space="preserve"> </w:t>
      </w:r>
      <w:r w:rsidRPr="00DC28FF">
        <w:rPr>
          <w:lang w:val="en-US"/>
        </w:rPr>
        <w:t xml:space="preserve">(2011) ‘Organochlorine pesticides, polychlorinated biphenyls and trace elements in wild European sea bass (Dicentrarchus labrax) off European estuaries’, </w:t>
      </w:r>
      <w:r w:rsidRPr="00DC28FF">
        <w:rPr>
          <w:i/>
          <w:iCs/>
          <w:lang w:val="en-US"/>
        </w:rPr>
        <w:t>Science of the Total Environment</w:t>
      </w:r>
      <w:r w:rsidRPr="00DC28FF">
        <w:rPr>
          <w:lang w:val="en-US"/>
        </w:rPr>
        <w:t>, 409(19), pp. 3680–3686. Available at: https://doi.org/10.1016/j.scitotenv.2011.06.018.</w:t>
      </w:r>
    </w:p>
    <w:p w14:paraId="751B715E" w14:textId="77777777" w:rsidR="00DC28FF" w:rsidRDefault="00DC28FF" w:rsidP="00DC28FF">
      <w:pPr>
        <w:pStyle w:val="Bibliographie"/>
      </w:pPr>
      <w:r w:rsidRPr="00DC28FF">
        <w:rPr>
          <w:lang w:val="en-US"/>
        </w:rPr>
        <w:t xml:space="preserve">Vaida, F. and Liu, L. (2009) ‘Fast Implementation for Normal Mixed Effects Models With Censored Response’, </w:t>
      </w:r>
      <w:r w:rsidRPr="00DC28FF">
        <w:rPr>
          <w:i/>
          <w:iCs/>
          <w:lang w:val="en-US"/>
        </w:rPr>
        <w:t>Journal of computational and graphical statistics : a joint publication of American Statistical Association, Institute of Mathematical Statistics, Interface Foundation of North America</w:t>
      </w:r>
      <w:r w:rsidRPr="00DC28FF">
        <w:rPr>
          <w:lang w:val="en-US"/>
        </w:rPr>
        <w:t xml:space="preserve">, 18(4), pp. 797–817. </w:t>
      </w:r>
      <w:r>
        <w:t>Available at: https://doi.org/10.1198/jcgs.2009.07130.</w:t>
      </w:r>
    </w:p>
    <w:p w14:paraId="38D91989" w14:textId="77777777" w:rsidR="00DC28FF" w:rsidRDefault="00DC28FF" w:rsidP="00DC28FF">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7BB5764E" w14:textId="77777777" w:rsidR="00DC28FF" w:rsidRDefault="00DC28FF" w:rsidP="00DC28FF">
      <w:pPr>
        <w:pStyle w:val="Bibliographie"/>
      </w:pPr>
      <w:r>
        <w:t xml:space="preserve">Van Ael, E. </w:t>
      </w:r>
      <w:r>
        <w:rPr>
          <w:i/>
          <w:iCs/>
        </w:rPr>
        <w:t>et al.</w:t>
      </w:r>
      <w:r>
        <w:t xml:space="preserve"> </w:t>
      </w:r>
      <w:r w:rsidRPr="00DC28FF">
        <w:rPr>
          <w:lang w:val="en-US"/>
        </w:rPr>
        <w:t xml:space="preserve">(2013) ‘Factors Influencing the Bioaccumulation of Persistent Organic Pollutants in Food Webs of the Scheldt Estuary’, </w:t>
      </w:r>
      <w:r w:rsidRPr="00DC28FF">
        <w:rPr>
          <w:i/>
          <w:iCs/>
          <w:lang w:val="en-US"/>
        </w:rPr>
        <w:t>Environmental Science &amp; Technology</w:t>
      </w:r>
      <w:r w:rsidRPr="00DC28FF">
        <w:rPr>
          <w:lang w:val="en-US"/>
        </w:rPr>
        <w:t xml:space="preserve">, 47(19), pp. 11221–11231. </w:t>
      </w:r>
      <w:r>
        <w:t>Available at: https://doi.org/10.1021/es400307s.</w:t>
      </w:r>
    </w:p>
    <w:p w14:paraId="7B8890DC" w14:textId="77777777" w:rsidR="00DC28FF" w:rsidRDefault="00DC28FF" w:rsidP="00DC28FF">
      <w:pPr>
        <w:pStyle w:val="Bibliographie"/>
      </w:pPr>
      <w:r>
        <w:t xml:space="preserve">Verhaert, V. </w:t>
      </w:r>
      <w:r>
        <w:rPr>
          <w:i/>
          <w:iCs/>
        </w:rPr>
        <w:t>et al.</w:t>
      </w:r>
      <w:r>
        <w:t xml:space="preserve"> </w:t>
      </w:r>
      <w:r w:rsidRPr="00DC28FF">
        <w:rPr>
          <w:lang w:val="en-US"/>
        </w:rPr>
        <w:t xml:space="preserve">(2017) ‘Persistent organic pollutants in the Olifants River Basin, South Africa: Bioaccumulation and trophic transfer through a subtropical aquatic food web’, </w:t>
      </w:r>
      <w:r w:rsidRPr="00DC28FF">
        <w:rPr>
          <w:i/>
          <w:iCs/>
          <w:lang w:val="en-US"/>
        </w:rPr>
        <w:t>Science of the Total Environment</w:t>
      </w:r>
      <w:r w:rsidRPr="00DC28FF">
        <w:rPr>
          <w:lang w:val="en-US"/>
        </w:rPr>
        <w:t xml:space="preserve">, 586, pp. 792–806. </w:t>
      </w:r>
      <w:r>
        <w:t>Available at: https://doi.org/10.1016/j.scitotenv.2017.02.057.</w:t>
      </w:r>
    </w:p>
    <w:p w14:paraId="412A31F2" w14:textId="77777777" w:rsidR="00DC28FF" w:rsidRDefault="00DC28FF" w:rsidP="00DC28FF">
      <w:pPr>
        <w:pStyle w:val="Bibliographie"/>
      </w:pPr>
      <w:r>
        <w:t xml:space="preserve">Voorspoels, S. </w:t>
      </w:r>
      <w:r>
        <w:rPr>
          <w:i/>
          <w:iCs/>
        </w:rPr>
        <w:t>et al.</w:t>
      </w:r>
      <w:r>
        <w:t xml:space="preserve"> </w:t>
      </w:r>
      <w:r w:rsidRPr="00DC28FF">
        <w:rPr>
          <w:lang w:val="en-US"/>
        </w:rPr>
        <w:t xml:space="preserve">(2004) ‘Levels and profiles of PCBs and OCPs in marine benthic species from the Belgian North Sea and the Western Scheldt Estuary’, </w:t>
      </w:r>
      <w:r w:rsidRPr="00DC28FF">
        <w:rPr>
          <w:i/>
          <w:iCs/>
          <w:lang w:val="en-US"/>
        </w:rPr>
        <w:t>Marine Pollution Bulletin</w:t>
      </w:r>
      <w:r w:rsidRPr="00DC28FF">
        <w:rPr>
          <w:lang w:val="en-US"/>
        </w:rPr>
        <w:t xml:space="preserve">, 49(5), pp. 393–404. </w:t>
      </w:r>
      <w:r>
        <w:t>Available at: https://doi.org/10.1016/j.marpolbul.2004.02.024.</w:t>
      </w:r>
    </w:p>
    <w:p w14:paraId="5943BEE3" w14:textId="25BF3E3C"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A13EB80" w14:textId="5BD6B9E6" w:rsidR="00B74274" w:rsidRPr="00F92A4A" w:rsidRDefault="00B74274" w:rsidP="00381ECF">
      <w:pPr>
        <w:pStyle w:val="Titre2"/>
        <w:numPr>
          <w:ilvl w:val="0"/>
          <w:numId w:val="2"/>
        </w:numPr>
        <w:rPr>
          <w:sz w:val="32"/>
          <w:szCs w:val="36"/>
        </w:rPr>
      </w:pPr>
      <w:bookmarkStart w:id="64" w:name="_Toc199498326"/>
      <w:proofErr w:type="spellStart"/>
      <w:r w:rsidRPr="00F92A4A">
        <w:rPr>
          <w:sz w:val="32"/>
          <w:szCs w:val="36"/>
        </w:rPr>
        <w:t>TMFs</w:t>
      </w:r>
      <w:bookmarkEnd w:id="64"/>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w:t>
      </w:r>
      <w:r w:rsidRPr="00F92A4A">
        <w:rPr>
          <w:rFonts w:ascii="Calibri Light" w:eastAsia="Calibri" w:hAnsi="Calibri Light" w:cs="Calibri Light"/>
          <w:sz w:val="24"/>
          <w:szCs w:val="24"/>
        </w:rPr>
        <w:lastRenderedPageBreak/>
        <w:t>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5"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5"/>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w:t>
      </w:r>
      <w:r w:rsidRPr="00F92A4A">
        <w:rPr>
          <w:sz w:val="24"/>
          <w:szCs w:val="24"/>
        </w:rPr>
        <w:lastRenderedPageBreak/>
        <w:t xml:space="preserve">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519DFB5A"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lorence Mounier" w:date="2025-06-16T09:31:00Z" w:initials="FM">
    <w:p w14:paraId="65DA76B1" w14:textId="6511FA16" w:rsidR="007B3B74" w:rsidRDefault="007B3B74">
      <w:pPr>
        <w:pStyle w:val="Commentaire"/>
      </w:pPr>
      <w:r>
        <w:rPr>
          <w:rStyle w:val="Marquedecommentaire"/>
        </w:rPr>
        <w:annotationRef/>
      </w:r>
      <w:r>
        <w:t>A compléter par Pierre</w:t>
      </w:r>
    </w:p>
  </w:comment>
  <w:comment w:id="55" w:author="Florence Mounier [2]" w:date="2025-02-18T12:05:00Z" w:initials="FM">
    <w:p w14:paraId="2783F2B2" w14:textId="51CB9103" w:rsidR="00BF4C1C" w:rsidRDefault="00BF4C1C" w:rsidP="00BF4C1C">
      <w:pPr>
        <w:pStyle w:val="Commentaire"/>
        <w:ind w:firstLine="0"/>
        <w:jc w:val="left"/>
      </w:pPr>
      <w:r>
        <w:rPr>
          <w:rStyle w:val="Marquedecommentaire"/>
        </w:rPr>
        <w:annotationRef/>
      </w:r>
      <w:r>
        <w:t xml:space="preserve">Aussi dans </w:t>
      </w:r>
      <w:proofErr w:type="spellStart"/>
      <w:r>
        <w:t>Lauzent</w:t>
      </w:r>
      <w:proofErr w:type="spellEnd"/>
      <w: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A76B1" w15:done="0"/>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6308" w16cex:dateUtc="2025-06-16T07:31:00Z"/>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A76B1" w16cid:durableId="2BFA6308"/>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F2AF9" w14:textId="77777777" w:rsidR="00381ECF" w:rsidRDefault="00381ECF" w:rsidP="004F71CF">
      <w:pPr>
        <w:spacing w:after="0" w:line="240" w:lineRule="auto"/>
      </w:pPr>
      <w:r>
        <w:separator/>
      </w:r>
    </w:p>
  </w:endnote>
  <w:endnote w:type="continuationSeparator" w:id="0">
    <w:p w14:paraId="32815645" w14:textId="77777777" w:rsidR="00381ECF" w:rsidRDefault="00381ECF"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527E2" w14:textId="77777777" w:rsidR="00381ECF" w:rsidRDefault="00381ECF" w:rsidP="004F71CF">
      <w:pPr>
        <w:spacing w:after="0" w:line="240" w:lineRule="auto"/>
      </w:pPr>
      <w:r>
        <w:separator/>
      </w:r>
    </w:p>
  </w:footnote>
  <w:footnote w:type="continuationSeparator" w:id="0">
    <w:p w14:paraId="114C6251" w14:textId="77777777" w:rsidR="00381ECF" w:rsidRDefault="00381ECF"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0"/>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rson w15:author="Florence Mounier [2]">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B6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BCB"/>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ECF"/>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A9C"/>
    <w:rsid w:val="00434D7D"/>
    <w:rsid w:val="00435599"/>
    <w:rsid w:val="00437037"/>
    <w:rsid w:val="0044185E"/>
    <w:rsid w:val="004418A5"/>
    <w:rsid w:val="00443B00"/>
    <w:rsid w:val="00446BFC"/>
    <w:rsid w:val="00447025"/>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2E0E"/>
    <w:rsid w:val="005534FC"/>
    <w:rsid w:val="00553DCA"/>
    <w:rsid w:val="00554466"/>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B74"/>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242"/>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4BA6"/>
    <w:rsid w:val="00A85360"/>
    <w:rsid w:val="00A941BB"/>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958A2"/>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A030B"/>
    <w:rsid w:val="00DA1DAA"/>
    <w:rsid w:val="00DA43F3"/>
    <w:rsid w:val="00DA488B"/>
    <w:rsid w:val="00DA4A54"/>
    <w:rsid w:val="00DA4FA3"/>
    <w:rsid w:val="00DA77C2"/>
    <w:rsid w:val="00DA783A"/>
    <w:rsid w:val="00DB2861"/>
    <w:rsid w:val="00DB4E69"/>
    <w:rsid w:val="00DB5D45"/>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3168"/>
    <w:rsid w:val="00E25804"/>
    <w:rsid w:val="00E30637"/>
    <w:rsid w:val="00E31645"/>
    <w:rsid w:val="00E3169C"/>
    <w:rsid w:val="00E34838"/>
    <w:rsid w:val="00E34D0C"/>
    <w:rsid w:val="00E37600"/>
    <w:rsid w:val="00E41F81"/>
    <w:rsid w:val="00E4313B"/>
    <w:rsid w:val="00E47674"/>
    <w:rsid w:val="00E50086"/>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0E50"/>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468"/>
    <w:rsid w:val="00FB7C06"/>
    <w:rsid w:val="00FC0459"/>
    <w:rsid w:val="00FC19C7"/>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1"/>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7533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C683D"/>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80088</TotalTime>
  <Pages>38</Pages>
  <Words>79151</Words>
  <Characters>435332</Characters>
  <Application>Microsoft Office Word</Application>
  <DocSecurity>0</DocSecurity>
  <Lines>3627</Lines>
  <Paragraphs>1026</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163</cp:revision>
  <dcterms:created xsi:type="dcterms:W3CDTF">2020-10-07T13:02:00Z</dcterms:created>
  <dcterms:modified xsi:type="dcterms:W3CDTF">2025-06-16T09:06:00Z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