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0D31" w14:textId="4C52E59C" w:rsidR="0029109C" w:rsidRDefault="001665FD" w:rsidP="002839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Conflicting grapheme-phoneme mappings lead to</w:t>
      </w:r>
      <w:r w:rsidR="003762C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production of </w:t>
      </w:r>
      <w:r w:rsidR="00F063B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="00051091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L1/L2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sounds by immersed bilinguals</w:t>
      </w:r>
    </w:p>
    <w:p w14:paraId="233F5DBA" w14:textId="77777777" w:rsidR="00550A0D" w:rsidRPr="00283955" w:rsidRDefault="00550A0D" w:rsidP="002839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BF8C6B" w14:textId="0DE16134" w:rsidR="009B12AE" w:rsidRPr="001A59D3" w:rsidRDefault="002B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Adults living in a country where their second language (L2) is spoken are surrounded by aural and visual information in their L2. Interactions between the phonetic systems of a bilingual´s first language (L1) and L2 are well researched </w:t>
      </w:r>
      <w:r w:rsidR="009A7C2E" w:rsidRPr="001A59D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but the influence of grapheme-phoneme mappings 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>(GPM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on speech production across languages is not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well studied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49A" w:rsidRPr="001A59D3">
        <w:rPr>
          <w:rFonts w:ascii="Times New Roman" w:hAnsi="Times New Roman" w:cs="Times New Roman"/>
          <w:sz w:val="24"/>
          <w:szCs w:val="24"/>
          <w:lang w:val="en-US"/>
        </w:rPr>
        <w:t>outside the language classroom</w:t>
      </w:r>
      <w:r w:rsidR="00F53A3D">
        <w:rPr>
          <w:rFonts w:ascii="Times New Roman" w:hAnsi="Times New Roman" w:cs="Times New Roman"/>
          <w:sz w:val="24"/>
          <w:szCs w:val="24"/>
          <w:lang w:val="en-US"/>
        </w:rPr>
        <w:t>. There are however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indications that inconsistencies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GPMs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across languages impact L2 production for learners in immersion [2]. </w:t>
      </w:r>
    </w:p>
    <w:p w14:paraId="4B9BC185" w14:textId="784C9043" w:rsidR="0029109C" w:rsidRPr="001A59D3" w:rsidRDefault="008A1C45" w:rsidP="00B536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native French speakers immersed in Spain for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4 to 29 years (mean=12 years) 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produced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Spanish words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containing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/b/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D57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initial position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Spanish,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is associated with the graphemes &lt;b&gt; and &lt;v&gt;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. These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graphemes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are associated with the sounds /b/ and /v/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in French, 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respectively.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Words were controlled across graphemes for number of syllables, following vowel, and frequency. They were produced during picture naming and reading tasks, to determine whether a</w:t>
      </w:r>
      <w:r w:rsidR="00121F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 effect of orthography on production was dependent on the visual form of the word being activated.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bilingual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>participants had learned Spanish after the age of 12 and had moved to Spain as adults, where they use</w:t>
      </w:r>
      <w:r w:rsidR="00B041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 Spanish 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>professionally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control Spanish speakers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with no knowledge of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were tested on the same tasks.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F85B01" w14:textId="1A2FA473" w:rsidR="009B12AE" w:rsidRPr="001A59D3" w:rsidRDefault="002A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We expected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when Spanish /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b/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is written as &lt;v&gt;, 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>bilingual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would be influenced by th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fricative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/v/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in production</w:t>
      </w:r>
      <w:r w:rsidR="00B536E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okens</w:t>
      </w:r>
      <w:r w:rsidR="00BD62D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were analyzed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>using the plosion index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[3], an automatic measurement 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517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energy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of a plosive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burst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in relation to the closure phase of the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plosive.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9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ilinguals produced</w:t>
      </w:r>
      <w:r w:rsidR="00841907">
        <w:rPr>
          <w:rFonts w:ascii="Times New Roman" w:hAnsi="Times New Roman" w:cs="Times New Roman"/>
          <w:sz w:val="24"/>
          <w:szCs w:val="24"/>
          <w:lang w:val="en-US"/>
        </w:rPr>
        <w:t xml:space="preserve"> Spanish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/b/ less energetically in the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/b/-&lt;v&gt; condition tha</w:t>
      </w:r>
      <w:r w:rsidR="00D051B2" w:rsidRPr="001A59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>the /b/-&lt;b&gt; condition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D6D" w:rsidRPr="000E3D6D">
        <w:rPr>
          <w:rFonts w:ascii="Times New Roman" w:hAnsi="Times New Roman" w:cs="Times New Roman"/>
          <w:sz w:val="24"/>
          <w:szCs w:val="24"/>
          <w:lang w:val="en-US"/>
        </w:rPr>
        <w:t>(β=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>-0.14</w:t>
      </w:r>
      <w:r w:rsidR="000E3D6D" w:rsidRPr="000E3D6D">
        <w:rPr>
          <w:rFonts w:ascii="Times New Roman" w:hAnsi="Times New Roman" w:cs="Times New Roman"/>
          <w:sz w:val="24"/>
          <w:szCs w:val="24"/>
          <w:lang w:val="en-US"/>
        </w:rPr>
        <w:t>, SE=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>0.04</w:t>
      </w:r>
      <w:r w:rsidR="000E3D6D" w:rsidRPr="000E3D6D">
        <w:rPr>
          <w:rFonts w:ascii="Times New Roman" w:hAnsi="Times New Roman" w:cs="Times New Roman"/>
          <w:sz w:val="24"/>
          <w:szCs w:val="24"/>
          <w:lang w:val="en-US"/>
        </w:rPr>
        <w:t>, t=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>-3.80</w:t>
      </w:r>
      <w:r w:rsidR="000E3D6D" w:rsidRPr="000E3D6D">
        <w:rPr>
          <w:rFonts w:ascii="Times New Roman" w:hAnsi="Times New Roman" w:cs="Times New Roman"/>
          <w:sz w:val="24"/>
          <w:szCs w:val="24"/>
          <w:lang w:val="en-US"/>
        </w:rPr>
        <w:t>, p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E3D6D" w:rsidRPr="000E3D6D">
        <w:rPr>
          <w:rFonts w:ascii="Times New Roman" w:hAnsi="Times New Roman" w:cs="Times New Roman"/>
          <w:sz w:val="24"/>
          <w:szCs w:val="24"/>
          <w:lang w:val="en-US"/>
        </w:rPr>
        <w:t>0.00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E3D6D" w:rsidRPr="000E3D6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841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Spanish controls did not differ on their production of /b/-&lt;v&gt; and /b/-&lt;b&gt;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3D6D">
        <w:rPr>
          <w:rFonts w:ascii="Times New Roman" w:hAnsi="Times New Roman" w:cs="Times New Roman"/>
          <w:sz w:val="24"/>
          <w:szCs w:val="24"/>
          <w:lang w:val="en-US"/>
        </w:rPr>
        <w:t>(Figure 1)</w:t>
      </w:r>
      <w:r w:rsidR="000E3D6D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>Bilinguals</w:t>
      </w:r>
      <w:r w:rsidR="00841907">
        <w:rPr>
          <w:rFonts w:ascii="Times New Roman" w:hAnsi="Times New Roman" w:cs="Times New Roman"/>
          <w:sz w:val="24"/>
          <w:szCs w:val="24"/>
          <w:lang w:val="en-US"/>
        </w:rPr>
        <w:t>’ productions were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unimodally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 distribut</w:t>
      </w:r>
      <w:r w:rsidR="0084190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 and showed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a range of realizations sharing features from both [b] and [v]</w:t>
      </w:r>
      <w:r w:rsidR="00A24978" w:rsidRPr="00A24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>/b/-&lt;v&gt;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 condition</w:t>
      </w:r>
      <w:r w:rsidR="00A24978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phenomenon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was equally present in the picture naming and reading tasks, indicating that it is not dependent on the visual form of the word being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activated by the environment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525F74" w14:textId="734C341F" w:rsidR="00E14336" w:rsidRDefault="00D051B2" w:rsidP="00F53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data demonstrate that 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 across languages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have an impact on the L2 production of immersed bilinguals</w:t>
      </w:r>
      <w:r w:rsidR="00497E7E">
        <w:rPr>
          <w:rFonts w:ascii="Times New Roman" w:hAnsi="Times New Roman" w:cs="Times New Roman"/>
          <w:sz w:val="24"/>
          <w:szCs w:val="24"/>
          <w:lang w:val="en-US"/>
        </w:rPr>
        <w:t xml:space="preserve">, leading to the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emergence </w:t>
      </w:r>
      <w:r w:rsidR="00497E7E">
        <w:rPr>
          <w:rFonts w:ascii="Times New Roman" w:hAnsi="Times New Roman" w:cs="Times New Roman"/>
          <w:sz w:val="24"/>
          <w:szCs w:val="24"/>
          <w:lang w:val="en-US"/>
        </w:rPr>
        <w:t>of hybrid sound categories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 existence of these</w:t>
      </w:r>
      <w:r w:rsidR="00A24978">
        <w:rPr>
          <w:rFonts w:ascii="Times New Roman" w:hAnsi="Times New Roman" w:cs="Times New Roman"/>
          <w:sz w:val="24"/>
          <w:szCs w:val="24"/>
          <w:lang w:val="en-US"/>
        </w:rPr>
        <w:t xml:space="preserve"> hybrid categories 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is demonstrated here for the first time for highly proficient bilinguals, and for two sounds produced with different manners of articulation. They had previously been shown to exist between two fricatives [4], or between two vowels [5]. These data also demonstrate 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for the first time that L2 </w:t>
      </w:r>
      <w:r w:rsidR="009D1079">
        <w:rPr>
          <w:rFonts w:ascii="Times New Roman" w:hAnsi="Times New Roman" w:cs="Times New Roman"/>
          <w:sz w:val="24"/>
          <w:szCs w:val="24"/>
          <w:lang w:val="en-US"/>
        </w:rPr>
        <w:t>speakers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FB48C8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 two different phonetic categories for a single L2 sound, when </w:t>
      </w:r>
      <w:r w:rsidR="00B050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 is associated with two different graphemes.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B7CAC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 results point to the need </w:t>
      </w:r>
      <w:r w:rsidR="004867B0">
        <w:rPr>
          <w:rFonts w:ascii="Times New Roman" w:hAnsi="Times New Roman" w:cs="Times New Roman"/>
          <w:sz w:val="24"/>
          <w:szCs w:val="24"/>
          <w:lang w:val="en-US"/>
        </w:rPr>
        <w:t xml:space="preserve">for models of bilingual speech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to account for the integration of </w:t>
      </w:r>
      <w:r w:rsidR="00AD6263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>visual and auditory information in the formation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 L2 phonetic categories</w:t>
      </w:r>
      <w:r w:rsidR="00425F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721A1">
        <w:rPr>
          <w:rFonts w:ascii="Times New Roman" w:hAnsi="Times New Roman" w:cs="Times New Roman"/>
          <w:sz w:val="24"/>
          <w:szCs w:val="24"/>
          <w:lang w:val="en-US"/>
        </w:rPr>
        <w:t xml:space="preserve">Once these hybrid categories are formed, they appear to be </w:t>
      </w:r>
      <w:r w:rsidR="00B0504C">
        <w:rPr>
          <w:rFonts w:ascii="Times New Roman" w:hAnsi="Times New Roman" w:cs="Times New Roman"/>
          <w:sz w:val="24"/>
          <w:szCs w:val="24"/>
          <w:lang w:val="en-US"/>
        </w:rPr>
        <w:t xml:space="preserve">long-lasting, despite daily </w:t>
      </w:r>
      <w:r w:rsidR="00D07ABD">
        <w:rPr>
          <w:rFonts w:ascii="Times New Roman" w:hAnsi="Times New Roman" w:cs="Times New Roman"/>
          <w:sz w:val="24"/>
          <w:szCs w:val="24"/>
          <w:lang w:val="en-US"/>
        </w:rPr>
        <w:t xml:space="preserve">L2 </w:t>
      </w:r>
      <w:r w:rsidR="00B0504C">
        <w:rPr>
          <w:rFonts w:ascii="Times New Roman" w:hAnsi="Times New Roman" w:cs="Times New Roman"/>
          <w:sz w:val="24"/>
          <w:szCs w:val="24"/>
          <w:lang w:val="en-US"/>
        </w:rPr>
        <w:t>auditory input.</w:t>
      </w:r>
    </w:p>
    <w:p w14:paraId="45B8B021" w14:textId="5949BCBA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A0422" w14:textId="52DD8104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81509" w14:textId="2534EF10" w:rsidR="00E14336" w:rsidRPr="00D07ABD" w:rsidRDefault="00E14336" w:rsidP="00C32D4E">
      <w:pPr>
        <w:jc w:val="center"/>
        <w:rPr>
          <w:noProof/>
          <w:lang w:val="en-US"/>
        </w:rPr>
      </w:pPr>
    </w:p>
    <w:p w14:paraId="7AC3F055" w14:textId="52A76F36" w:rsidR="005F4A1D" w:rsidRPr="00D07ABD" w:rsidRDefault="005F4A1D" w:rsidP="00C32D4E">
      <w:pPr>
        <w:jc w:val="center"/>
        <w:rPr>
          <w:noProof/>
          <w:lang w:val="en-US"/>
        </w:rPr>
      </w:pPr>
    </w:p>
    <w:p w14:paraId="7C6256CF" w14:textId="77777777" w:rsidR="005F4A1D" w:rsidRPr="00D07ABD" w:rsidRDefault="005F4A1D" w:rsidP="00C32D4E">
      <w:pPr>
        <w:jc w:val="center"/>
        <w:rPr>
          <w:noProof/>
          <w:lang w:val="en-US"/>
        </w:rPr>
      </w:pPr>
    </w:p>
    <w:p w14:paraId="32876B0A" w14:textId="706B8453" w:rsidR="005F4A1D" w:rsidRDefault="005F4A1D" w:rsidP="00C32D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BDF53" wp14:editId="5F622161">
            <wp:extent cx="5760720" cy="4414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14D5" w14:textId="331C0A31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64C44" w14:textId="742C8672" w:rsidR="009A7C2E" w:rsidRPr="001A59D3" w:rsidRDefault="009A7C2E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0739AE7" w14:textId="77777777" w:rsidR="00891691" w:rsidRPr="001A59D3" w:rsidRDefault="00891691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76842" w14:textId="21FF0A6A" w:rsidR="009A7C2E" w:rsidRPr="00011740" w:rsidRDefault="009A7C2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Flege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J. E. (1995). Second language speech learning: Theory, findings, and problems.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>Speech perception and linguistic experience: Issues in cross-language research, 92, 233-277.</w:t>
      </w:r>
    </w:p>
    <w:p w14:paraId="503F538E" w14:textId="4463F3BF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020">
        <w:rPr>
          <w:rFonts w:ascii="Times New Roman" w:hAnsi="Times New Roman" w:cs="Times New Roman"/>
          <w:sz w:val="24"/>
          <w:szCs w:val="24"/>
          <w:lang w:val="de-DE"/>
        </w:rPr>
        <w:t xml:space="preserve">[2] Young-Scholten, M., &amp; Langer, M. (2015).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 role of orthographic input in second language German: Evidence from naturalistic adult learners’ production.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Applied Psycholinguistics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, 36(1), 93-114.</w:t>
      </w:r>
    </w:p>
    <w:p w14:paraId="24EC9D7F" w14:textId="36C6CC89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Ananthapadmanabha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T. V.,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Prathosh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A. P., &amp; Ramakrishnan, A. G. (2014). Detection of the closure-burst transitions of stops and affricates in continuous speech using the plosion index.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Journal of the Acoustical Society of America,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135(1), 460-471.</w:t>
      </w:r>
    </w:p>
    <w:p w14:paraId="7938052C" w14:textId="411A9379" w:rsidR="009A7C2E" w:rsidRDefault="00D511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Rafat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Y., &amp; Stevenson, R. A. (2019). Auditory-orthographic integration at the onset of L2 speech acquisition. </w:t>
      </w:r>
      <w:r w:rsidRPr="00011740">
        <w:rPr>
          <w:rFonts w:ascii="Times New Roman" w:hAnsi="Times New Roman" w:cs="Times New Roman"/>
          <w:i/>
          <w:iCs/>
          <w:sz w:val="24"/>
          <w:szCs w:val="24"/>
          <w:lang w:val="en-US"/>
        </w:rPr>
        <w:t>Language and speech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, 62(3), 427-451.</w:t>
      </w:r>
    </w:p>
    <w:p w14:paraId="339864E5" w14:textId="11C99841" w:rsidR="00E14336" w:rsidRPr="00B536E4" w:rsidRDefault="00E1433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proofErr w:type="spellStart"/>
      <w:r w:rsidRPr="00E14336">
        <w:rPr>
          <w:rFonts w:ascii="Times New Roman" w:hAnsi="Times New Roman" w:cs="Times New Roman"/>
          <w:sz w:val="24"/>
          <w:szCs w:val="24"/>
          <w:lang w:val="en-US"/>
        </w:rPr>
        <w:t>Nimz</w:t>
      </w:r>
      <w:proofErr w:type="spellEnd"/>
      <w:r w:rsidRPr="00E14336">
        <w:rPr>
          <w:rFonts w:ascii="Times New Roman" w:hAnsi="Times New Roman" w:cs="Times New Roman"/>
          <w:sz w:val="24"/>
          <w:szCs w:val="24"/>
          <w:lang w:val="en-US"/>
        </w:rPr>
        <w:t xml:space="preserve">, K., &amp; Khattab, G. (2020). On the role of orthography in L2 vowel production: The case of Polish learners of German. </w:t>
      </w:r>
      <w:r w:rsidRPr="006F2753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 Language Research</w:t>
      </w:r>
      <w:r w:rsidRPr="00E14336">
        <w:rPr>
          <w:rFonts w:ascii="Times New Roman" w:hAnsi="Times New Roman" w:cs="Times New Roman"/>
          <w:sz w:val="24"/>
          <w:szCs w:val="24"/>
          <w:lang w:val="en-US"/>
        </w:rPr>
        <w:t>, 36(4), 623-652.</w:t>
      </w:r>
    </w:p>
    <w:sectPr w:rsidR="00E14336" w:rsidRPr="00B5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E"/>
    <w:rsid w:val="00011740"/>
    <w:rsid w:val="00027174"/>
    <w:rsid w:val="000323EB"/>
    <w:rsid w:val="000432FE"/>
    <w:rsid w:val="00051091"/>
    <w:rsid w:val="000A533C"/>
    <w:rsid w:val="000B30E2"/>
    <w:rsid w:val="000D015E"/>
    <w:rsid w:val="000E3D6D"/>
    <w:rsid w:val="00110252"/>
    <w:rsid w:val="00121F14"/>
    <w:rsid w:val="001467F4"/>
    <w:rsid w:val="00151B45"/>
    <w:rsid w:val="001541A1"/>
    <w:rsid w:val="001665FD"/>
    <w:rsid w:val="001725E6"/>
    <w:rsid w:val="00175176"/>
    <w:rsid w:val="001A59D3"/>
    <w:rsid w:val="001F2D51"/>
    <w:rsid w:val="00213902"/>
    <w:rsid w:val="00252020"/>
    <w:rsid w:val="002569F2"/>
    <w:rsid w:val="00270929"/>
    <w:rsid w:val="00283955"/>
    <w:rsid w:val="0029002B"/>
    <w:rsid w:val="0029109C"/>
    <w:rsid w:val="002A490D"/>
    <w:rsid w:val="002B4998"/>
    <w:rsid w:val="00317F3F"/>
    <w:rsid w:val="00342F19"/>
    <w:rsid w:val="00361445"/>
    <w:rsid w:val="003762C8"/>
    <w:rsid w:val="00394D38"/>
    <w:rsid w:val="003966F6"/>
    <w:rsid w:val="003A447C"/>
    <w:rsid w:val="003B3A6B"/>
    <w:rsid w:val="003C10FE"/>
    <w:rsid w:val="00421AD7"/>
    <w:rsid w:val="00425FD8"/>
    <w:rsid w:val="00433730"/>
    <w:rsid w:val="00463B4D"/>
    <w:rsid w:val="004644B2"/>
    <w:rsid w:val="004867B0"/>
    <w:rsid w:val="00497E7E"/>
    <w:rsid w:val="004C4923"/>
    <w:rsid w:val="004C6206"/>
    <w:rsid w:val="004E2B2F"/>
    <w:rsid w:val="004F14B9"/>
    <w:rsid w:val="00535786"/>
    <w:rsid w:val="00550A0D"/>
    <w:rsid w:val="0055431F"/>
    <w:rsid w:val="00561B32"/>
    <w:rsid w:val="005761F1"/>
    <w:rsid w:val="00596532"/>
    <w:rsid w:val="005F4A1D"/>
    <w:rsid w:val="005F7611"/>
    <w:rsid w:val="0062593D"/>
    <w:rsid w:val="0063553D"/>
    <w:rsid w:val="00637F4C"/>
    <w:rsid w:val="00662ACE"/>
    <w:rsid w:val="006639DC"/>
    <w:rsid w:val="00683576"/>
    <w:rsid w:val="006E00AE"/>
    <w:rsid w:val="006E125F"/>
    <w:rsid w:val="006F2753"/>
    <w:rsid w:val="007157AF"/>
    <w:rsid w:val="00720916"/>
    <w:rsid w:val="00763864"/>
    <w:rsid w:val="007D3FA2"/>
    <w:rsid w:val="007D6219"/>
    <w:rsid w:val="007D6F6D"/>
    <w:rsid w:val="007E1CE8"/>
    <w:rsid w:val="00841907"/>
    <w:rsid w:val="00856DC2"/>
    <w:rsid w:val="008721A1"/>
    <w:rsid w:val="00885027"/>
    <w:rsid w:val="00891691"/>
    <w:rsid w:val="008A1C45"/>
    <w:rsid w:val="008E6004"/>
    <w:rsid w:val="00916CEE"/>
    <w:rsid w:val="009A7C2E"/>
    <w:rsid w:val="009B12AE"/>
    <w:rsid w:val="009D1079"/>
    <w:rsid w:val="00A171F7"/>
    <w:rsid w:val="00A24978"/>
    <w:rsid w:val="00A96F4C"/>
    <w:rsid w:val="00A97DDD"/>
    <w:rsid w:val="00AC6711"/>
    <w:rsid w:val="00AD6263"/>
    <w:rsid w:val="00B041A6"/>
    <w:rsid w:val="00B0504C"/>
    <w:rsid w:val="00B07207"/>
    <w:rsid w:val="00B243BB"/>
    <w:rsid w:val="00B536E4"/>
    <w:rsid w:val="00B71ED0"/>
    <w:rsid w:val="00B77C62"/>
    <w:rsid w:val="00BD15A3"/>
    <w:rsid w:val="00BD62D4"/>
    <w:rsid w:val="00C32D4E"/>
    <w:rsid w:val="00C5249A"/>
    <w:rsid w:val="00C5326F"/>
    <w:rsid w:val="00C817EB"/>
    <w:rsid w:val="00CE5C7B"/>
    <w:rsid w:val="00D051B2"/>
    <w:rsid w:val="00D07ABD"/>
    <w:rsid w:val="00D27BEA"/>
    <w:rsid w:val="00D511AC"/>
    <w:rsid w:val="00D512D7"/>
    <w:rsid w:val="00D62B4E"/>
    <w:rsid w:val="00D7321A"/>
    <w:rsid w:val="00DC364C"/>
    <w:rsid w:val="00DD57D0"/>
    <w:rsid w:val="00E10C2E"/>
    <w:rsid w:val="00E14336"/>
    <w:rsid w:val="00EB4AE3"/>
    <w:rsid w:val="00EB7CAC"/>
    <w:rsid w:val="00EE0796"/>
    <w:rsid w:val="00F063B8"/>
    <w:rsid w:val="00F53A3D"/>
    <w:rsid w:val="00F5753A"/>
    <w:rsid w:val="00F869CA"/>
    <w:rsid w:val="00FB48C8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719"/>
  <w15:chartTrackingRefBased/>
  <w15:docId w15:val="{BC2E0547-2640-4D99-9054-F7235400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7D6219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520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20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20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20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20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20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0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Dueme</dc:creator>
  <cp:keywords/>
  <dc:description/>
  <cp:lastModifiedBy>Florent Dueme</cp:lastModifiedBy>
  <cp:revision>18</cp:revision>
  <dcterms:created xsi:type="dcterms:W3CDTF">2022-02-22T07:49:00Z</dcterms:created>
  <dcterms:modified xsi:type="dcterms:W3CDTF">2022-02-22T08:46:00Z</dcterms:modified>
</cp:coreProperties>
</file>