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Analyse experte et exhaustive – V2 (2025)</w:t>
      </w:r>
    </w:p>
    <w:p>
      <w:pPr>
        <w:pStyle w:val="Heading1"/>
        <w:rPr/>
      </w:pPr>
      <w:r>
        <w:rPr/>
        <w:t>1. Méthodologie (condensée &amp; opérationnelle)</w:t>
      </w:r>
    </w:p>
    <w:p>
      <w:pPr>
        <w:pStyle w:val="Normal"/>
        <w:rPr/>
      </w:pPr>
      <w:r>
        <w:rPr/>
        <w:t>Critères : Frais totaux (TER + acquisition + rachat), Garanties (décès/invalidité/exonération), Performances nettes 1/3/5/10 ans, Flexibilité (pauses, rachats, transferts), Solidité (SST), Transparence (CGV).</w:t>
      </w:r>
    </w:p>
    <w:p>
      <w:pPr>
        <w:pStyle w:val="Normal"/>
        <w:rPr/>
      </w:pPr>
      <w:r>
        <w:rPr/>
        <w:t>Biais évités : performances brutes, survivorship bias, omission des frais cachés.</w:t>
      </w:r>
    </w:p>
    <w:p>
      <w:pPr>
        <w:pStyle w:val="Normal"/>
        <w:rPr/>
      </w:pPr>
      <w:r>
        <w:rPr/>
        <w:t>Livrables : fiches compagnies standardisées + matrice de décision par profil + check-list juridique/fin fiscale.</w:t>
      </w:r>
    </w:p>
    <w:p>
      <w:pPr>
        <w:pStyle w:val="Heading1"/>
        <w:rPr/>
      </w:pPr>
      <w:r>
        <w:rPr/>
        <w:t>2. Cheat sheet – Résumé A3 (à imprimer)</w:t>
      </w:r>
    </w:p>
    <w:p>
      <w:pPr>
        <w:pStyle w:val="Normal"/>
        <w:rPr/>
      </w:pPr>
      <w:r>
        <w:rPr/>
        <w:t xml:space="preserve">• </w:t>
      </w:r>
      <w:r>
        <w:rPr/>
        <w:t>Top global : Swiss Life | AXA | Zurich | Helvetia | Generali (selon doc).</w:t>
      </w:r>
    </w:p>
    <w:p>
      <w:pPr>
        <w:pStyle w:val="Normal"/>
        <w:rPr/>
      </w:pPr>
      <w:r>
        <w:rPr/>
        <w:t xml:space="preserve">• </w:t>
      </w:r>
      <w:r>
        <w:rPr/>
        <w:t>Meilleur rapport qualité-prix : Bâloise, Smile (digital).</w:t>
      </w:r>
    </w:p>
    <w:p>
      <w:pPr>
        <w:pStyle w:val="Normal"/>
        <w:rPr/>
      </w:pPr>
      <w:r>
        <w:rPr/>
        <w:t xml:space="preserve">• </w:t>
      </w:r>
      <w:r>
        <w:rPr/>
        <w:t>Garanties décès : Zurich &gt; Swiss Life &gt; Generali.</w:t>
      </w:r>
    </w:p>
    <w:p>
      <w:pPr>
        <w:pStyle w:val="Normal"/>
        <w:rPr/>
      </w:pPr>
      <w:r>
        <w:rPr/>
        <w:t xml:space="preserve">• </w:t>
      </w:r>
      <w:r>
        <w:rPr/>
        <w:t>Rendement : Allianz &gt; AXA &gt; Generali.</w:t>
      </w:r>
    </w:p>
    <w:p>
      <w:pPr>
        <w:pStyle w:val="Normal"/>
        <w:rPr/>
      </w:pPr>
      <w:r>
        <w:rPr/>
        <w:t xml:space="preserve">• </w:t>
      </w:r>
      <w:r>
        <w:rPr/>
        <w:t>Frais bas : Bâloise &gt; La Mobilière &gt; Helvetia.</w:t>
      </w:r>
    </w:p>
    <w:p>
      <w:pPr>
        <w:pStyle w:val="Normal"/>
        <w:rPr/>
      </w:pPr>
      <w:r>
        <w:rPr/>
        <w:t xml:space="preserve">• </w:t>
      </w:r>
      <w:r>
        <w:rPr/>
        <w:t>Flexibilité : Helvetia &gt; Swiss Life &gt; AXA.</w:t>
      </w:r>
    </w:p>
    <w:p>
      <w:pPr>
        <w:pStyle w:val="Normal"/>
        <w:rPr/>
      </w:pPr>
      <w:r>
        <w:rPr/>
        <w:t xml:space="preserve">• </w:t>
      </w:r>
      <w:r>
        <w:rPr/>
        <w:t>Canton : échelonner (VD/GE) vs retrait unique (NE taux unique).</w:t>
      </w:r>
    </w:p>
    <w:p>
      <w:pPr>
        <w:pStyle w:val="Heading1"/>
        <w:rPr/>
      </w:pPr>
      <w:r>
        <w:rPr/>
        <w:t>3. Fiches compagnies – Format standard</w:t>
      </w:r>
    </w:p>
    <w:p>
      <w:pPr>
        <w:pStyle w:val="Normal"/>
        <w:rPr/>
      </w:pPr>
      <w:r>
        <w:rPr/>
        <w:t>Chaque fiche suit le format ci-dessous (rempli selon les données du doc initial) :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Item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Données clés (issues du doc)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Frais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Acquisition % | Gestion % | Rachat année 3–5 | Transfert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Garanties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Décès % | Invalidité (rente/capital) | Exonération de primes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Performances nettes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1/3/5/10 ans (fourchette)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Flexibilité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Rachats partiels | Pauses | Portabilité/Transferts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Solidité (SST)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Notation + ratio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Pour qui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Profil conseillé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À éviter si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Limites du contrat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Red flags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Clauses à surveiller</w:t>
            </w:r>
          </w:p>
        </w:tc>
      </w:tr>
    </w:tbl>
    <w:p>
      <w:pPr>
        <w:pStyle w:val="Heading1"/>
        <w:rPr/>
      </w:pPr>
      <w:r>
        <w:rPr/>
        <w:t>4. Synthèses compagnies (8)</w:t>
      </w:r>
    </w:p>
    <w:p>
      <w:pPr>
        <w:pStyle w:val="Heading2"/>
        <w:rPr/>
      </w:pPr>
      <w:r>
        <w:rPr/>
        <w:t>Swiss Life</w:t>
      </w:r>
    </w:p>
    <w:p>
      <w:pPr>
        <w:pStyle w:val="Normal"/>
        <w:rPr/>
      </w:pPr>
      <w:r>
        <w:rPr/>
        <w:t>Frais : Frais initiaux 3–5 %, gestion ~1–1,5 %.; Garanties élevées (décès 100–200 %, exonération).; Rachats partiels dès 5 ans.</w:t>
      </w:r>
    </w:p>
    <w:p>
      <w:pPr>
        <w:pStyle w:val="Normal"/>
        <w:rPr/>
      </w:pPr>
      <w:r>
        <w:rPr/>
        <w:t>Garanties/Performances clés : Performances nettes solides (ex. +6,3 % sur 5 ans selon doc).; SST AA (~220 %).</w:t>
      </w:r>
    </w:p>
    <w:p>
      <w:pPr>
        <w:pStyle w:val="Normal"/>
        <w:rPr/>
      </w:pPr>
      <w:r>
        <w:rPr/>
        <w:t>Pour qui : Clients équilibrés/dynamiques, horizon &gt;10 ans.</w:t>
      </w:r>
    </w:p>
    <w:p>
      <w:pPr>
        <w:pStyle w:val="Normal"/>
        <w:rPr/>
      </w:pPr>
      <w:r>
        <w:rPr/>
        <w:t>À éviter si : Budget serré (frais initiaux), besoin de liquidité court terme.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AXA</w:t>
      </w:r>
    </w:p>
    <w:p>
      <w:pPr>
        <w:pStyle w:val="Normal"/>
        <w:rPr/>
      </w:pPr>
      <w:r>
        <w:rPr/>
        <w:t>Frais : Commissions 4–5 %, gestion 1,16–2 %.; Valeur de rachat ~60 % à 3 ans.</w:t>
      </w:r>
    </w:p>
    <w:p>
      <w:pPr>
        <w:pStyle w:val="Normal"/>
        <w:rPr/>
      </w:pPr>
      <w:r>
        <w:rPr/>
        <w:t>Garanties/Performances clés : Fonds AXA World Funds : +8,94 % (5 ans) selon doc.; SST AA- (~210 %).</w:t>
      </w:r>
    </w:p>
    <w:p>
      <w:pPr>
        <w:pStyle w:val="Normal"/>
        <w:rPr/>
      </w:pPr>
      <w:r>
        <w:rPr/>
        <w:t>Pour qui : Profil équilibré acceptant des frais pour garanties fortes.</w:t>
      </w:r>
    </w:p>
    <w:p>
      <w:pPr>
        <w:pStyle w:val="Normal"/>
        <w:rPr/>
      </w:pPr>
      <w:r>
        <w:rPr/>
        <w:t>À éviter si : Objectif frais minimaux / liquidité rapide.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Zurich</w:t>
      </w:r>
    </w:p>
    <w:p>
      <w:pPr>
        <w:pStyle w:val="Normal"/>
        <w:rPr/>
      </w:pPr>
      <w:r>
        <w:rPr/>
        <w:t>Frais : Frais 1–1,5 %.; Rachats partiels dès 3 ans.</w:t>
      </w:r>
    </w:p>
    <w:p>
      <w:pPr>
        <w:pStyle w:val="Normal"/>
        <w:rPr/>
      </w:pPr>
      <w:r>
        <w:rPr/>
        <w:t>Garanties/Performances clés : Capital décès jusqu’à 180 % (meilleur du marché dans le doc).; SST AA (~250 %).</w:t>
      </w:r>
    </w:p>
    <w:p>
      <w:pPr>
        <w:pStyle w:val="Normal"/>
        <w:rPr/>
      </w:pPr>
      <w:r>
        <w:rPr/>
        <w:t>Pour qui : Prudence prioritaire (famille, prêt hypo).</w:t>
      </w:r>
    </w:p>
    <w:p>
      <w:pPr>
        <w:pStyle w:val="Normal"/>
        <w:rPr/>
      </w:pPr>
      <w:r>
        <w:rPr/>
        <w:t>À éviter si : Recherche de performance maximale.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Helvetia</w:t>
      </w:r>
    </w:p>
    <w:p>
      <w:pPr>
        <w:pStyle w:val="Normal"/>
        <w:rPr/>
      </w:pPr>
      <w:r>
        <w:rPr/>
        <w:t>Frais : Frais 0,8–1,5 %, portabilité gratuite dès 3 ans.</w:t>
      </w:r>
    </w:p>
    <w:p>
      <w:pPr>
        <w:pStyle w:val="Normal"/>
        <w:rPr/>
      </w:pPr>
      <w:r>
        <w:rPr/>
        <w:t>Garanties/Performances clés : Helvetia Equity ~+6 % sur 5 ans.</w:t>
      </w:r>
    </w:p>
    <w:p>
      <w:pPr>
        <w:pStyle w:val="Normal"/>
        <w:rPr/>
      </w:pPr>
      <w:r>
        <w:rPr/>
        <w:t>Pour qui : Bon rapport qualité/prix, flexibilité.</w:t>
      </w:r>
    </w:p>
    <w:p>
      <w:pPr>
        <w:pStyle w:val="Normal"/>
        <w:rPr/>
      </w:pPr>
      <w:r>
        <w:rPr/>
        <w:t>À éviter si : Besoin de garanties décès très élevées.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Bâloise</w:t>
      </w:r>
    </w:p>
    <w:p>
      <w:pPr>
        <w:pStyle w:val="Normal"/>
        <w:rPr/>
      </w:pPr>
      <w:r>
        <w:rPr/>
        <w:t>Frais : Frais bas 0,2–0,8 %, acquisition 1–2 %.</w:t>
      </w:r>
    </w:p>
    <w:p>
      <w:pPr>
        <w:pStyle w:val="Normal"/>
        <w:rPr/>
      </w:pPr>
      <w:r>
        <w:rPr/>
        <w:t>Garanties/Performances clés : Transparence élevée, modulation des primes.</w:t>
      </w:r>
    </w:p>
    <w:p>
      <w:pPr>
        <w:pStyle w:val="Normal"/>
        <w:rPr/>
      </w:pPr>
      <w:r>
        <w:rPr/>
        <w:t>Pour qui : Budget serré, jeune actif prudent.</w:t>
      </w:r>
    </w:p>
    <w:p>
      <w:pPr>
        <w:pStyle w:val="Normal"/>
        <w:rPr/>
      </w:pPr>
      <w:r>
        <w:rPr/>
        <w:t>À éviter si : Recherche de rendement élevé / diversification large.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Generali</w:t>
      </w:r>
    </w:p>
    <w:p>
      <w:pPr>
        <w:pStyle w:val="Normal"/>
        <w:rPr/>
      </w:pPr>
      <w:r>
        <w:rPr/>
        <w:t>Frais : Frais 1–1,8 %, volatilité possible.</w:t>
      </w:r>
    </w:p>
    <w:p>
      <w:pPr>
        <w:pStyle w:val="Normal"/>
        <w:rPr/>
      </w:pPr>
      <w:r>
        <w:rPr/>
        <w:t>Garanties/Performances clés : Performa (ESG) ~+7,36 % (5 ans).; Décès 100–200 %.</w:t>
      </w:r>
    </w:p>
    <w:p>
      <w:pPr>
        <w:pStyle w:val="Normal"/>
        <w:rPr/>
      </w:pPr>
      <w:r>
        <w:rPr/>
        <w:t>Pour qui : Profil dynamique/ESG, horizon &gt;10 ans.</w:t>
      </w:r>
    </w:p>
    <w:p>
      <w:pPr>
        <w:pStyle w:val="Normal"/>
        <w:rPr/>
      </w:pPr>
      <w:r>
        <w:rPr/>
        <w:t>À éviter si : Aversion à la volatilité.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Allianz Suisse</w:t>
      </w:r>
    </w:p>
    <w:p>
      <w:pPr>
        <w:pStyle w:val="Normal"/>
        <w:rPr/>
      </w:pPr>
      <w:r>
        <w:rPr/>
        <w:t>Frais : Commissions 4–5 %, transfert 1 %.</w:t>
      </w:r>
    </w:p>
    <w:p>
      <w:pPr>
        <w:pStyle w:val="Normal"/>
        <w:rPr/>
      </w:pPr>
      <w:r>
        <w:rPr/>
        <w:t>Garanties/Performances clés : Smart Invest ~+8,94 % (10 ans).; SST AA- (groupe).</w:t>
      </w:r>
    </w:p>
    <w:p>
      <w:pPr>
        <w:pStyle w:val="Normal"/>
        <w:rPr/>
      </w:pPr>
      <w:r>
        <w:rPr/>
        <w:t>Pour qui : Recherche de rendement avec marque solide.</w:t>
      </w:r>
    </w:p>
    <w:p>
      <w:pPr>
        <w:pStyle w:val="Normal"/>
        <w:rPr/>
      </w:pPr>
      <w:r>
        <w:rPr/>
        <w:t>À éviter si : Besoin 3b/flexibilité large.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2"/>
        <w:rPr/>
      </w:pPr>
      <w:r>
        <w:rPr/>
        <w:t>La Mobilière</w:t>
      </w:r>
    </w:p>
    <w:p>
      <w:pPr>
        <w:pStyle w:val="Normal"/>
        <w:rPr/>
      </w:pPr>
      <w:r>
        <w:rPr/>
        <w:t>Frais : Frais 0,5–1,2 %, valeur rachat 85 % (an 3).</w:t>
      </w:r>
    </w:p>
    <w:p>
      <w:pPr>
        <w:pStyle w:val="Normal"/>
        <w:rPr/>
      </w:pPr>
      <w:r>
        <w:rPr/>
        <w:t>Garanties/Performances clés : SST AA (~200 %). Rendements modestes (1–4 %).</w:t>
      </w:r>
    </w:p>
    <w:p>
      <w:pPr>
        <w:pStyle w:val="Normal"/>
        <w:rPr/>
      </w:pPr>
      <w:r>
        <w:rPr/>
        <w:t>Pour qui : Prudence / pré-retraite.</w:t>
      </w:r>
    </w:p>
    <w:p>
      <w:pPr>
        <w:pStyle w:val="Normal"/>
        <w:rPr/>
      </w:pPr>
      <w:r>
        <w:rPr/>
        <w:t>À éviter si : Recherche de croissance agressive.</w:t>
      </w:r>
    </w:p>
    <w:p>
      <w:pPr>
        <w:pStyle w:val="Normal"/>
        <w:rPr/>
      </w:pPr>
      <w:r>
        <w:rPr/>
        <w:t>Red flags : frais initiaux/rachat, transparence rendements nets, exclusions garanties.</w:t>
      </w:r>
    </w:p>
    <w:p>
      <w:pPr>
        <w:pStyle w:val="Heading1"/>
        <w:rPr/>
      </w:pPr>
      <w:r>
        <w:rPr/>
        <w:t>5. Matrice décisionnelle (profil × canton × objectif)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Profil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Canton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Objectif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Recommandation rapide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Prudent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VD/FR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Sécurité + frais bas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La Mobilière / Zurich | échelonnement 2–3 ans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Équilibré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VD/GE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Rendement + garanties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Swiss Life / AXA | 2–3 comptes 3a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Dynamique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GE/VS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Performance (ESG)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Generali / Allianz | tolérance volatilité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Budget serré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VS/JU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Minimiser les frais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Bâloise / Smile (digital)</w:t>
            </w:r>
          </w:p>
        </w:tc>
      </w:tr>
    </w:tbl>
    <w:p>
      <w:pPr>
        <w:pStyle w:val="Heading1"/>
        <w:rPr/>
      </w:pPr>
      <w:r>
        <w:rPr/>
        <w:t>6. Conformité &amp; fiscalité (FINMA/LBA – rappel)</w:t>
      </w:r>
    </w:p>
    <w:p>
      <w:pPr>
        <w:pStyle w:val="Normal"/>
        <w:rPr/>
      </w:pPr>
      <w:r>
        <w:rPr/>
        <w:t xml:space="preserve">• </w:t>
      </w:r>
      <w:r>
        <w:rPr/>
        <w:t>KYC complet (identité, ayants droit économiques) – obligations LBA.</w:t>
      </w:r>
    </w:p>
    <w:p>
      <w:pPr>
        <w:pStyle w:val="Normal"/>
        <w:rPr/>
      </w:pPr>
      <w:r>
        <w:rPr/>
        <w:t xml:space="preserve">• </w:t>
      </w:r>
      <w:r>
        <w:rPr/>
        <w:t>Documentation produit (IPID, CGV) remise et signée.</w:t>
      </w:r>
    </w:p>
    <w:p>
      <w:pPr>
        <w:pStyle w:val="Normal"/>
        <w:rPr/>
      </w:pPr>
      <w:r>
        <w:rPr/>
        <w:t xml:space="preserve">• </w:t>
      </w:r>
      <w:r>
        <w:rPr/>
        <w:t>Information sur risques de marché (unités de compte).</w:t>
      </w:r>
    </w:p>
    <w:p>
      <w:pPr>
        <w:pStyle w:val="Normal"/>
        <w:rPr/>
      </w:pPr>
      <w:r>
        <w:rPr/>
        <w:t xml:space="preserve">• </w:t>
      </w:r>
      <w:r>
        <w:rPr/>
        <w:t>Simulation fiscale de retrait (canton) + plan d’échelonnement.</w:t>
      </w:r>
    </w:p>
    <w:p>
      <w:pPr>
        <w:pStyle w:val="Normal"/>
        <w:rPr/>
      </w:pPr>
      <w:r>
        <w:rPr/>
        <w:t xml:space="preserve">• </w:t>
      </w:r>
      <w:r>
        <w:rPr/>
        <w:t>Archivage client (10 ans).</w:t>
      </w:r>
    </w:p>
    <w:p>
      <w:pPr>
        <w:pStyle w:val="Heading1"/>
        <w:rPr/>
      </w:pPr>
      <w:r>
        <w:rPr/>
        <w:t>7. Visuels à prévoir (kit PNG, même charte)</w:t>
      </w:r>
    </w:p>
    <w:p>
      <w:pPr>
        <w:pStyle w:val="Normal"/>
        <w:rPr/>
      </w:pPr>
      <w:r>
        <w:rPr/>
        <w:t xml:space="preserve">• </w:t>
      </w:r>
      <w:r>
        <w:rPr/>
        <w:t>Radar multi-assureurs (frais/rendement/garanties/flexibilité).</w:t>
      </w:r>
    </w:p>
    <w:p>
      <w:pPr>
        <w:pStyle w:val="Normal"/>
        <w:rPr/>
      </w:pPr>
      <w:r>
        <w:rPr/>
        <w:t xml:space="preserve">• </w:t>
      </w:r>
      <w:r>
        <w:rPr/>
        <w:t>Barres « valeur de rachat année 3 » par assureur.</w:t>
      </w:r>
    </w:p>
    <w:p>
      <w:pPr>
        <w:pStyle w:val="Normal"/>
        <w:rPr/>
      </w:pPr>
      <w:r>
        <w:rPr/>
        <w:t xml:space="preserve">• </w:t>
      </w:r>
      <w:r>
        <w:rPr/>
        <w:t>Barres « commission d’acquisition » année 1 par assureur.</w:t>
      </w:r>
    </w:p>
    <w:p>
      <w:pPr>
        <w:pStyle w:val="Normal"/>
        <w:rPr/>
      </w:pPr>
      <w:r>
        <w:rPr/>
        <w:t xml:space="preserve">• </w:t>
      </w:r>
      <w:r>
        <w:rPr/>
        <w:t>Scatter rendement net 5 ans vs frais de gestion.</w:t>
      </w:r>
    </w:p>
    <w:p>
      <w:pPr>
        <w:pStyle w:val="Normal"/>
        <w:spacing w:before="0" w:after="200"/>
        <w:rPr/>
      </w:pPr>
      <w:r>
        <w:rPr/>
        <w:br/>
        <w:t>© HumanIA – 2025 | Tous droits réservés.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EasyOffice/7.6.2.1.0$Windows_X86_64 LibreOffice_project/0bc4d647150f05f02b71ccb5539a4012b57f1faf</Application>
  <AppVersion>15.0000</AppVersion>
  <Pages>5</Pages>
  <Words>824</Words>
  <Characters>4507</Characters>
  <CharactersWithSpaces>5206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2025-08-25T15:51:20Z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