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B1A6" w14:textId="355160C8" w:rsidR="004738FD" w:rsidRDefault="00000000" w:rsidP="00EE085D">
      <w:pPr>
        <w:pStyle w:val="Heading1"/>
        <w:rPr>
          <w:rFonts w:hint="eastAsia"/>
        </w:rPr>
      </w:pPr>
      <w:r>
        <w:t>Stratégie de groupe implémentant NetCease</w:t>
      </w:r>
    </w:p>
    <w:p w14:paraId="01EA1EFA" w14:textId="77777777" w:rsidR="004738FD" w:rsidRPr="00F70A6F" w:rsidRDefault="00000000" w:rsidP="00EE085D">
      <w:pPr>
        <w:pStyle w:val="Subtitle"/>
        <w:rPr>
          <w:lang w:val="fr-FR"/>
        </w:rPr>
      </w:pPr>
      <w:r w:rsidRPr="00F70A6F">
        <w:rPr>
          <w:lang w:val="fr-FR"/>
        </w:rPr>
        <w:t>ID METSYS : 50</w:t>
      </w:r>
      <w:r w:rsidRPr="00F70A6F">
        <w:rPr>
          <w:lang w:val="fr-FR"/>
        </w:rPr>
        <w:br/>
        <w:t xml:space="preserve">ID PingCastle : </w:t>
      </w:r>
      <w:hyperlink r:id="rId8">
        <w:r w:rsidRPr="006053A4">
          <w:rPr>
            <w:rStyle w:val="idstylecharacter"/>
            <w:lang w:val="fr-FR"/>
          </w:rPr>
          <w:t>A-NoNetSessionHardening</w:t>
        </w:r>
      </w:hyperlink>
    </w:p>
    <w:p w14:paraId="0DB2FF11" w14:textId="77777777" w:rsidR="004738FD" w:rsidRPr="00F70A6F" w:rsidRDefault="00000000" w:rsidP="00EE085D">
      <w:pPr>
        <w:pStyle w:val="Subtitle"/>
        <w:rPr>
          <w:lang w:val="fr-FR"/>
        </w:rPr>
      </w:pPr>
      <w:r w:rsidRPr="00F70A6F">
        <w:rPr>
          <w:lang w:val="fr-FR"/>
        </w:rPr>
        <w:t>Charge de travail : 1 jour</w:t>
      </w:r>
      <w:r w:rsidRPr="00F70A6F">
        <w:rPr>
          <w:lang w:val="fr-FR"/>
        </w:rPr>
        <w:br/>
        <w:t>Difficulté : 1 - Requière quelques connaissances sur l'anomalie</w:t>
      </w:r>
    </w:p>
    <w:p w14:paraId="26EFE308" w14:textId="77777777" w:rsidR="004738FD" w:rsidRPr="0017098D" w:rsidRDefault="00000000">
      <w:pPr>
        <w:pStyle w:val="paragraphetitlestyle"/>
        <w:rPr>
          <w:rStyle w:val="Strong"/>
          <w:rFonts w:hint="eastAsia"/>
          <w:b/>
          <w:bCs/>
        </w:rPr>
      </w:pPr>
      <w:r w:rsidRPr="0017098D">
        <w:rPr>
          <w:rStyle w:val="Strong"/>
          <w:b/>
          <w:bCs/>
        </w:rPr>
        <w:t>Description</w:t>
      </w:r>
    </w:p>
    <w:p w14:paraId="5BE568B2" w14:textId="77777777" w:rsidR="004738FD" w:rsidRPr="006053A4" w:rsidRDefault="00000000" w:rsidP="00F05A43">
      <w:pPr>
        <w:rPr>
          <w:rFonts w:hint="eastAsia"/>
        </w:rPr>
      </w:pPr>
      <w:r w:rsidRPr="006053A4">
        <w:t>Les attaquants peuvent utiliser des outils comme « BloodHound » pour déterminer qui a une session ouverte et sur quelle machine, afin de cibler leurs attaques.</w:t>
      </w:r>
    </w:p>
    <w:p w14:paraId="0AEE56C0" w14:textId="77777777" w:rsidR="004738FD" w:rsidRPr="0017098D" w:rsidRDefault="00000000">
      <w:pPr>
        <w:pStyle w:val="paragraphetitlestyle"/>
        <w:rPr>
          <w:rStyle w:val="Strong"/>
          <w:rFonts w:hint="eastAsia"/>
          <w:b/>
          <w:bCs/>
        </w:rPr>
      </w:pPr>
      <w:r w:rsidRPr="0017098D">
        <w:rPr>
          <w:rStyle w:val="Strong"/>
          <w:b/>
          <w:bCs/>
        </w:rPr>
        <w:t>Recommandation</w:t>
      </w:r>
    </w:p>
    <w:p w14:paraId="7482AE4E" w14:textId="05242A14" w:rsidR="00FB6BDD" w:rsidRPr="006053A4" w:rsidRDefault="00000000" w:rsidP="00FB6BDD">
      <w:pPr>
        <w:rPr>
          <w:rFonts w:hint="eastAsia"/>
        </w:rPr>
      </w:pPr>
      <w:r w:rsidRPr="006053A4">
        <w:t>Il est possible de renforcer la sécurité en empêchant ce type de scan grâce à un script « NetCease ». Il est possible de déployer par GPO (Préférences) les clés de registre positionnées par le script.</w:t>
      </w:r>
    </w:p>
    <w:p w14:paraId="33313789" w14:textId="5D3A8102" w:rsidR="004738FD" w:rsidRPr="006053A4" w:rsidRDefault="004738FD" w:rsidP="00F05A43">
      <w:pPr>
        <w:rPr>
          <w:rFonts w:hint="eastAsia"/>
        </w:rPr>
      </w:pPr>
    </w:p>
    <w:sectPr w:rsidR="004738FD" w:rsidRPr="006053A4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6FC98" w14:textId="77777777" w:rsidR="0006492C" w:rsidRDefault="0006492C" w:rsidP="006053A4">
      <w:pPr>
        <w:rPr>
          <w:rFonts w:hint="eastAsia"/>
        </w:rPr>
      </w:pPr>
      <w:r>
        <w:separator/>
      </w:r>
    </w:p>
  </w:endnote>
  <w:endnote w:type="continuationSeparator" w:id="0">
    <w:p w14:paraId="41F2D5D5" w14:textId="77777777" w:rsidR="0006492C" w:rsidRDefault="0006492C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32525" w14:textId="77777777" w:rsidR="0006492C" w:rsidRDefault="0006492C" w:rsidP="006053A4">
      <w:pPr>
        <w:rPr>
          <w:rFonts w:hint="eastAsia"/>
        </w:rPr>
      </w:pPr>
      <w:r>
        <w:separator/>
      </w:r>
    </w:p>
  </w:footnote>
  <w:footnote w:type="continuationSeparator" w:id="0">
    <w:p w14:paraId="24AA4E73" w14:textId="77777777" w:rsidR="0006492C" w:rsidRDefault="0006492C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92C"/>
    <w:rsid w:val="0015074B"/>
    <w:rsid w:val="0017098D"/>
    <w:rsid w:val="0029639D"/>
    <w:rsid w:val="00326F90"/>
    <w:rsid w:val="003A6C39"/>
    <w:rsid w:val="004738FD"/>
    <w:rsid w:val="00604893"/>
    <w:rsid w:val="006053A4"/>
    <w:rsid w:val="00747AE5"/>
    <w:rsid w:val="00AA1D8D"/>
    <w:rsid w:val="00B47730"/>
    <w:rsid w:val="00CB0664"/>
    <w:rsid w:val="00D823EE"/>
    <w:rsid w:val="00EE085D"/>
    <w:rsid w:val="00F05A43"/>
    <w:rsid w:val="00F70A6F"/>
    <w:rsid w:val="00FB6B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17098D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8</cp:revision>
  <dcterms:created xsi:type="dcterms:W3CDTF">2013-12-23T23:15:00Z</dcterms:created>
  <dcterms:modified xsi:type="dcterms:W3CDTF">2023-11-29T15:02:00Z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