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20</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151</w:t>
            </w:r>
          </w:p>
        </w:tc>
        <w:tc>
          <w:tcPr>
            <w:tcW w:type="dxa" w:w="2946"/>
          </w:tcPr>
          <w:p>
            <w:pPr>
              <w:spacing w:line="240" w:lineRule="auto"/>
            </w:pPr>
            <w:r>
              <w:rPr>
                <w:rFonts w:ascii="Times New Roman" w:hAnsi="Times New Roman" w:eastAsia="Times New Roman"/>
                <w:b w:val="0"/>
                <w:caps w:val="0"/>
                <w:sz w:val="22"/>
              </w:rPr>
              <w:t>132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rreth 155 sekonda për skedar në ekzekutimin që prodhoi këto shifra, pasi detyron kompilimin e tërë mbylljes së varësive të tij. Kostoja për skedar varion shumë mes ekzekutimeve, sepse varet nga sa prej korpusit ndodhet tashmë në cache-in e sistemit të skedarëve.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18–78 min</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7a200751de</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