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njëzet e gjashtë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 deri 0.87 me recall 0.10 deri 0.44. Të ndara sipas ashpërsisë, ato degradojnë me hijeshi, duke i kapur rastet e rënda shumë më mirë se ato të lehtat. Klasifikuesit i tejkaluan qartë, me MCC nga 0.488 te 0.713 kundrejt 0.232 deri 0.580, dhe i rizbuluan pjesërisht metrikat që përdorin vetë strategjitë. Motori i refaktorimit transformoi një pjesë të matur të rasteve të detektuara, ku shumica e refuzimeve vjen nga forma e kodit dhe nga rrjedha e kontrollit.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MCC për të dyja qasjet</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Mostrat e shënuara nga secila qasje</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Shpërndarja e mostrave sipas erës</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Sa lëviz MCC-ja kur zhvendoset një prag</w:t>
      </w:r>
    </w:p>
    <w:p>
      <w:pPr>
        <w:spacing w:line="360" w:lineRule="auto"/>
        <w:ind w:firstLine="360"/>
        <w:jc w:val="both"/>
      </w:pPr>
      <w:r>
        <w:rPr>
          <w:rFonts w:ascii="Times New Roman" w:hAnsi="Times New Roman" w:eastAsia="Times New Roman"/>
          <w:b w:val="0"/>
          <w:caps w:val="0"/>
          <w:sz w:val="24"/>
        </w:rPr>
        <w:t>Tabela 6. Rezultati i motorit të refaktorimit</w:t>
      </w:r>
    </w:p>
    <w:p>
      <w:pPr>
        <w:spacing w:line="360" w:lineRule="auto"/>
        <w:ind w:firstLine="360"/>
        <w:jc w:val="both"/>
      </w:pPr>
      <w:r>
        <w:rPr>
          <w:rFonts w:ascii="Times New Roman" w:hAnsi="Times New Roman" w:eastAsia="Times New Roman"/>
          <w:b w:val="0"/>
          <w:caps w:val="0"/>
          <w:sz w:val="24"/>
        </w:rPr>
        <w:t>Tabela 7. Pse u refuzuan</w:t>
      </w:r>
    </w:p>
    <w:p>
      <w:pPr>
        <w:spacing w:line="360" w:lineRule="auto"/>
        <w:ind w:firstLine="360"/>
        <w:jc w:val="both"/>
      </w:pPr>
      <w:r>
        <w:rPr>
          <w:rFonts w:ascii="Times New Roman" w:hAnsi="Times New Roman" w:eastAsia="Times New Roman"/>
          <w:b w:val="0"/>
          <w:caps w:val="0"/>
          <w:sz w:val="24"/>
        </w:rPr>
        <w:t>Tabela 8. Verifikimi i atyre që u aplikuan</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dhe regjistron vetëm fakte sintaksore. Mbi këtë model maten shtatëmbëdhjetë metrika klase dhe nëntë metrika metode, me një kalim të vetëm për klasë.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1" name="Picture 1"/>
            <wp:cNvGraphicFramePr>
              <a:graphicFrameLocks noChangeAspect="1"/>
            </wp:cNvGraphicFramePr>
            <a:graphic>
              <a:graphicData uri="http://schemas.openxmlformats.org/drawingml/2006/picture">
                <pic:pic>
                  <pic:nvPicPr>
                    <pic:cNvPr id="0" name="figura_5_shperndarja_e_mostrave.png"/>
                    <pic:cNvPicPr/>
                  </pic:nvPicPr>
                  <pic:blipFill>
                    <a:blip r:embed="rId12"/>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2" name="Picture 2"/>
            <wp:cNvGraphicFramePr>
              <a:graphicFrameLocks noChangeAspect="1"/>
            </wp:cNvGraphicFramePr>
            <a:graphic>
              <a:graphicData uri="http://schemas.openxmlformats.org/drawingml/2006/picture">
                <pic:pic>
                  <pic:nvPicPr>
                    <pic:cNvPr id="0" name="figura_2_recall_sipas_ashpersise.png"/>
                    <pic:cNvPicPr/>
                  </pic:nvPicPr>
                  <pic:blipFill>
                    <a:blip r:embed="rId13"/>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3" name="Picture 3"/>
            <wp:cNvGraphicFramePr>
              <a:graphicFrameLocks noChangeAspect="1"/>
            </wp:cNvGraphicFramePr>
            <a:graphic>
              <a:graphicData uri="http://schemas.openxmlformats.org/drawingml/2006/picture">
                <pic:pic>
                  <pic:nvPicPr>
                    <pic:cNvPr id="0" name="figura_4_rendesia_e_vecorive.png"/>
                    <pic:cNvPicPr/>
                  </pic:nvPicPr>
                  <pic:blipFill>
                    <a:blip r:embed="rId14"/>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4" name="Picture 4"/>
            <wp:cNvGraphicFramePr>
              <a:graphicFrameLocks noChangeAspect="1"/>
            </wp:cNvGraphicFramePr>
            <a:graphic>
              <a:graphicData uri="http://schemas.openxmlformats.org/drawingml/2006/picture">
                <pic:pic>
                  <pic:nvPicPr>
                    <pic:cNvPr id="0" name="figura_1_mcc_a_vs_b.png"/>
                    <pic:cNvPicPr/>
                  </pic:nvPicPr>
                  <pic:blipFill>
                    <a:blip r:embed="rId15"/>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kappa-n e Cohen-it.</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5" name="Picture 5"/>
            <wp:cNvGraphicFramePr>
              <a:graphicFrameLocks noChangeAspect="1"/>
            </wp:cNvGraphicFramePr>
            <a:graphic>
              <a:graphicData uri="http://schemas.openxmlformats.org/drawingml/2006/picture">
                <pic:pic>
                  <pic:nvPicPr>
                    <pic:cNvPr id="0" name="figura_3_pajtimi_a_b.png"/>
                    <pic:cNvPicPr/>
                  </pic:nvPicPr>
                  <pic:blipFill>
                    <a:blip r:embed="rId16"/>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6.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7.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8.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6" name="Picture 6"/>
            <wp:cNvGraphicFramePr>
              <a:graphicFrameLocks noChangeAspect="1"/>
            </wp:cNvGraphicFramePr>
            <a:graphic>
              <a:graphicData uri="http://schemas.openxmlformats.org/drawingml/2006/picture">
                <pic:pic>
                  <pic:nvPicPr>
                    <pic:cNvPr id="0" name="figura_6_ndjeshmeria_e_pragjeve.png"/>
                    <pic:cNvPicPr/>
                  </pic:nvPicPr>
                  <pic:blipFill>
                    <a:blip r:embed="rId17"/>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[PLOTËSO].</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spacing w:line="360" w:lineRule="auto"/>
        <w:ind w:firstLine="360"/>
        <w:jc w:val="both"/>
      </w:pPr>
      <w:r>
        <w:rPr>
          <w:rFonts w:ascii="Times New Roman" w:hAnsi="Times New Roman" w:eastAsia="Times New Roman"/>
          <w:b w:val="0"/>
          <w:caps w:val="0"/>
          <w:sz w:val="24"/>
        </w:rPr>
        <w:t>[PLOTËSO]</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