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Pajtimi mes dy qasjeve</w:t>
      </w:r>
    </w:p>
    <w:p>
      <w:pPr>
        <w:spacing w:line="360" w:lineRule="auto"/>
        <w:ind w:firstLine="360"/>
        <w:jc w:val="both"/>
      </w:pPr>
      <w:r>
        <w:rPr>
          <w:rFonts w:ascii="Times New Roman" w:hAnsi="Times New Roman" w:eastAsia="Times New Roman"/>
          <w:b w:val="0"/>
          <w:caps w:val="0"/>
          <w:sz w:val="24"/>
        </w:rPr>
        <w:t>Tabela 7. Të dyja qasjet së bashku</w:t>
      </w:r>
    </w:p>
    <w:p>
      <w:pPr>
        <w:spacing w:line="360" w:lineRule="auto"/>
        <w:ind w:firstLine="360"/>
        <w:jc w:val="both"/>
      </w:pPr>
      <w:r>
        <w:rPr>
          <w:rFonts w:ascii="Times New Roman" w:hAnsi="Times New Roman" w:eastAsia="Times New Roman"/>
          <w:b w:val="0"/>
          <w:caps w:val="0"/>
          <w:sz w:val="24"/>
        </w:rPr>
        <w:t>Tabela 8. Rezultati i motorit të refaktorimit</w:t>
      </w:r>
    </w:p>
    <w:p>
      <w:pPr>
        <w:spacing w:line="360" w:lineRule="auto"/>
        <w:ind w:firstLine="360"/>
        <w:jc w:val="both"/>
      </w:pPr>
      <w:r>
        <w:rPr>
          <w:rFonts w:ascii="Times New Roman" w:hAnsi="Times New Roman" w:eastAsia="Times New Roman"/>
          <w:b w:val="0"/>
          <w:caps w:val="0"/>
          <w:sz w:val="24"/>
        </w:rPr>
        <w:t>Tabela 9. Pse u refuzuan</w:t>
      </w:r>
    </w:p>
    <w:p>
      <w:pPr>
        <w:spacing w:line="360" w:lineRule="auto"/>
        <w:ind w:firstLine="360"/>
        <w:jc w:val="both"/>
      </w:pPr>
      <w:r>
        <w:rPr>
          <w:rFonts w:ascii="Times New Roman" w:hAnsi="Times New Roman" w:eastAsia="Times New Roman"/>
          <w:b w:val="0"/>
          <w:caps w:val="0"/>
          <w:sz w:val="24"/>
        </w:rPr>
        <w:t>Tabela 10. Verifikimi i atyre që u aplikuan</w:t>
      </w:r>
    </w:p>
    <w:p>
      <w:pPr>
        <w:spacing w:line="360" w:lineRule="auto"/>
        <w:ind w:firstLine="360"/>
        <w:jc w:val="both"/>
      </w:pPr>
      <w:r>
        <w:rPr>
          <w:rFonts w:ascii="Times New Roman" w:hAnsi="Times New Roman" w:eastAsia="Times New Roman"/>
          <w:b w:val="0"/>
          <w:caps w:val="0"/>
          <w:sz w:val="24"/>
        </w:rPr>
        <w:t>Tabela 11. A u hoq era pas rishkrimit</w:t>
      </w:r>
    </w:p>
    <w:p>
      <w:pPr>
        <w:spacing w:line="360" w:lineRule="auto"/>
        <w:ind w:firstLine="360"/>
        <w:jc w:val="both"/>
      </w:pPr>
      <w:r>
        <w:rPr>
          <w:rFonts w:ascii="Times New Roman" w:hAnsi="Times New Roman" w:eastAsia="Times New Roman"/>
          <w:b w:val="0"/>
          <w:caps w:val="0"/>
          <w:sz w:val="24"/>
        </w:rPr>
        <w:t>Tabela 12. Sa lëvizi matja pas rishkrimit</w:t>
      </w:r>
    </w:p>
    <w:p>
      <w:pPr>
        <w:spacing w:line="360" w:lineRule="auto"/>
        <w:ind w:firstLine="360"/>
        <w:jc w:val="both"/>
      </w:pPr>
      <w:r>
        <w:rPr>
          <w:rFonts w:ascii="Times New Roman" w:hAnsi="Times New Roman" w:eastAsia="Times New Roman"/>
          <w:b w:val="0"/>
          <w:caps w:val="0"/>
          <w:sz w:val="24"/>
        </w:rPr>
        <w:t>Tabela 13.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14. Norma e transformimit sipas erës dhe ashpërsisë</w:t>
      </w:r>
    </w:p>
    <w:p>
      <w:pPr>
        <w:spacing w:line="360" w:lineRule="auto"/>
        <w:ind w:firstLine="360"/>
        <w:jc w:val="both"/>
      </w:pPr>
      <w:r>
        <w:rPr>
          <w:rFonts w:ascii="Times New Roman" w:hAnsi="Times New Roman" w:eastAsia="Times New Roman"/>
          <w:b w:val="0"/>
          <w:caps w:val="0"/>
          <w:sz w:val="24"/>
        </w:rPr>
        <w:t>Tabela 15. Përbërja e arsyeve të refuzimit brenda çdo niveli</w:t>
      </w:r>
    </w:p>
    <w:p>
      <w:pPr>
        <w:spacing w:line="360" w:lineRule="auto"/>
        <w:ind w:firstLine="360"/>
        <w:jc w:val="both"/>
      </w:pPr>
      <w:r>
        <w:rPr>
          <w:rFonts w:ascii="Times New Roman" w:hAnsi="Times New Roman" w:eastAsia="Times New Roman"/>
          <w:b w:val="0"/>
          <w:caps w:val="0"/>
          <w:sz w:val="24"/>
        </w:rPr>
        <w:t>Tabela 16. Krahasimi i MCC-së me Madeyski &amp; Lewowski (2023), mbi MLCQ</w:t>
      </w:r>
    </w:p>
    <w:p>
      <w:pPr>
        <w:spacing w:line="360" w:lineRule="auto"/>
        <w:ind w:firstLine="360"/>
        <w:jc w:val="both"/>
      </w:pPr>
      <w:r>
        <w:rPr>
          <w:rFonts w:ascii="Times New Roman" w:hAnsi="Times New Roman" w:eastAsia="Times New Roman"/>
          <w:b w:val="0"/>
          <w:caps w:val="0"/>
          <w:sz w:val="24"/>
        </w:rPr>
        <w:t>Tabela 17. Strategjitë e detektimit dhe burimet e tyre</w:t>
      </w:r>
    </w:p>
    <w:p>
      <w:pPr>
        <w:spacing w:line="360" w:lineRule="auto"/>
        <w:ind w:firstLine="360"/>
        <w:jc w:val="both"/>
      </w:pPr>
      <w:r>
        <w:rPr>
          <w:rFonts w:ascii="Times New Roman" w:hAnsi="Times New Roman" w:eastAsia="Times New Roman"/>
          <w:b w:val="0"/>
          <w:caps w:val="0"/>
          <w:sz w:val="24"/>
        </w:rPr>
        <w:t>Tabela 18. Kuantifikuesit e përgjithshëm</w:t>
      </w:r>
    </w:p>
    <w:p>
      <w:pPr>
        <w:spacing w:line="360" w:lineRule="auto"/>
        <w:ind w:firstLine="360"/>
        <w:jc w:val="both"/>
      </w:pPr>
      <w:r>
        <w:rPr>
          <w:rFonts w:ascii="Times New Roman" w:hAnsi="Times New Roman" w:eastAsia="Times New Roman"/>
          <w:b w:val="0"/>
          <w:caps w:val="0"/>
          <w:sz w:val="24"/>
        </w:rPr>
        <w:t>Tabela 19. Pragjet e përdorura</w:t>
      </w:r>
    </w:p>
    <w:p>
      <w:pPr>
        <w:spacing w:line="360" w:lineRule="auto"/>
        <w:ind w:firstLine="360"/>
        <w:jc w:val="both"/>
      </w:pPr>
      <w:r>
        <w:rPr>
          <w:rFonts w:ascii="Times New Roman" w:hAnsi="Times New Roman" w:eastAsia="Times New Roman"/>
          <w:b w:val="0"/>
          <w:caps w:val="0"/>
          <w:sz w:val="24"/>
        </w:rPr>
        <w:t>Tabela 20. Metrikat sipas nivelit</w:t>
      </w:r>
    </w:p>
    <w:p>
      <w:pPr>
        <w:spacing w:line="360" w:lineRule="auto"/>
        <w:ind w:firstLine="360"/>
        <w:jc w:val="both"/>
      </w:pPr>
      <w:r>
        <w:rPr>
          <w:rFonts w:ascii="Times New Roman" w:hAnsi="Times New Roman" w:eastAsia="Times New Roman"/>
          <w:b w:val="0"/>
          <w:caps w:val="0"/>
          <w:sz w:val="24"/>
        </w:rPr>
        <w:t>Tabela 21. Çka propozohet dhe çka aplikohet</w:t>
      </w:r>
    </w:p>
    <w:p>
      <w:pPr>
        <w:spacing w:line="360" w:lineRule="auto"/>
        <w:ind w:firstLine="360"/>
        <w:jc w:val="both"/>
      </w:pPr>
      <w:r>
        <w:rPr>
          <w:rFonts w:ascii="Times New Roman" w:hAnsi="Times New Roman" w:eastAsia="Times New Roman"/>
          <w:b w:val="0"/>
          <w:caps w:val="0"/>
          <w:sz w:val="24"/>
        </w:rPr>
        <w:t>Tabela 22. Arsyet e refuzimit</w:t>
      </w:r>
    </w:p>
    <w:p>
      <w:pPr>
        <w:spacing w:line="360" w:lineRule="auto"/>
        <w:ind w:firstLine="360"/>
        <w:jc w:val="both"/>
      </w:pPr>
      <w:r>
        <w:rPr>
          <w:rFonts w:ascii="Times New Roman" w:hAnsi="Times New Roman" w:eastAsia="Times New Roman"/>
          <w:b w:val="0"/>
          <w:caps w:val="0"/>
          <w:sz w:val="24"/>
        </w:rPr>
        <w:t>Tabela 23. Radha e ekzekutimit</w:t>
      </w:r>
    </w:p>
    <w:p>
      <w:pPr>
        <w:spacing w:line="360" w:lineRule="auto"/>
        <w:ind w:firstLine="360"/>
        <w:jc w:val="both"/>
      </w:pPr>
      <w:r>
        <w:rPr>
          <w:rFonts w:ascii="Times New Roman" w:hAnsi="Times New Roman" w:eastAsia="Times New Roman"/>
          <w:b w:val="0"/>
          <w:caps w:val="0"/>
          <w:sz w:val="24"/>
        </w:rPr>
        <w:t>Tabela 24. Commit-i që prodhoi çdo skedar rezultati</w:t>
      </w:r>
    </w:p>
    <w:p>
      <w:pPr>
        <w:spacing w:line="360" w:lineRule="auto"/>
        <w:ind w:firstLine="360"/>
        <w:jc w:val="both"/>
      </w:pPr>
      <w:r>
        <w:rPr>
          <w:rFonts w:ascii="Times New Roman" w:hAnsi="Times New Roman" w:eastAsia="Times New Roman"/>
          <w:b w:val="0"/>
          <w:caps w:val="0"/>
          <w:sz w:val="24"/>
        </w:rPr>
        <w:t>Tabela 25. Sa lëviz MCC-ja kur zhvendoset një prag</w:t>
      </w:r>
    </w:p>
    <w:p>
      <w:pPr>
        <w:spacing w:line="360" w:lineRule="auto"/>
        <w:ind w:firstLine="360"/>
        <w:jc w:val="both"/>
      </w:pPr>
      <w:r>
        <w:rPr>
          <w:rFonts w:ascii="Times New Roman" w:hAnsi="Times New Roman" w:eastAsia="Times New Roman"/>
          <w:b w:val="0"/>
          <w:caps w:val="0"/>
          <w:sz w:val="24"/>
        </w:rPr>
        <w:t>Tabela 26.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28. Sa klauzola dështuan te secila mospërputhje</w:t>
      </w:r>
    </w:p>
    <w:p>
      <w:pPr>
        <w:spacing w:line="360" w:lineRule="auto"/>
        <w:ind w:firstLine="360"/>
        <w:jc w:val="both"/>
      </w:pPr>
      <w:r>
        <w:rPr>
          <w:rFonts w:ascii="Times New Roman" w:hAnsi="Times New Roman" w:eastAsia="Times New Roman"/>
          <w:b w:val="0"/>
          <w:caps w:val="0"/>
          <w:sz w:val="24"/>
        </w:rPr>
        <w:t>Tabela 29. Kur një klauzolë e vetme e ndal strategjinë</w:t>
      </w:r>
    </w:p>
    <w:p>
      <w:pPr>
        <w:spacing w:line="360" w:lineRule="auto"/>
        <w:ind w:firstLine="360"/>
        <w:jc w:val="both"/>
      </w:pPr>
      <w:r>
        <w:rPr>
          <w:rFonts w:ascii="Times New Roman" w:hAnsi="Times New Roman" w:eastAsia="Times New Roman"/>
          <w:b w:val="0"/>
          <w:caps w:val="0"/>
          <w:sz w:val="24"/>
        </w:rPr>
        <w:t>Tabela 30. Pajtimi i ashpërsisë me rishikuesit</w:t>
      </w:r>
    </w:p>
    <w:p>
      <w:pPr>
        <w:spacing w:line="360" w:lineRule="auto"/>
        <w:ind w:firstLine="360"/>
        <w:jc w:val="both"/>
      </w:pPr>
      <w:r>
        <w:rPr>
          <w:rFonts w:ascii="Times New Roman" w:hAnsi="Times New Roman" w:eastAsia="Times New Roman"/>
          <w:b w:val="0"/>
          <w:caps w:val="0"/>
          <w:sz w:val="24"/>
        </w:rPr>
        <w:t>Tabela 31. Intervale besimi 95% për MCC-në</w:t>
      </w:r>
    </w:p>
    <w:p>
      <w:pPr>
        <w:spacing w:line="360" w:lineRule="auto"/>
        <w:ind w:firstLine="360"/>
        <w:jc w:val="both"/>
      </w:pPr>
      <w:r>
        <w:rPr>
          <w:rFonts w:ascii="Times New Roman" w:hAnsi="Times New Roman" w:eastAsia="Times New Roman"/>
          <w:b w:val="0"/>
          <w:caps w:val="0"/>
          <w:sz w:val="24"/>
        </w:rPr>
        <w:t>Tabela 32. B − A kur rregullat marrin pragun e tyre më të mirë</w:t>
      </w:r>
    </w:p>
    <w:p>
      <w:pPr>
        <w:spacing w:line="360" w:lineRule="auto"/>
        <w:ind w:firstLine="360"/>
        <w:jc w:val="both"/>
      </w:pPr>
      <w:r>
        <w:rPr>
          <w:rFonts w:ascii="Times New Roman" w:hAnsi="Times New Roman" w:eastAsia="Times New Roman"/>
          <w:b w:val="0"/>
          <w:caps w:val="0"/>
          <w:sz w:val="24"/>
        </w:rPr>
        <w:t>Tabela 33. Sa pajtohen rishikuesit me njëri-tjetrin</w:t>
      </w:r>
    </w:p>
    <w:p>
      <w:pPr>
        <w:spacing w:line="360" w:lineRule="auto"/>
        <w:ind w:firstLine="360"/>
        <w:jc w:val="both"/>
      </w:pPr>
      <w:r>
        <w:rPr>
          <w:rFonts w:ascii="Times New Roman" w:hAnsi="Times New Roman" w:eastAsia="Times New Roman"/>
          <w:b w:val="0"/>
          <w:caps w:val="0"/>
          <w:sz w:val="24"/>
        </w:rPr>
        <w:t>Tabela 34.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36.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dhe evoluim, ku kodi lexohet, kuptohet dhe ndryshohet vazhdimisht nga zhvillues të ndryshëm. Lehman (1980) e formuloi këtë si ligj: një sistem që përdoret në një mjedis real duhet të ndryshojë vazhdimisht, përndryshe bëhet gradualisht më pak i dobishëm. Prandaj lehtësia me të cilën ndryshohet kodi nuk është çështje estetike, por kosto e përditshme e çdo ekipi.</w:t>
      </w:r>
    </w:p>
    <w:p>
      <w:pPr>
        <w:spacing w:line="360" w:lineRule="auto"/>
        <w:ind w:firstLine="360"/>
        <w:jc w:val="both"/>
      </w:pPr>
      <w:r>
        <w:rPr>
          <w:rFonts w:ascii="Times New Roman" w:hAnsi="Times New Roman" w:eastAsia="Times New Roman"/>
          <w:b w:val="0"/>
          <w:caps w:val="0"/>
          <w:sz w:val="24"/>
        </w:rPr>
        <w:t>Një burim i madh i vështirësisë janë code smells. Termi u prezantua nga Kent Beck dhe u popullarizua nga libri Refactoring i Martin Fowler-it, botimi i dytë i të cilit (Fowler, 2018) përdoret në këtë punim. Një code smell nuk është gabim: programi kompilohet dhe funksionon saktë. Ai është simptomë e një problemi më të thellë dizajni, si një klasë që mban shumë përgjegjësi të palidhura, një metodë që zgjatet për qindra rreshta, ose një klasë që mban vetëm të dhëna pa asnjë sjellje. Cunningham (1992) e përshkroi efektin e tyre të grumbulluar me metaforën e borxhit teknik: çdo kompromis i vogël në strukturë krijon një detyrim që paguhet me interes në çdo ndryshim të ardhshëm.</w:t>
      </w:r>
    </w:p>
    <w:p>
      <w:pPr>
        <w:spacing w:line="360" w:lineRule="auto"/>
        <w:ind w:firstLine="360"/>
        <w:jc w:val="both"/>
      </w:pPr>
      <w:r>
        <w:rPr>
          <w:rFonts w:ascii="Times New Roman" w:hAnsi="Times New Roman" w:eastAsia="Times New Roman"/>
          <w:b w:val="0"/>
          <w:caps w:val="0"/>
          <w:sz w:val="24"/>
        </w:rPr>
        <w:t>Kundërpesha ndaj këtij degradimi është refaktorimi, të cilin Fowler (2018) e përkufizon si ndryshim të strukturës së brendshme të kodit pa ndryshuar sjelljen e tij të jashtme. Refaktorimi kërkon dy gjëra: që problemi të jetë gjetur, dhe që të dihet cili transformim e heq pa e prishur programin. Në një sistem me qindra klasa asnjëra nuk bëhet dot me dorë në mënyrë sistematike, dhe gjykimi se çfarë është problem ndryshon nga një shqyrtues te tjetri.</w:t>
      </w:r>
    </w:p>
    <w:p>
      <w:pPr>
        <w:spacing w:line="360" w:lineRule="auto"/>
        <w:ind w:firstLine="360"/>
        <w:jc w:val="both"/>
      </w:pPr>
      <w:r>
        <w:rPr>
          <w:rFonts w:ascii="Times New Roman" w:hAnsi="Times New Roman" w:eastAsia="Times New Roman"/>
          <w:b w:val="0"/>
          <w:caps w:val="0"/>
          <w:sz w:val="24"/>
        </w:rPr>
        <w:t>Mjetet e analizës statike e automatizojnë pjesërisht këtë punë, por problemi mbetet i hapur në tri drejtime. Së pari, strategjitë që kombinojnë metrika, si ato të Lanza &amp; Marinescu (2006), përdorin pragje fikse të nxjerra nga një korpus tjetër, dhe rrallë dihet sa pajtohen ato me gjykimin e zhvilluesve. Së dyti, detektimi me mësim makine premton më shumë, por rezultatet e tij varen fort nga mënyra si ndërtohen dhe ndahen të dhënat, dhe rrallë krahasohet me rregullat mbi të njëjtën të vërtetë bazë. Së treti, shumica e mjeteve ndalen te njoftimi: e thonë çfarë është e gabuar, por jo çfarë duhet bërë. Qasjet që propozojnë edhe refaktorimin, si ajo e Tsantalis &amp; Chatzigeorgiou (2009) për Move Method, janë më të rralla dhe mbulojnë vetëm disa raste.</w:t>
      </w:r>
    </w:p>
    <w:p>
      <w:pPr>
        <w:spacing w:line="360" w:lineRule="auto"/>
        <w:ind w:firstLine="360"/>
        <w:jc w:val="both"/>
      </w:pPr>
      <w:r>
        <w:rPr>
          <w:rFonts w:ascii="Times New Roman" w:hAnsi="Times New Roman" w:eastAsia="Times New Roman"/>
          <w:b w:val="0"/>
          <w:caps w:val="0"/>
          <w:sz w:val="24"/>
        </w:rPr>
        <w:t>Ky punim e trajton hapësirën mes gjetjes së problemit dhe ndreqjes së tij, për gjuhën Java. Ai ndërton një sistem që i zbulon code smells në dy mënyra, me strategji metrikash dhe me klasifikues të mësuar mbi të njëjtat metrika, i vlerëson të dyja mbi të njëjtin dataset të etiketuar nga zhvillues profesionistë, dhe shton një motor që e rishkruan kodin vetëm kur e provon se transformimi është i sigurt. Kapitulli 2 shqyrton literaturën, Kapitulli 3 shtron problemin dhe pyetjet kërkimore, Kapitulli 4 përshkruan metodologjinë dhe sistemin, Kapitulli 5 paraqet rezultatet, dhe Kapitulli 6 i diskuton ato dhe nxjerr përfundimet.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botimi i dytë i të cilit përshkruan njëzet e katër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smells,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smells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smell-i. E përsëritën eksperimentin me dataset-e ku bashkëjetojnë disa lloje smells,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smells,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mënyrës si ndërtohen dhe ndahen të dhënat e vlerësimit,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(Kapitulli 1). Mjetet ekzistuese mbështeten kryesisht në pragje fikse të kalibruara gjetiu dhe rrallë shkojnë përtej njoftimit.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Nga ky fokus dalin pyetjet kërkimore dhe objektivat e punimit. Pjesa tjetër e kapitullit i bën pyetjet të matshme dhe deklaron kufizimet që e formësojnë atë që mund të pretendohet.</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i përgjigjet njërës nga tri pjesët e sistemit: detektimit me rregulla, detektimit me mësim makine dhe refaktorimit.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mat problemin e parë të realitetit, pragjet fikse, kundrejt gjykimit njerëzor. PK2 pyet nëse i njëjti informacion, i përdorur ndryshe, jep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projektimi, implementimi dhe vlerësimi empirik i një sistemi që identifikon code smells në kod burimor Java dhe propozon refaktorime konkrete e të verifikueshme për t'i adresuar ato. Objektivat janë:</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dhe të krahasohet me rregullat.</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shprehet si klasifikim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zbatohet pa e prishur kodin». Rezultati i tij raportohet si numri i vendeve të detektuara, i atyre të transformuara, dhe shpërndarja e arsyeve pse pjesa tjetër u refuzua. Kriteret e suksesit janë:</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model bazë që tregon sa merret pa mësuar asgjë.</w:t>
      </w:r>
    </w:p>
    <w:p>
      <w:pPr>
        <w:pStyle w:val="ListBullet"/>
        <w:spacing w:line="360" w:lineRule="auto"/>
        <w:jc w:val="both"/>
      </w:pPr>
      <w:r>
        <w:rPr>
          <w:rFonts w:ascii="Times New Roman" w:hAnsi="Times New Roman" w:eastAsia="Times New Roman"/>
          <w:b w:val="0"/>
          <w:caps w:val="0"/>
          <w:sz w:val="24"/>
        </w:rPr>
        <w:t>Për PK3: verifikim që çdo rishkrim i aplikuar nuk e prish skedarin, dhe matje nëse era u hoq. Ruajtja e plotë e sjelljes kërkon ekzekutimin e testeve të vetë projekteve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në gjuhën Java, sepse pjesa dërrmuese e literaturës mbi metrikat e objekteve dhe datasetet e etiketuara të code smells janë ndërtuar mbi kod Java. Erërat e vlerësuara janë ato për të cilat ekzistojnë strategji të publikuara dhe të dhëna të etiketuara. Analiza është statike: programi nuk ekzekutohet, ndaj karakteristikat që shfaqen vetëm gjatë ekzekutimit nuk mbulohen.</w:t>
      </w:r>
    </w:p>
    <w:p>
      <w:pPr>
        <w:spacing w:line="360" w:lineRule="auto"/>
        <w:ind w:firstLine="360"/>
        <w:jc w:val="both"/>
      </w:pPr>
      <w:r>
        <w:rPr>
          <w:rFonts w:ascii="Times New Roman" w:hAnsi="Times New Roman" w:eastAsia="Times New Roman"/>
          <w:b w:val="0"/>
          <w:caps w:val="0"/>
          <w:sz w:val="24"/>
        </w:rPr>
        <w:t>Dy zgjedhje arkitekturore janë të qëllimshme. E para: analizuesi regjistron fakte sintaksore dhe nuk zgjidh simbole, ndaj çdo transformim që duhet të gjejë të gjitha referencat ndaj një emri nuk i provon dot parakushtet e veta, dhe dy nga pesë transformimet e planifikuara mbeten propozim. Për të njëjtën arsye Introduce Parameter Object aplikohet vetëm te metodat «private», thirrjet e të cilave Java-ja i mban brenda skedarit. E dyta: refaktorimi bëhet me transformime mbi pemën sintaksore dhe jo me gjenerim teksti, sepse ajo çka aplikohet duhet të jetë e saktë. Nga kjo rrjedh kriteri i motorit: refuzimi është rezultat i saktë.</w:t>
      </w:r>
    </w:p>
    <w:p>
      <w:pPr>
        <w:spacing w:line="360" w:lineRule="auto"/>
        <w:ind w:firstLine="360"/>
        <w:jc w:val="both"/>
      </w:pPr>
      <w:r>
        <w:rPr>
          <w:rFonts w:ascii="Times New Roman" w:hAnsi="Times New Roman" w:eastAsia="Times New Roman"/>
          <w:b w:val="0"/>
          <w:caps w:val="0"/>
          <w:sz w:val="24"/>
        </w:rPr>
        <w:t xml:space="preserve">Korpusi ruan nga depot që përmend MLCQ-ja vetëm skedarët «.java», pa skedarë ndërtimi dhe pa varësi, dhe disa depo nuk ishin më të arritshme. Prandaj çdo rishkrim kontrollohet vetëm me kompilator: nëse kompilon, ose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u mat: sistemin (4.1–4.2), eksperimentin në radhën e ekzekutimit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4.7),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3.4 dhe diskutohen te Nënkapitulli 6.6.</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me varësi në një drejtim të vetëm: një modul importon vetëm nga shtresat para tij, kurrë nga ato pas. Kjo e bën secilën shtresë të testueshme veç dhe e pengon logjikën e detektimit të rrjedhë te shtresa e transportit. Shtresat dhe rrjedha e të dhënave mes tyre janë (Figura 1):</w:t>
      </w:r>
    </w:p>
    <w:p>
      <w:pPr>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si deklarimet, thirrjet dhe qasjet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 të thjeshta të dhënash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Çdo prag numerik rri në një skedar të vetëm.</w:t>
      </w:r>
    </w:p>
    <w:p>
      <w:pPr>
        <w:pStyle w:val="ListBullet"/>
        <w:spacing w:line="360" w:lineRule="auto"/>
        <w:jc w:val="both"/>
      </w:pPr>
      <w:r>
        <w:rPr>
          <w:rFonts w:ascii="Times New Roman" w:hAnsi="Times New Roman" w:eastAsia="Times New Roman"/>
          <w:b w:val="0"/>
          <w:caps w:val="0"/>
          <w:sz w:val="24"/>
        </w:rPr>
        <w:t>ml dhe refactor: Qasja B dhe Qasja C. Të dyja përdorin daljen e detektorëve dhe modelin, por nuk importojnë njëra-tjetrën.</w:t>
      </w:r>
    </w:p>
    <w:p>
      <w:pPr>
        <w:pStyle w:val="ListBullet"/>
        <w:spacing w:line="360" w:lineRule="auto"/>
        <w:jc w:val="both"/>
      </w:pPr>
      <w:r>
        <w:rPr>
          <w:rFonts w:ascii="Times New Roman" w:hAnsi="Times New Roman" w:eastAsia="Times New Roman"/>
          <w:b w:val="0"/>
          <w:caps w:val="0"/>
          <w:sz w:val="24"/>
        </w:rPr>
        <w:t>api: vetëm transport, pra validim, serializim dhe hartëzim gabimesh,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flet me shërbimin vetëm përmes HTTP.</w:t>
      </w:r>
    </w:p>
    <w:p>
      <w:pPr>
        <w:spacing w:line="360" w:lineRule="auto"/>
        <w:ind w:firstLine="360"/>
        <w:jc w:val="both"/>
      </w:pPr>
      <w:r>
        <w:rPr>
          <w:rFonts w:ascii="Times New Roman" w:hAnsi="Times New Roman" w:eastAsia="Times New Roman"/>
          <w:b w:val="0"/>
          <w:caps w:val="0"/>
          <w:sz w:val="24"/>
        </w:rPr>
        <w:t>Për një analizë, projekti lexohet dhe parsohet i tëri, sepse disa metrika varen nga tipat e tjerë të projektit. Çdo entitet matet, detektorët vlerësojnë strategjitë, dhe nëse përdoruesi e kërkon, modeli jep verdiktin e vet mbi të njëjtat metrika. Për çdo erë me transformim të automatizuar, motori i refaktorimit prodhon një diff të verifikuar. E njëjta rrjedhë arrihet nga rreshti i komandës dhe nga shërbimi HTTP.</w:t>
      </w:r>
    </w:p>
    <w:p>
      <w:pPr>
        <w:spacing w:line="360" w:lineRule="auto"/>
        <w:ind w:firstLine="360"/>
        <w:jc w:val="both"/>
      </w:pPr>
      <w:r>
        <w:rPr>
          <w:rFonts w:ascii="Times New Roman" w:hAnsi="Times New Roman" w:eastAsia="Times New Roman"/>
          <w:b w:val="0"/>
          <w:caps w:val="0"/>
          <w:sz w:val="24"/>
        </w:rPr>
        <w:t>Paketa evaluation dhe skriptet e dosjes scripts/ nuk janë pjesë e rrjedhës që sheh përdoruesi. Ato i ekzekutojnë të njëjtat shtresa mbi korpusin dhe shkruajnë rezultatet, ndaj çdo numër i Kapitullit 5 prodhohet nga i njëjti kod që përdor zhvilluesi, jo nga një kopje e tij.</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shkruar në Python, ndërfaqja në TypeScript. Çdo varësi është falas, me licencë të hapur, dhe e fiksuar në version të saktë, që një rezultat të riprodhohet me versionin që e prodhoi (Tabela 1).</w:t>
      </w:r>
    </w:p>
    <w:p>
      <w:pPr>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scikit-learn ofron ndarjen e grupuar, ansamblet e pemëve dhe rëndësinë me permutim. Asnjë model gjuhësor dhe asnjë shërbim me pagesë nuk përdoret në sistem.</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ndërtohet mbi tree-sitter (Brunsfeld et al.), dhe mbi modelin sintaksor që ai prodhon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 Lista e plotë jepet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që bën Park (1992) mes rreshtave fizikë dhe logjikë: rreshtat bosh, komentet dhe rreshtat me vetëm shenja ndarëse, si «}» ose «});», nuk janë pohime dhe nuk numërohen.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zbatohen ashtu siç janë publikuar nga Lanza &amp; Marinescu (2006); Large Class, Long Method dhe Long Parameter List ndjekin përshkrimet e Fowler-it (2018), dhe Deep Nesting mat thellësinë e ndërfutjes së blloqeve. Kushtet dhe burimi i secilës jepen te Shtojca 8.1. Çdo prag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Katër strategji vlerësohen kundrejt MLCQ-së: God Class kundrejt etiketës «blob», Data Class, Feature Envy dhe Long Method kundrejt etiketave me të njëjtin emër. Për Blob-in pikëzohet edhe një variant që i bashkon God Class dhe Large Class, detektorin që mbështetet vetëm te madhësia.</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 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 Veçoritë janë të gjitha metrikat e Nënkapitullit 4.4, jo vetëm ato që përdorin strategjitë.</w:t>
      </w:r>
    </w:p>
    <w:p>
      <w:pPr>
        <w:spacing w:line="360" w:lineRule="auto"/>
        <w:ind w:firstLine="360"/>
        <w:jc w:val="both"/>
      </w:pPr>
      <w:r>
        <w:rPr>
          <w:rFonts w:ascii="Times New Roman" w:hAnsi="Times New Roman" w:eastAsia="Times New Roman"/>
          <w:b w:val="0"/>
          <w:caps w:val="0"/>
          <w:sz w:val="24"/>
        </w:rPr>
        <w:t>Klasifikuesi i shumicës raportohet si model bazë: mbi një bashkësi ku shumica e etiketave janë negative, ai tregon sa merret pa mësuar asgjë.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sepse rëndësia e papastërtisë së një pylli anon nga veçoritë me shumë vlera të ndryshme.</w:t>
      </w:r>
    </w:p>
    <w:p>
      <w:pPr>
        <w:spacing w:line="360" w:lineRule="auto"/>
        <w:ind w:firstLine="360"/>
        <w:jc w:val="both"/>
      </w:pPr>
      <w:r>
        <w:rPr>
          <w:rFonts w:ascii="Times New Roman" w:hAnsi="Times New Roman" w:eastAsia="Times New Roman"/>
          <w:b w:val="0"/>
          <w:caps w:val="0"/>
          <w:sz w:val="24"/>
        </w:rPr>
        <w:t>Rëndësia me permutim thotë cila metrikë ka peshë mbi tërë korpusin, por jo pse u shënua një entitet i caktuar. Prandaj çdo verdikt pozitiv i modelit shpjegohet veç: secila metrikë, një nga një, zëvendësohet me mesoren e bashkësisë së trajnimit dhe modeli pyetet sërish. Nëse ky zëvendësim i vetëm e çon probabilitetin nën kufirin e vendimit, 0.5, ajo metrikë e mban vetë verdiktin, dhe ndërfaqja e shkruan si fjali: «po të ishte CLOC-u tipik, kjo klasë nuk do të shënohej». Metoda krahason dy parashikime reale të modelit dhe nuk varet nga lloji i tij. Kufiri i saj është se e sheh një metrikë në një kohë: kur dy metrika mbajnë të njëjtin informacion, zëvendësimi i njërës mund të mos lëvizë asgjë dhe rasti del i pashpjeguar. Shpjegimi jepet jashtë fold-it, si vetë verdiktet.</w:t>
      </w:r>
    </w:p>
    <w:p>
      <w:pPr>
        <w:spacing w:line="360" w:lineRule="auto"/>
        <w:ind w:firstLine="360"/>
        <w:jc w:val="both"/>
      </w:pPr>
      <w:r>
        <w:rPr>
          <w:rFonts w:ascii="Times New Roman" w:hAnsi="Times New Roman" w:eastAsia="Times New Roman"/>
          <w:b w:val="0"/>
          <w:caps w:val="0"/>
          <w:sz w:val="24"/>
        </w:rPr>
        <w:t>Në ndërfaqe, modeli i trajnuar lexohet nga disku bashkë me manifestin e tij dhe pyetet vetëm kur përdoruesi e kërkon. Nëse mungon, shërbimi e thotë me një kod gabimi të veçantë dhe analiza me rregulla vazhdon.</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refaktorimet propozohen pa u aplikuar (Shtojca 8.4).</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 Te Extract Method, një analizë e rrjedhës së të dhënave kërkon që blloku i nxjerrë të ketë një dalje të vetme, që asnjë return, break ose continue të mos dalë prej tij, dhe që çdo variabël që lexon të jetë e caktuar me siguri.</w:t>
      </w:r>
    </w:p>
    <w:p>
      <w:pPr>
        <w:spacing w:line="360" w:lineRule="auto"/>
        <w:ind w:firstLine="360"/>
        <w:jc w:val="both"/>
      </w:pPr>
      <w:r>
        <w:rPr>
          <w:rFonts w:ascii="Times New Roman" w:hAnsi="Times New Roman" w:eastAsia="Times New Roman"/>
          <w:b w:val="0"/>
          <w:caps w:val="0"/>
          <w:sz w:val="24"/>
        </w:rPr>
        <w:t>Rishkrimi bëhet mbi rangje bajtash, sepse tree-sitter i jep pozicionet në bajta të tekstit UTF-8, dhe aplikohet nga fundi para, që pozicionet e çdo editimi të mbeten të vlefshme. Dy editime që mbivendosen refuzohen.</w:t>
      </w:r>
    </w:p>
    <w:p>
      <w:pPr>
        <w:spacing w:line="360" w:lineRule="auto"/>
        <w:ind w:firstLine="360"/>
        <w:jc w:val="both"/>
      </w:pPr>
      <w:r>
        <w:rPr>
          <w:rFonts w:ascii="Times New Roman" w:hAnsi="Times New Roman" w:eastAsia="Times New Roman"/>
          <w:b w:val="0"/>
          <w:caps w:val="0"/>
          <w:sz w:val="24"/>
        </w:rPr>
        <w:t>Verifikimi bëhet në tri nivele, sepse një skedar i një depoje reale importon fqinjët e vet dhe shpesh nuk kompilon i vetëm. Së pari kontrollohet nëse skedari i rishkruar parsohet, pastaj nëse javac, i ekzekutuar para dhe pas, raporton ndonjë lloj të ri gabimi, dhe së fundi, kur skedari kompilon i vetëm, nëse kompilon ende. Kompilatori thirret me listë të fiksuar argumentesh, me kufi kohor dhe në një dosje të përkohshme. Kufiri i izolimit matet veç mbi një mostër të mbjellë skedarësh: i njëjti rishkrim kompilohet dy herë, i vetëm dhe me burimet e projektit të vet, dhe krahasohen verdiktet.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Klasa matet e tëra para dhe pas, sepse Extract Method krijon një metodë të re. Kështu matet nëse era u hoq, sa lëvizi metrika mbi të cilën ndez detektori, dhe nëse rishkrimi solli një erë që nuk ishte aty.</w:t>
      </w:r>
    </w:p>
    <w:p>
      <w:pPr>
        <w:spacing w:line="360" w:lineRule="auto"/>
        <w:ind w:firstLine="360"/>
        <w:jc w:val="both"/>
      </w:pPr>
      <w:r>
        <w:rPr>
          <w:rFonts w:ascii="Times New Roman" w:hAnsi="Times New Roman" w:eastAsia="Times New Roman"/>
          <w:b w:val="0"/>
          <w:caps w:val="0"/>
          <w:sz w:val="24"/>
        </w:rPr>
        <w:t xml:space="preserve">Kompilimi flet vetëm për gjysmën e përkufizimit të Fowler-it (2018), ruajtjen e sjelljes; përmirësimi i strukturës gjykohet veç, nga një njeri që lexon një mostër diff-esh sipas një rubrike të fiksuar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është e mbjellë me farë dhe e shtresuar sipas transformimit, dhe shifra e bashkuar ripeshohet me madhësitë reale të shtresave. Fleta nuk mban verdiktin e kompilatorit, që ai të mos e ndikojë gjykimin. Intervalet janë Wilson (1927), sepse përafrimi normal me pak vëzhgime jep kufij jashtë [0, 1] (Brown et al., 2001). Vlerësuesi është autori i punimit,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ofron nëntë pika hyrjeje. /health jep gjendjen, /analyze analizon një projekt ose skedar, /metrics jep metrikat e një entiteti dhe /source kodin e tij. Pesë të tjera janë nën /refactor: pamja paraprake e një rishkrimi (preview), diff-i i të gjitha rishkrimeve të verifikuara (patch, edhe si rrjedhë progresi), pyetja nëse shkrimi lejohet (tree) dhe shkrimi në disk (apply). Çdo pikë e validon kërkesën, thërret të njëjtat funksione si rreshti i komandës dhe e kthen përgjigjen si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që mbrohen nuk janë autentikimi, por shtegu dhe burimet. Shtegu që dërgon përdoruesi kanonizohet dhe pranohet vetëm nëse bie brenda një rrënje të lejuar, edhe pasi ndiqen lidhjet simbolike. Një analizë ka kufij për numrin e skedarëve, madhësinë totale dhe kohën. Gabimet kthehen me mesazh dhe kod, pa gjurmë të brendshme dhe pa shtigje absolute.</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një konfirmim të qartë në kërkesë, një depo git pa ndryshime të pakomituara, dhe skedarë që git-i i ndjek. Vetëm atëherë një komandë e vetme, «git restore», e kthen gjithçka; nëse një kusht nuk plotësohet, shkrimi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Përdoruesi shkruan shtegun e projektit dhe, sipas dëshirës, kërkon edhe verdiktin e modelit. Paneli tregon përmbledhjen sipas erës, të dy qasjet përballë njëra-tjetrës dhe gjetjet sipas skedarit. Për secilën gjetje shfaqen kushtet me vlerat e matura, shpjegimi i modelit, dhe diff-i i rishkrimit ose arsyeja e refuzimit në gjuhë të kuptueshme. Pas shkrimit në disk, ndërfaqja tregon cilat erëra u hoqën dhe cilat lindën.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bashkë me koeficientin e korrelacionit të Matthews-it (Matthews, 1975), i cili i përfshin të katër qelizat e matricës konfuze. Mbi një bashkësi ku shumica e etiketave janë negative kjo veti është vendimtare: një detektor që nuk ndez kurrë del i papërcaktuar këtu, ndërsa saktësia e përgjithshme do t'i jepte shifër të lartë. Recall-i raportohet edhe i ndarë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vetëm nga rastësia.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e shifrave matet me intervale besimi bootstrap, ku rimostrohen depot e jo mostrat, që mostrat e një projekti të mbeten bashkë. Pajtimi mes vetë rishikuesve të MLCQ-së matet mbi çdo çift rishikimesh të së njëjtës mostër, dhe jep tavanin kundrejt të cilit lexohen shifrat e detektorëve.</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w:t>
      </w:r>
    </w:p>
    <w:p>
      <w:pPr>
        <w:spacing w:line="360" w:lineRule="auto"/>
        <w:ind w:firstLine="360"/>
        <w:jc w:val="both"/>
      </w:pPr>
      <w:r>
        <w:rPr>
          <w:rFonts w:ascii="Times New Roman" w:hAnsi="Times New Roman" w:eastAsia="Times New Roman"/>
          <w:b w:val="0"/>
          <w:caps w:val="0"/>
          <w:sz w:val="24"/>
        </w:rPr>
        <w:t>Si krahasim i jashtëm, i njëjti vlerësim i zbatohet PMD-së (PMD Team, 2026), version 7.27.0, rregullat GodClass dhe DataClass të të cilit zbatojnë strategjitë e Lanza &amp; Marinescu (2006). PMD ekzekutohet me pragjet e veta të parazgjedhura, mbi të njëjtat mostra dhe me të njëjtin kod pikëzimi; një shkelje përputhet me entitetin sipas emrit të klasës dhe të metodës. PMD analizon një skedar në një kohë, ndaj ATFD-në e llogarit vetëm brenda skedarit, handikap që e favorizon këtë punim; dhe nuk ka rregull për Feature Envy.</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asnjë ndryshim nuk quhet i përfunduar pa i kaluar të gjitha:</w:t>
      </w:r>
    </w:p>
    <w:p>
      <w:pPr>
        <w:pStyle w:val="ListBullet"/>
        <w:spacing w:line="360" w:lineRule="auto"/>
        <w:jc w:val="both"/>
      </w:pPr>
      <w:r>
        <w:rPr>
          <w:rFonts w:ascii="Times New Roman" w:hAnsi="Times New Roman" w:eastAsia="Times New Roman"/>
          <w:b w:val="0"/>
          <w:caps w:val="0"/>
          <w:sz w:val="24"/>
        </w:rPr>
        <w:t>Testet e backend-it me pytest. Vlerat e pritura derivohen me dorë nga fiksturat, me derivimin në koment, dhe jo nga dalja aktuale e kodit. Çdo detektor ka një rast pozitiv, një rast që i plotëson disa kushte por jo të gjitha,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të cilat nisin të dy shërbimet dhe e përdorin aplikacionin si përdorues; një pjesë e tyre kontrollon aksesueshmërinë me axe-core.</w:t>
      </w:r>
    </w:p>
    <w:p>
      <w:pPr>
        <w:pStyle w:val="ListBullet"/>
        <w:spacing w:line="360" w:lineRule="auto"/>
        <w:jc w:val="both"/>
      </w:pPr>
      <w:r>
        <w:rPr>
          <w:rFonts w:ascii="Times New Roman" w:hAnsi="Times New Roman" w:eastAsia="Times New Roman"/>
          <w:b w:val="0"/>
          <w:caps w:val="0"/>
          <w:sz w:val="24"/>
        </w:rPr>
        <w:t>Analiza statike e kodit: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këtij dokumenti (citimet, formati dhe tabela e riprodhimit).</w:t>
      </w:r>
    </w:p>
    <w:p>
      <w:pPr>
        <w:spacing w:line="360" w:lineRule="auto"/>
        <w:ind w:firstLine="360"/>
        <w:jc w:val="both"/>
      </w:pPr>
      <w:r>
        <w:rPr>
          <w:rFonts w:ascii="Times New Roman" w:hAnsi="Times New Roman" w:eastAsia="Times New Roman"/>
          <w:b w:val="0"/>
          <w:caps w:val="0"/>
          <w:sz w:val="24"/>
        </w:rPr>
        <w:t>Rregulli kryesor i testimit është se asnjë prag, metrikë apo detektor nuk ndryshohet që të kalojë një test. Kur kodi dhe testi nuk pajtohen, gjendet më parë cili prej tyre është i gabuar. Në verifikimin e fundit, më 17 shtator 2026, kaluan 593 teste të backend-it, me mbulim 96% të kodit, dhe 147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56 minuta për 690 mijë skedarë në matjen e fundit, bëhet një herë dhe prodhon një tabelë veçorish që komitohet. Pragjet nuk hyjnë në atë kalim, ndaj analiza e ndjeshmërisë rirendit detektorët mbi rreshtat e ruajtur në sekonda. Pa këtë ndarje, një fshirje me njëzet konfigurime do të kushtonte mbi tetëmbëdhjetë orë dhe nuk do të bëhej. Radha e plotë e skripteve jepet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(P), recall-in (R), F1-in dhe MCC-në e strategjive për çdo erë, bashkë me numrin e mostrave pozitive (Tabela 2).</w:t>
      </w:r>
    </w:p>
    <w:p>
      <w:pPr>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4 nga 4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Tabela dhe figura në vijim e ndajnë recall-in sipas ashpërsisë që caktuan vetë rishikuesit (Tabela 3; Figura 3).</w:t>
      </w:r>
    </w:p>
    <w:p>
      <w:pPr>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3 nga 4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0.591</w:t>
            </w:r>
          </w:p>
        </w:tc>
        <w:tc>
          <w:tcPr>
            <w:tcW w:type="dxa" w:w="1473"/>
          </w:tcPr>
          <w:p>
            <w:pPr>
              <w:spacing w:line="240" w:lineRule="auto"/>
              <w:jc w:val="left"/>
            </w:pPr>
            <w:r>
              <w:rPr>
                <w:rFonts w:ascii="Times New Roman" w:hAnsi="Times New Roman" w:eastAsia="Times New Roman"/>
                <w:b w:val="0"/>
                <w:caps w:val="0"/>
                <w:sz w:val="22"/>
              </w:rPr>
              <w:t>0.609</w:t>
            </w:r>
          </w:p>
        </w:tc>
        <w:tc>
          <w:tcPr>
            <w:tcW w:type="dxa" w:w="1473"/>
          </w:tcPr>
          <w:p>
            <w:pPr>
              <w:spacing w:line="240" w:lineRule="auto"/>
              <w:jc w:val="left"/>
            </w:pPr>
            <w:r>
              <w:rPr>
                <w:rFonts w:ascii="Times New Roman" w:hAnsi="Times New Roman" w:eastAsia="Times New Roman"/>
                <w:b w:val="0"/>
                <w:caps w:val="0"/>
                <w:sz w:val="22"/>
              </w:rPr>
              <w:t>0.500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0.727</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0.669</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0.732</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0.756</w:t>
            </w:r>
          </w:p>
        </w:tc>
        <w:tc>
          <w:tcPr>
            <w:tcW w:type="dxa" w:w="1473"/>
          </w:tcPr>
          <w:p>
            <w:pPr>
              <w:spacing w:line="240" w:lineRule="auto"/>
              <w:jc w:val="left"/>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Figura në vijim jep veçoritë me rëndësinë më të lartë për secilën erë (Figura 4).</w:t>
      </w:r>
    </w:p>
    <w:p>
      <w:pPr>
        <w:jc w:val="center"/>
      </w:pPr>
      <w:r>
        <w:drawing>
          <wp:inline xmlns:a="http://schemas.openxmlformats.org/drawingml/2006/main" xmlns:pic="http://schemas.openxmlformats.org/drawingml/2006/picture">
            <wp:extent cx="5120640" cy="2369251"/>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Çdo entitet që modeli e shënoi u shpjegua me metodën e Nënkapitullit 4.6. Tabela jep sa prej tyre kanë një matje të vetme që e mban verdiktin, dhe cilat matje dalin më shpesh vendimtare (në kllapa, numri i rasteve) (Tabela 5).</w:t>
      </w:r>
    </w:p>
    <w:p>
      <w:pPr>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175</w:t>
            </w:r>
          </w:p>
        </w:tc>
        <w:tc>
          <w:tcPr>
            <w:tcW w:type="dxa" w:w="2209"/>
          </w:tcPr>
          <w:p>
            <w:pPr>
              <w:spacing w:line="240" w:lineRule="auto"/>
              <w:jc w:val="left"/>
            </w:pPr>
            <w:r>
              <w:rPr>
                <w:rFonts w:ascii="Times New Roman" w:hAnsi="Times New Roman" w:eastAsia="Times New Roman"/>
                <w:b w:val="0"/>
                <w:caps w:val="0"/>
                <w:sz w:val="22"/>
              </w:rPr>
              <w:t>69.1%</w:t>
            </w:r>
          </w:p>
        </w:tc>
        <w:tc>
          <w:tcPr>
            <w:tcW w:type="dxa" w:w="2209"/>
          </w:tcPr>
          <w:p>
            <w:pPr>
              <w:spacing w:line="240" w:lineRule="auto"/>
              <w:jc w:val="left"/>
            </w:pPr>
            <w:r>
              <w:rPr>
                <w:rFonts w:ascii="Times New Roman" w:hAnsi="Times New Roman" w:eastAsia="Times New Roman"/>
                <w:b w:val="0"/>
                <w:caps w:val="0"/>
                <w:sz w:val="22"/>
              </w:rPr>
              <w:t>c_CLOC (48), c_WOC (21), c_CBO (20)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66</w:t>
            </w:r>
          </w:p>
        </w:tc>
        <w:tc>
          <w:tcPr>
            <w:tcW w:type="dxa" w:w="2209"/>
          </w:tcPr>
          <w:p>
            <w:pPr>
              <w:spacing w:line="240" w:lineRule="auto"/>
              <w:jc w:val="left"/>
            </w:pPr>
            <w:r>
              <w:rPr>
                <w:rFonts w:ascii="Times New Roman" w:hAnsi="Times New Roman" w:eastAsia="Times New Roman"/>
                <w:b w:val="0"/>
                <w:caps w:val="0"/>
                <w:sz w:val="22"/>
              </w:rPr>
              <w:t>89.4%</w:t>
            </w:r>
          </w:p>
        </w:tc>
        <w:tc>
          <w:tcPr>
            <w:tcW w:type="dxa" w:w="2209"/>
          </w:tcPr>
          <w:p>
            <w:pPr>
              <w:spacing w:line="240" w:lineRule="auto"/>
              <w:jc w:val="left"/>
            </w:pPr>
            <w:r>
              <w:rPr>
                <w:rFonts w:ascii="Times New Roman" w:hAnsi="Times New Roman" w:eastAsia="Times New Roman"/>
                <w:b w:val="0"/>
                <w:caps w:val="0"/>
                <w:sz w:val="22"/>
              </w:rPr>
              <w:t>m_MLOC (53), m_NOAV (5), m_MAXNESTING (1)</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96.1%</w:t>
            </w:r>
          </w:p>
        </w:tc>
        <w:tc>
          <w:tcPr>
            <w:tcW w:type="dxa" w:w="2209"/>
          </w:tcPr>
          <w:p>
            <w:pPr>
              <w:spacing w:line="240" w:lineRule="auto"/>
              <w:jc w:val="left"/>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69.1% deri në 96.1%.</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4 nga 4 erërat. Tabela në vijim jep pajtimin mes tyre: koeficientin kappa dhe numrin e mostrave që shënon secila qasje, vetëm ose bashkë me tjetrën (Figura 5; Tabela 6; Figura 6).</w:t>
      </w:r>
    </w:p>
    <w:p>
      <w:pPr>
        <w:spacing w:line="240" w:lineRule="auto"/>
        <w:jc w:val="center"/>
      </w:pPr>
      <w:r>
        <w:rPr>
          <w:rFonts w:ascii="Times New Roman" w:hAnsi="Times New Roman" w:eastAsia="Times New Roman"/>
          <w:b w:val="0"/>
          <w:caps w:val="0"/>
          <w:sz w:val="22"/>
        </w:rPr>
        <w:t>Tabela 6.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0.225</w:t>
            </w:r>
          </w:p>
        </w:tc>
        <w:tc>
          <w:tcPr>
            <w:tcW w:type="dxa" w:w="1473"/>
          </w:tcPr>
          <w:p>
            <w:pPr>
              <w:spacing w:line="240" w:lineRule="auto"/>
              <w:jc w:val="left"/>
            </w:pPr>
            <w:r>
              <w:rPr>
                <w:rFonts w:ascii="Times New Roman" w:hAnsi="Times New Roman" w:eastAsia="Times New Roman"/>
                <w:b w:val="0"/>
                <w:caps w:val="0"/>
                <w:sz w:val="22"/>
              </w:rPr>
              <w:t>30</w:t>
            </w:r>
          </w:p>
        </w:tc>
        <w:tc>
          <w:tcPr>
            <w:tcW w:type="dxa" w:w="1473"/>
          </w:tcPr>
          <w:p>
            <w:pPr>
              <w:spacing w:line="240" w:lineRule="auto"/>
              <w:jc w:val="left"/>
            </w:pPr>
            <w:r>
              <w:rPr>
                <w:rFonts w:ascii="Times New Roman" w:hAnsi="Times New Roman" w:eastAsia="Times New Roman"/>
                <w:b w:val="0"/>
                <w:caps w:val="0"/>
                <w:sz w:val="22"/>
              </w:rPr>
              <w:t>7</w:t>
            </w:r>
          </w:p>
        </w:tc>
        <w:tc>
          <w:tcPr>
            <w:tcW w:type="dxa" w:w="1473"/>
          </w:tcPr>
          <w:p>
            <w:pPr>
              <w:spacing w:line="240" w:lineRule="auto"/>
              <w:jc w:val="left"/>
            </w:pPr>
            <w:r>
              <w:rPr>
                <w:rFonts w:ascii="Times New Roman" w:hAnsi="Times New Roman" w:eastAsia="Times New Roman"/>
                <w:b w:val="0"/>
                <w:caps w:val="0"/>
                <w:sz w:val="22"/>
              </w:rPr>
              <w:t>145</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0.230</w:t>
            </w:r>
          </w:p>
        </w:tc>
        <w:tc>
          <w:tcPr>
            <w:tcW w:type="dxa" w:w="1473"/>
          </w:tcPr>
          <w:p>
            <w:pPr>
              <w:spacing w:line="240" w:lineRule="auto"/>
              <w:jc w:val="left"/>
            </w:pPr>
            <w:r>
              <w:rPr>
                <w:rFonts w:ascii="Times New Roman" w:hAnsi="Times New Roman" w:eastAsia="Times New Roman"/>
                <w:b w:val="0"/>
                <w:caps w:val="0"/>
                <w:sz w:val="22"/>
              </w:rPr>
              <w:t>12</w:t>
            </w:r>
          </w:p>
        </w:tc>
        <w:tc>
          <w:tcPr>
            <w:tcW w:type="dxa" w:w="1473"/>
          </w:tcPr>
          <w:p>
            <w:pPr>
              <w:spacing w:line="240" w:lineRule="auto"/>
              <w:jc w:val="left"/>
            </w:pPr>
            <w:r>
              <w:rPr>
                <w:rFonts w:ascii="Times New Roman" w:hAnsi="Times New Roman" w:eastAsia="Times New Roman"/>
                <w:b w:val="0"/>
                <w:caps w:val="0"/>
                <w:sz w:val="22"/>
              </w:rPr>
              <w:t>13</w:t>
            </w:r>
          </w:p>
        </w:tc>
        <w:tc>
          <w:tcPr>
            <w:tcW w:type="dxa" w:w="1473"/>
          </w:tcPr>
          <w:p>
            <w:pPr>
              <w:spacing w:line="240" w:lineRule="auto"/>
              <w:jc w:val="left"/>
            </w:pPr>
            <w:r>
              <w:rPr>
                <w:rFonts w:ascii="Times New Roman" w:hAnsi="Times New Roman" w:eastAsia="Times New Roman"/>
                <w:b w:val="0"/>
                <w:caps w:val="0"/>
                <w:sz w:val="22"/>
              </w:rPr>
              <w:t>54</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Numri i mostrave që shënon vetëm A, kundrejt atyre që shënon vetëm B, është: Blob 4 me 329; Data Class 7 me 145; Feature Envy 13 me 54; Long Method 4 me 126. Raporti më i afërt mes të dyjave është te Feature Envy.</w:t>
      </w:r>
    </w:p>
    <w:p>
      <w:pPr>
        <w:spacing w:line="360" w:lineRule="auto"/>
        <w:ind w:firstLine="360"/>
        <w:jc w:val="both"/>
      </w:pPr>
      <w:r>
        <w:rPr>
          <w:rFonts w:ascii="Times New Roman" w:hAnsi="Times New Roman" w:eastAsia="Times New Roman"/>
          <w:b w:val="0"/>
          <w:caps w:val="0"/>
          <w:sz w:val="24"/>
        </w:rPr>
        <w:t>Tabela në vijim jep MCC-në e modelit, të bashkimit (A∪B) dhe të prerjes (A∩B) të dy qasjeve, bashkë me recall-in e bashkimit dhe precizionin e prerjes (Tabela 7).</w:t>
      </w:r>
    </w:p>
    <w:p>
      <w:pPr>
        <w:spacing w:line="240" w:lineRule="auto"/>
        <w:jc w:val="center"/>
      </w:pPr>
      <w:r>
        <w:rPr>
          <w:rFonts w:ascii="Times New Roman" w:hAnsi="Times New Roman" w:eastAsia="Times New Roman"/>
          <w:b w:val="0"/>
          <w:caps w:val="0"/>
          <w:sz w:val="22"/>
        </w:rPr>
        <w:t>Tabela 7.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0.500</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0.613</w:t>
            </w:r>
          </w:p>
        </w:tc>
        <w:tc>
          <w:tcPr>
            <w:tcW w:type="dxa" w:w="1473"/>
          </w:tcPr>
          <w:p>
            <w:pPr>
              <w:spacing w:line="240" w:lineRule="auto"/>
              <w:jc w:val="left"/>
            </w:pPr>
            <w:r>
              <w:rPr>
                <w:rFonts w:ascii="Times New Roman" w:hAnsi="Times New Roman" w:eastAsia="Times New Roman"/>
                <w:b w:val="0"/>
                <w:caps w:val="0"/>
                <w:sz w:val="22"/>
              </w:rPr>
              <w:t>0.800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0.669</w:t>
            </w:r>
          </w:p>
        </w:tc>
        <w:tc>
          <w:tcPr>
            <w:tcW w:type="dxa" w:w="1473"/>
          </w:tcPr>
          <w:p>
            <w:pPr>
              <w:spacing w:line="240" w:lineRule="auto"/>
              <w:jc w:val="left"/>
            </w:pPr>
            <w:r>
              <w:rPr>
                <w:rFonts w:ascii="Times New Roman" w:hAnsi="Times New Roman" w:eastAsia="Times New Roman"/>
                <w:b w:val="0"/>
                <w:caps w:val="0"/>
                <w:sz w:val="22"/>
              </w:rPr>
              <w:t>0.644</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0.708</w:t>
            </w:r>
          </w:p>
        </w:tc>
        <w:tc>
          <w:tcPr>
            <w:tcW w:type="dxa" w:w="1473"/>
          </w:tcPr>
          <w:p>
            <w:pPr>
              <w:spacing w:line="240" w:lineRule="auto"/>
              <w:jc w:val="left"/>
            </w:pPr>
            <w:r>
              <w:rPr>
                <w:rFonts w:ascii="Times New Roman" w:hAnsi="Times New Roman" w:eastAsia="Times New Roman"/>
                <w:b w:val="0"/>
                <w:caps w:val="0"/>
                <w:sz w:val="22"/>
              </w:rPr>
              <w:t>0.833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0.713</w:t>
            </w:r>
          </w:p>
        </w:tc>
        <w:tc>
          <w:tcPr>
            <w:tcW w:type="dxa" w:w="1473"/>
          </w:tcPr>
          <w:p>
            <w:pPr>
              <w:spacing w:line="240" w:lineRule="auto"/>
              <w:jc w:val="left"/>
            </w:pPr>
            <w:r>
              <w:rPr>
                <w:rFonts w:ascii="Times New Roman" w:hAnsi="Times New Roman" w:eastAsia="Times New Roman"/>
                <w:b w:val="0"/>
                <w:caps w:val="0"/>
                <w:sz w:val="22"/>
              </w:rPr>
              <w:t>0.706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3 nga 4 erërat; MCC-ja rritet te Blob (0.488 → 0.494) dhe Data Class (0.500 → 0.510), dhe bie te Feature Envy (0.669 → 0.644) dhe Long Method (0.713 → 0.706).</w:t>
      </w:r>
    </w:p>
    <w:p>
      <w:pPr>
        <w:spacing w:line="360" w:lineRule="auto"/>
        <w:ind w:firstLine="360"/>
        <w:jc w:val="both"/>
      </w:pPr>
      <w:r>
        <w:rPr>
          <w:rFonts w:ascii="Times New Roman" w:hAnsi="Times New Roman" w:eastAsia="Times New Roman"/>
          <w:b w:val="0"/>
          <w:caps w:val="0"/>
          <w:sz w:val="24"/>
        </w:rPr>
        <w:t>Te prerja, precizioni është të paktën 0.80 te çdo erë dhe arrin 0.905 te Long Method, ndërsa recall-i dhe MCC-ja janë nën ato të modelit te 4 nga 4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8).</w:t>
      </w:r>
    </w:p>
    <w:p>
      <w:pPr>
        <w:spacing w:line="240" w:lineRule="auto"/>
        <w:jc w:val="center"/>
      </w:pPr>
      <w:r>
        <w:rPr>
          <w:rFonts w:ascii="Times New Roman" w:hAnsi="Times New Roman" w:eastAsia="Times New Roman"/>
          <w:b w:val="0"/>
          <w:caps w:val="0"/>
          <w:sz w:val="22"/>
        </w:rPr>
        <w:t>Tabela 8.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17833</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3633</w:t>
            </w:r>
          </w:p>
        </w:tc>
        <w:tc>
          <w:tcPr>
            <w:tcW w:type="dxa" w:w="2946"/>
          </w:tcPr>
          <w:p>
            <w:pPr>
              <w:spacing w:line="240" w:lineRule="auto"/>
              <w:jc w:val="left"/>
            </w:pPr>
            <w:r>
              <w:rPr>
                <w:rFonts w:ascii="Times New Roman" w:hAnsi="Times New Roman" w:eastAsia="Times New Roman"/>
                <w:b w:val="0"/>
                <w:caps w:val="0"/>
                <w:sz w:val="22"/>
              </w:rPr>
              <w:t>20.4%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14183</w:t>
            </w:r>
          </w:p>
        </w:tc>
        <w:tc>
          <w:tcPr>
            <w:tcW w:type="dxa" w:w="2946"/>
          </w:tcPr>
          <w:p>
            <w:pPr>
              <w:spacing w:line="240" w:lineRule="auto"/>
              <w:jc w:val="left"/>
            </w:pPr>
            <w:r>
              <w:rPr>
                <w:rFonts w:ascii="Times New Roman" w:hAnsi="Times New Roman" w:eastAsia="Times New Roman"/>
                <w:b w:val="0"/>
                <w:caps w:val="0"/>
                <w:sz w:val="22"/>
              </w:rPr>
              <w:t>79.5%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17</w:t>
            </w:r>
          </w:p>
        </w:tc>
        <w:tc>
          <w:tcPr>
            <w:tcW w:type="dxa" w:w="2946"/>
          </w:tcPr>
          <w:p>
            <w:pPr>
              <w:spacing w:line="240" w:lineRule="auto"/>
              <w:jc w:val="left"/>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ExtractMethod 3367 (92.7%), IntroduceParameterObject 155 (4.3%), ReplaceNestedConditionalWithGuardClauses 111 (3.1%).</w:t>
      </w:r>
    </w:p>
    <w:p>
      <w:pPr>
        <w:spacing w:line="360" w:lineRule="auto"/>
        <w:ind w:firstLine="360"/>
        <w:jc w:val="both"/>
      </w:pPr>
      <w:r>
        <w:rPr>
          <w:rFonts w:ascii="Times New Roman" w:hAnsi="Times New Roman" w:eastAsia="Times New Roman"/>
          <w:b w:val="0"/>
          <w:caps w:val="0"/>
          <w:sz w:val="24"/>
        </w:rPr>
        <w:t>Dy tabelat në vijim japin arsyet e refuzimit dhe verdiktin e verifikimit për rishkrimet e aplikuara. Kuptimi i secilës arsye jepet te Shtojca 8.4 (Tabela 9; Tabela 10).</w:t>
      </w:r>
    </w:p>
    <w:p>
      <w:pPr>
        <w:spacing w:line="240" w:lineRule="auto"/>
        <w:jc w:val="center"/>
      </w:pPr>
      <w:r>
        <w:rPr>
          <w:rFonts w:ascii="Times New Roman" w:hAnsi="Times New Roman" w:eastAsia="Times New Roman"/>
          <w:b w:val="0"/>
          <w:caps w:val="0"/>
          <w:sz w:val="22"/>
        </w:rPr>
        <w:t>Tabela 9.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8935</w:t>
            </w:r>
          </w:p>
        </w:tc>
        <w:tc>
          <w:tcPr>
            <w:tcW w:type="dxa" w:w="2946"/>
          </w:tcPr>
          <w:p>
            <w:pPr>
              <w:spacing w:line="240" w:lineRule="auto"/>
              <w:jc w:val="left"/>
            </w:pPr>
            <w:r>
              <w:rPr>
                <w:rFonts w:ascii="Times New Roman" w:hAnsi="Times New Roman" w:eastAsia="Times New Roman"/>
                <w:b w:val="0"/>
                <w:caps w:val="0"/>
                <w:sz w:val="22"/>
              </w:rPr>
              <w:t>50.1%</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4185</w:t>
            </w:r>
          </w:p>
        </w:tc>
        <w:tc>
          <w:tcPr>
            <w:tcW w:type="dxa" w:w="2946"/>
          </w:tcPr>
          <w:p>
            <w:pPr>
              <w:spacing w:line="240" w:lineRule="auto"/>
              <w:jc w:val="left"/>
            </w:pPr>
            <w:r>
              <w:rPr>
                <w:rFonts w:ascii="Times New Roman" w:hAnsi="Times New Roman" w:eastAsia="Times New Roman"/>
                <w:b w:val="0"/>
                <w:caps w:val="0"/>
                <w:sz w:val="22"/>
              </w:rPr>
              <w:t>23.5%</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628</w:t>
            </w:r>
          </w:p>
        </w:tc>
        <w:tc>
          <w:tcPr>
            <w:tcW w:type="dxa" w:w="2946"/>
          </w:tcPr>
          <w:p>
            <w:pPr>
              <w:spacing w:line="240" w:lineRule="auto"/>
              <w:jc w:val="left"/>
            </w:pPr>
            <w:r>
              <w:rPr>
                <w:rFonts w:ascii="Times New Roman" w:hAnsi="Times New Roman" w:eastAsia="Times New Roman"/>
                <w:b w:val="0"/>
                <w:caps w:val="0"/>
                <w:sz w:val="22"/>
              </w:rPr>
              <w:t>3.5%</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368</w:t>
            </w:r>
          </w:p>
        </w:tc>
        <w:tc>
          <w:tcPr>
            <w:tcW w:type="dxa" w:w="2946"/>
          </w:tcPr>
          <w:p>
            <w:pPr>
              <w:spacing w:line="240" w:lineRule="auto"/>
              <w:jc w:val="left"/>
            </w:pPr>
            <w:r>
              <w:rPr>
                <w:rFonts w:ascii="Times New Roman" w:hAnsi="Times New Roman" w:eastAsia="Times New Roman"/>
                <w:b w:val="0"/>
                <w:caps w:val="0"/>
                <w:sz w:val="22"/>
              </w:rPr>
              <w:t>2.1%</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10.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3558</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13</w:t>
            </w:r>
          </w:p>
        </w:tc>
        <w:tc>
          <w:tcPr>
            <w:tcW w:type="dxa" w:w="2946"/>
          </w:tcPr>
          <w:p>
            <w:pPr>
              <w:spacing w:line="240" w:lineRule="auto"/>
              <w:jc w:val="left"/>
            </w:pPr>
            <w:r>
              <w:rPr>
                <w:rFonts w:ascii="Times New Roman" w:hAnsi="Times New Roman" w:eastAsia="Times New Roman"/>
                <w:b w:val="0"/>
                <w:caps w:val="0"/>
                <w:sz w:val="22"/>
              </w:rPr>
              <w:t>0.4%</w:t>
            </w:r>
          </w:p>
        </w:tc>
      </w:tr>
      <w:tr>
        <w:tc>
          <w:tcPr>
            <w:tcW w:type="dxa" w:w="2946"/>
          </w:tcPr>
          <w:p>
            <w:pPr>
              <w:spacing w:line="240" w:lineRule="auto"/>
              <w:jc w:val="left"/>
            </w:pPr>
            <w:r>
              <w:rPr>
                <w:rFonts w:ascii="Times New Roman" w:hAnsi="Times New Roman" w:eastAsia="Times New Roman"/>
                <w:b w:val="0"/>
                <w:caps w:val="0"/>
                <w:sz w:val="22"/>
              </w:rPr>
              <w:t>parses</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11).</w:t>
      </w:r>
    </w:p>
    <w:p>
      <w:pPr>
        <w:spacing w:line="240" w:lineRule="auto"/>
        <w:jc w:val="center"/>
      </w:pPr>
      <w:r>
        <w:rPr>
          <w:rFonts w:ascii="Times New Roman" w:hAnsi="Times New Roman" w:eastAsia="Times New Roman"/>
          <w:b w:val="0"/>
          <w:caps w:val="0"/>
          <w:sz w:val="22"/>
        </w:rPr>
        <w:t>Tabela 11.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2341</w:t>
            </w:r>
          </w:p>
        </w:tc>
        <w:tc>
          <w:tcPr>
            <w:tcW w:type="dxa" w:w="2946"/>
          </w:tcPr>
          <w:p>
            <w:pPr>
              <w:spacing w:line="240" w:lineRule="auto"/>
              <w:jc w:val="left"/>
            </w:pPr>
            <w:r>
              <w:rPr>
                <w:rFonts w:ascii="Times New Roman" w:hAnsi="Times New Roman" w:eastAsia="Times New Roman"/>
                <w:b w:val="0"/>
                <w:caps w:val="0"/>
                <w:sz w:val="22"/>
              </w:rPr>
              <w:t>64.4%</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825</w:t>
            </w:r>
          </w:p>
        </w:tc>
        <w:tc>
          <w:tcPr>
            <w:tcW w:type="dxa" w:w="2946"/>
          </w:tcPr>
          <w:p>
            <w:pPr>
              <w:spacing w:line="240" w:lineRule="auto"/>
              <w:jc w:val="left"/>
            </w:pPr>
            <w:r>
              <w:rPr>
                <w:rFonts w:ascii="Times New Roman" w:hAnsi="Times New Roman" w:eastAsia="Times New Roman"/>
                <w:b w:val="0"/>
                <w:caps w:val="0"/>
                <w:sz w:val="22"/>
              </w:rPr>
              <w:t>22.7%</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467</w:t>
            </w:r>
          </w:p>
        </w:tc>
        <w:tc>
          <w:tcPr>
            <w:tcW w:type="dxa" w:w="2946"/>
          </w:tcPr>
          <w:p>
            <w:pPr>
              <w:spacing w:line="240" w:lineRule="auto"/>
              <w:jc w:val="left"/>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u hoq në 64.4% të rishkrimeve dhe mbeti në 22.7% prej tyre.</w:t>
      </w:r>
    </w:p>
    <w:p>
      <w:pPr>
        <w:spacing w:line="360" w:lineRule="auto"/>
        <w:ind w:firstLine="360"/>
        <w:jc w:val="both"/>
      </w:pPr>
      <w:r>
        <w:rPr>
          <w:rFonts w:ascii="Times New Roman" w:hAnsi="Times New Roman" w:eastAsia="Times New Roman"/>
          <w:b w:val="0"/>
          <w:caps w:val="0"/>
          <w:sz w:val="24"/>
        </w:rPr>
        <w:t>Tabela tjetër jep mesoren e metrikës mbi të cilën ndez detektori, para dhe pas rishkrimit, mbi vendet e aplikuara (Tabela 12).</w:t>
      </w:r>
    </w:p>
    <w:p>
      <w:pPr>
        <w:spacing w:line="240" w:lineRule="auto"/>
        <w:jc w:val="center"/>
      </w:pPr>
      <w:r>
        <w:rPr>
          <w:rFonts w:ascii="Times New Roman" w:hAnsi="Times New Roman" w:eastAsia="Times New Roman"/>
          <w:b w:val="0"/>
          <w:caps w:val="0"/>
          <w:sz w:val="22"/>
        </w:rPr>
        <w:t>Tabela 12.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819</w:t>
            </w:r>
          </w:p>
        </w:tc>
      </w:tr>
      <w:tr>
        <w:tc>
          <w:tcPr>
            <w:tcW w:type="dxa" w:w="2209"/>
          </w:tcPr>
          <w:p>
            <w:pPr>
              <w:spacing w:line="240" w:lineRule="auto"/>
              <w:jc w:val="left"/>
            </w:pPr>
            <w:r>
              <w:rPr>
                <w:rFonts w:ascii="Times New Roman" w:hAnsi="Times New Roman" w:eastAsia="Times New Roman"/>
                <w:b w:val="0"/>
                <w:caps w:val="0"/>
                <w:sz w:val="22"/>
              </w:rPr>
              <w:t>DeepNesting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100</w:t>
            </w:r>
          </w:p>
        </w:tc>
      </w:tr>
      <w:tr>
        <w:tc>
          <w:tcPr>
            <w:tcW w:type="dxa" w:w="2209"/>
          </w:tcPr>
          <w:p>
            <w:pPr>
              <w:spacing w:line="240" w:lineRule="auto"/>
              <w:jc w:val="left"/>
            </w:pPr>
            <w:r>
              <w:rPr>
                <w:rFonts w:ascii="Times New Roman" w:hAnsi="Times New Roman" w:eastAsia="Times New Roman"/>
                <w:b w:val="0"/>
                <w:caps w:val="0"/>
                <w:sz w:val="22"/>
              </w:rPr>
              <w:t>LongMethod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LongParameterList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937 erëra që nuk ishin aty më parë: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Mbi mostrën e mbjellë të Nënkapitullit 4.7, prej 60 skedarësh dhe 405 rishkrimesh, i njëjti rishkrim u kompilua i vetëm dhe brenda projektit të vet (Tabela 13).</w:t>
      </w:r>
    </w:p>
    <w:p>
      <w:pPr>
        <w:spacing w:line="240" w:lineRule="auto"/>
        <w:jc w:val="center"/>
      </w:pPr>
      <w:r>
        <w:rPr>
          <w:rFonts w:ascii="Times New Roman" w:hAnsi="Times New Roman" w:eastAsia="Times New Roman"/>
          <w:b w:val="0"/>
          <w:caps w:val="0"/>
          <w:sz w:val="22"/>
        </w:rPr>
        <w:t>Tabela 13.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w:t>
            </w:r>
          </w:p>
        </w:tc>
        <w:tc>
          <w:tcPr>
            <w:tcW w:type="dxa" w:w="2946"/>
          </w:tcPr>
          <w:p>
            <w:pPr>
              <w:spacing w:line="240" w:lineRule="auto"/>
              <w:jc w:val="left"/>
            </w:pPr>
            <w:r>
              <w:rPr>
                <w:rFonts w:ascii="Times New Roman" w:hAnsi="Times New Roman" w:eastAsia="Times New Roman"/>
                <w:b w:val="0"/>
                <w:caps w:val="0"/>
                <w:sz w:val="22"/>
              </w:rPr>
              <w:t>46</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404</w:t>
            </w:r>
          </w:p>
        </w:tc>
        <w:tc>
          <w:tcPr>
            <w:tcW w:type="dxa" w:w="2946"/>
          </w:tcPr>
          <w:p>
            <w:pPr>
              <w:spacing w:line="240" w:lineRule="auto"/>
              <w:jc w:val="left"/>
            </w:pPr>
            <w:r>
              <w:rPr>
                <w:rFonts w:ascii="Times New Roman" w:hAnsi="Times New Roman" w:eastAsia="Times New Roman"/>
                <w:b w:val="0"/>
                <w:caps w:val="0"/>
                <w:sz w:val="22"/>
              </w:rPr>
              <w:t>351</w:t>
            </w:r>
          </w:p>
        </w:tc>
      </w:tr>
      <w:tr>
        <w:tc>
          <w:tcPr>
            <w:tcW w:type="dxa" w:w="2946"/>
          </w:tcPr>
          <w:p>
            <w:pPr>
              <w:spacing w:line="240" w:lineRule="auto"/>
              <w:jc w:val="left"/>
            </w:pPr>
            <w:r>
              <w:rPr>
                <w:rFonts w:ascii="Times New Roman" w:hAnsi="Times New Roman" w:eastAsia="Times New Roman"/>
                <w:b w:val="0"/>
                <w:caps w:val="0"/>
                <w:sz w:val="22"/>
              </w:rPr>
              <w:t>not checked</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1 te 46 nga 405 rishkrime, pra nga 0.2% në 11.4%.</w:t>
      </w:r>
    </w:p>
    <w:p>
      <w:pPr>
        <w:spacing w:line="360" w:lineRule="auto"/>
        <w:ind w:firstLine="360"/>
        <w:jc w:val="both"/>
      </w:pPr>
      <w:r>
        <w:rPr>
          <w:rFonts w:ascii="Times New Roman" w:hAnsi="Times New Roman" w:eastAsia="Times New Roman"/>
          <w:b w:val="0"/>
          <w:caps w:val="0"/>
          <w:sz w:val="24"/>
        </w:rPr>
        <w:t>Një rishkrim nga 405 nuk shtonte lloj të ri gabimi i izoluar, por shton brenda projektit të vet. Rasti është një Extract Method mbi AlertSummaryRenderer.finalizeResult(Result) te «AlertSummaryRenderer.java» e projektit Ambari, dhe të tria gabimet që shton janë paketa të palëve të treta që mungojnë në korpus. 7 kompilime e kaluan kufirin kohor dhe numërohen si të pakontrolluara, kurrë si sukses. Matja zgjati rreth 4 orë.</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20.4%. Tabela në vijim e ndan sipas erës dhe sipas ashpërsisë që i cakton vetë sistemi vendit (Tabela 14).</w:t>
      </w:r>
    </w:p>
    <w:p>
      <w:pPr>
        <w:spacing w:line="240" w:lineRule="auto"/>
        <w:jc w:val="center"/>
      </w:pPr>
      <w:r>
        <w:rPr>
          <w:rFonts w:ascii="Times New Roman" w:hAnsi="Times New Roman" w:eastAsia="Times New Roman"/>
          <w:b w:val="0"/>
          <w:caps w:val="0"/>
          <w:sz w:val="22"/>
        </w:rPr>
        <w:t>Tabela 14.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1520</w:t>
            </w:r>
          </w:p>
        </w:tc>
        <w:tc>
          <w:tcPr>
            <w:tcW w:type="dxa" w:w="1768"/>
          </w:tcPr>
          <w:p>
            <w:pPr>
              <w:spacing w:line="240" w:lineRule="auto"/>
              <w:jc w:val="left"/>
            </w:pPr>
            <w:r>
              <w:rPr>
                <w:rFonts w:ascii="Times New Roman" w:hAnsi="Times New Roman" w:eastAsia="Times New Roman"/>
                <w:b w:val="0"/>
                <w:caps w:val="0"/>
                <w:sz w:val="22"/>
              </w:rPr>
              <w:t>381</w:t>
            </w:r>
          </w:p>
        </w:tc>
        <w:tc>
          <w:tcPr>
            <w:tcW w:type="dxa" w:w="1768"/>
          </w:tcPr>
          <w:p>
            <w:pPr>
              <w:spacing w:line="240" w:lineRule="auto"/>
              <w:jc w:val="left"/>
            </w:pPr>
            <w:r>
              <w:rPr>
                <w:rFonts w:ascii="Times New Roman" w:hAnsi="Times New Roman" w:eastAsia="Times New Roman"/>
                <w:b w:val="0"/>
                <w:caps w:val="0"/>
                <w:sz w:val="22"/>
              </w:rPr>
              <w:t>25.1%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1539</w:t>
            </w:r>
          </w:p>
        </w:tc>
        <w:tc>
          <w:tcPr>
            <w:tcW w:type="dxa" w:w="1768"/>
          </w:tcPr>
          <w:p>
            <w:pPr>
              <w:spacing w:line="240" w:lineRule="auto"/>
              <w:jc w:val="left"/>
            </w:pPr>
            <w:r>
              <w:rPr>
                <w:rFonts w:ascii="Times New Roman" w:hAnsi="Times New Roman" w:eastAsia="Times New Roman"/>
                <w:b w:val="0"/>
                <w:caps w:val="0"/>
                <w:sz w:val="22"/>
              </w:rPr>
              <w:t>525</w:t>
            </w:r>
          </w:p>
        </w:tc>
        <w:tc>
          <w:tcPr>
            <w:tcW w:type="dxa" w:w="1768"/>
          </w:tcPr>
          <w:p>
            <w:pPr>
              <w:spacing w:line="240" w:lineRule="auto"/>
              <w:jc w:val="left"/>
            </w:pPr>
            <w:r>
              <w:rPr>
                <w:rFonts w:ascii="Times New Roman" w:hAnsi="Times New Roman" w:eastAsia="Times New Roman"/>
                <w:b w:val="0"/>
                <w:caps w:val="0"/>
                <w:sz w:val="22"/>
              </w:rPr>
              <w:t>34.1%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276</w:t>
            </w:r>
          </w:p>
        </w:tc>
        <w:tc>
          <w:tcPr>
            <w:tcW w:type="dxa" w:w="1768"/>
          </w:tcPr>
          <w:p>
            <w:pPr>
              <w:spacing w:line="240" w:lineRule="auto"/>
              <w:jc w:val="left"/>
            </w:pPr>
            <w:r>
              <w:rPr>
                <w:rFonts w:ascii="Times New Roman" w:hAnsi="Times New Roman" w:eastAsia="Times New Roman"/>
                <w:b w:val="0"/>
                <w:caps w:val="0"/>
                <w:sz w:val="22"/>
              </w:rPr>
              <w:t>63</w:t>
            </w:r>
          </w:p>
        </w:tc>
        <w:tc>
          <w:tcPr>
            <w:tcW w:type="dxa" w:w="1768"/>
          </w:tcPr>
          <w:p>
            <w:pPr>
              <w:spacing w:line="240" w:lineRule="auto"/>
              <w:jc w:val="left"/>
            </w:pPr>
            <w:r>
              <w:rPr>
                <w:rFonts w:ascii="Times New Roman" w:hAnsi="Times New Roman" w:eastAsia="Times New Roman"/>
                <w:b w:val="0"/>
                <w:caps w:val="0"/>
                <w:sz w:val="22"/>
              </w:rPr>
              <w:t>22.8%</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416</w:t>
            </w:r>
          </w:p>
        </w:tc>
        <w:tc>
          <w:tcPr>
            <w:tcW w:type="dxa" w:w="1768"/>
          </w:tcPr>
          <w:p>
            <w:pPr>
              <w:spacing w:line="240" w:lineRule="auto"/>
              <w:jc w:val="left"/>
            </w:pPr>
            <w:r>
              <w:rPr>
                <w:rFonts w:ascii="Times New Roman" w:hAnsi="Times New Roman" w:eastAsia="Times New Roman"/>
                <w:b w:val="0"/>
                <w:caps w:val="0"/>
                <w:sz w:val="22"/>
              </w:rPr>
              <w:t>4</w:t>
            </w:r>
          </w:p>
        </w:tc>
        <w:tc>
          <w:tcPr>
            <w:tcW w:type="dxa" w:w="1768"/>
          </w:tcPr>
          <w:p>
            <w:pPr>
              <w:spacing w:line="240" w:lineRule="auto"/>
              <w:jc w:val="left"/>
            </w:pPr>
            <w:r>
              <w:rPr>
                <w:rFonts w:ascii="Times New Roman" w:hAnsi="Times New Roman" w:eastAsia="Times New Roman"/>
                <w:b w:val="0"/>
                <w:caps w:val="0"/>
                <w:sz w:val="22"/>
              </w:rPr>
              <w:t>1.0%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2054</w:t>
            </w:r>
          </w:p>
        </w:tc>
        <w:tc>
          <w:tcPr>
            <w:tcW w:type="dxa" w:w="1768"/>
          </w:tcPr>
          <w:p>
            <w:pPr>
              <w:spacing w:line="240" w:lineRule="auto"/>
              <w:jc w:val="left"/>
            </w:pPr>
            <w:r>
              <w:rPr>
                <w:rFonts w:ascii="Times New Roman" w:hAnsi="Times New Roman" w:eastAsia="Times New Roman"/>
                <w:b w:val="0"/>
                <w:caps w:val="0"/>
                <w:sz w:val="22"/>
              </w:rPr>
              <w:t>42</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3019</w:t>
            </w:r>
          </w:p>
        </w:tc>
        <w:tc>
          <w:tcPr>
            <w:tcW w:type="dxa" w:w="1768"/>
          </w:tcPr>
          <w:p>
            <w:pPr>
              <w:spacing w:line="240" w:lineRule="auto"/>
              <w:jc w:val="left"/>
            </w:pPr>
            <w:r>
              <w:rPr>
                <w:rFonts w:ascii="Times New Roman" w:hAnsi="Times New Roman" w:eastAsia="Times New Roman"/>
                <w:b w:val="0"/>
                <w:caps w:val="0"/>
                <w:sz w:val="22"/>
              </w:rPr>
              <w:t>65</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3 nga 4 erërat, dhe te BrainMethod dhe LongMethod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23.2% kundrejt 19.7% të niveleve të tjera, renditje e kundërt me atë të erërave veç e veç (paradoksi i Simpson-it): BrainMethod ka normë 29.1% dhe 45.6% vende kritike, ndërsa LongParameterList ka 8.4% dhe 4.9%. Prandaj tabela nuk bashkohet.</w:t>
      </w:r>
    </w:p>
    <w:p>
      <w:pPr>
        <w:spacing w:line="360" w:lineRule="auto"/>
        <w:ind w:firstLine="360"/>
        <w:jc w:val="both"/>
      </w:pPr>
      <w:r>
        <w:rPr>
          <w:rFonts w:ascii="Times New Roman" w:hAnsi="Times New Roman" w:eastAsia="Times New Roman"/>
          <w:b w:val="0"/>
          <w:caps w:val="0"/>
          <w:sz w:val="24"/>
        </w:rPr>
        <w:t>Tabela tjetër jep përbërjen e arsyeve të refuzimit brenda çdo niveli ashpërsie (Tabela 15).</w:t>
      </w:r>
    </w:p>
    <w:p>
      <w:pPr>
        <w:spacing w:line="240" w:lineRule="auto"/>
        <w:jc w:val="center"/>
      </w:pPr>
      <w:r>
        <w:rPr>
          <w:rFonts w:ascii="Times New Roman" w:hAnsi="Times New Roman" w:eastAsia="Times New Roman"/>
          <w:b w:val="0"/>
          <w:caps w:val="0"/>
          <w:sz w:val="22"/>
        </w:rPr>
        <w:t>Tabela 15.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78%</w:t>
            </w:r>
          </w:p>
        </w:tc>
        <w:tc>
          <w:tcPr>
            <w:tcW w:type="dxa" w:w="2209"/>
          </w:tcPr>
          <w:p>
            <w:pPr>
              <w:spacing w:line="240" w:lineRule="auto"/>
              <w:jc w:val="left"/>
            </w:pPr>
            <w:r>
              <w:rPr>
                <w:rFonts w:ascii="Times New Roman" w:hAnsi="Times New Roman" w:eastAsia="Times New Roman"/>
                <w:b w:val="0"/>
                <w:caps w:val="0"/>
                <w:sz w:val="22"/>
              </w:rPr>
              <w:t>62%</w:t>
            </w:r>
          </w:p>
        </w:tc>
        <w:tc>
          <w:tcPr>
            <w:tcW w:type="dxa" w:w="2209"/>
          </w:tcPr>
          <w:p>
            <w:pPr>
              <w:spacing w:line="240" w:lineRule="auto"/>
              <w:jc w:val="left"/>
            </w:pPr>
            <w:r>
              <w:rPr>
                <w:rFonts w:ascii="Times New Roman" w:hAnsi="Times New Roman" w:eastAsia="Times New Roman"/>
                <w:b w:val="0"/>
                <w:caps w:val="0"/>
                <w:sz w:val="22"/>
              </w:rPr>
              <w:t>28%</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62%</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5%</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78% në 28%, ndërsa ajo për rrjedhën e kontrollit (control flow escapes) nga 17% në 62%.</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Gjetja më e qëndrueshme është se te strategjitë e publikuara precizioni është shumë mbi recall-in. Kur ndezin, kanë më shpesh të drejtë sesa gabim, por i humbin shumicën e rasteve që rishikuesit i shënojnë, nga 56% te Long Method deri në 90% te Blob. Pragjet e nxjerra nga një korpus tjetër janë pra konservative për gjykimin e rishikuesve të MLCQ-së.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3 nga 4 erërat strategjia i kap rastet major më mirë se ato minor, pra është më e ndjeshme ndaj rasteve të qarta; te Blob ndodh e kundërta. Një F1 i vetëm e fsheh këtë ndarje, dhe një mjet që i kap rastet e rënda nuk është i njëjti me një që i humb të dyja.</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informacioni ndodhet te metrikat, dhe janë pragjet fikse ato që e humbin. Parashikimet janë jashtë fold-it mbi një ndarje sipas depos, ndaj shifrat përshkruajnë atë që pritet mbi një projekt që modeli nuk e ka parë. Përparësia qëndron edhe me intervale besimi, por jo pa kusht: kur rregullit i jepet pragu i tij më i mirë nga fshirja, dallimi te Long Method e përfshin zeron (Shtojca 8.10). Pra pretendimi vlen përgjithësisht, dhe jo pikërisht te era ku rregulli tashmë punonte më mirë.</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69% deri në 96%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Vlerë praktike ka prerja: te çdo erë, kur dy qasje të pavarura pajtohen, precizioni del mbi secilën veç. Për një përdorues që do pak alarme të rreme, pajtimi i tyre është sinjali më i fortë që prodhon sistemi.</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Motori transformoi 20.4% të vendeve. Refuzimet tregojnë ku ndalet automatizimi i sigurt: arsyeja kryesore është forma e kodit që nuk i përshtatet transformimit, e ndjekur nga rrjedha e kontrollit që del nga blloku, dhe sa më e rëndë metoda, aq më shumë peshon e dyta, sepse një metodë e gjatë ose e ndërfutur thellë mban më shumë return, break e continue. Motori tërhiqet pra pikërisht te metodat ku ndihma do të vlente më shumë. Për kompilatorin, rishkrimet janë të sigurta: 98.3% kompilojnë ose nuk shtojnë lloj të ri gabimi.</w:t>
      </w:r>
    </w:p>
    <w:p>
      <w:pPr>
        <w:spacing w:line="360" w:lineRule="auto"/>
        <w:ind w:firstLine="360"/>
        <w:jc w:val="both"/>
      </w:pPr>
      <w:r>
        <w:rPr>
          <w:rFonts w:ascii="Times New Roman" w:hAnsi="Times New Roman" w:eastAsia="Times New Roman"/>
          <w:b w:val="0"/>
          <w:caps w:val="0"/>
          <w:sz w:val="24"/>
        </w:rPr>
        <w:t>Kompilimi brenda projektit e sqaron këtë lexim: verdikti «kompilon» rritet nga 0.2% në 11.4%, pra shumica e rasteve «pa gabim të ri» i detyrohen izolimit të skedarit dhe jo rishkrimit. Përmbysja e vetme, te Ambari, shton gabime vetëm sepse tipi që kalon te nënshkrimi i metodës së nxjerrë mban anotacione nga një bibliotekë që korpusi nuk e ka.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Era mbeti në 22.7% të rishkrimeve, dhe kjo rrjedh nga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 Edhe kur era mbetet, matja lëviz ndjeshëm (mesoret: LongMethod nga 45 në 21; LongParameterList nga 7 në 1), pra struktura ndryshon.</w:t>
      </w:r>
    </w:p>
    <w:p>
      <w:pPr>
        <w:spacing w:line="360" w:lineRule="auto"/>
        <w:ind w:firstLine="360"/>
        <w:jc w:val="both"/>
      </w:pPr>
      <w:r>
        <w:rPr>
          <w:rFonts w:ascii="Times New Roman" w:hAnsi="Times New Roman" w:eastAsia="Times New Roman"/>
          <w:b w:val="0"/>
          <w:caps w:val="0"/>
          <w:sz w:val="24"/>
        </w:rPr>
        <w:t>Rishkrimet sollën 937 erëra të reja, më shpesh LongParameterList (372).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Ndarja sipas depos dhe parashikimet jashtë fold-it i bënë dy qasjet të krahasueshme mostër për mostër. Motori, duke refuzuar çdo gjë që nuk e provon, nuk e prishi kodin përtej pakicës së raportuar. Verifikimi mbi kod real kapi tri defekte që testet e shkruara me dorë nuk i kapën (Nënkapitulli 5.4): verifikimi empirik nuk zëvendësohet dot me teste njësie.</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Nuk janë raste kufitare që një prag pak më i butë do t'i kapte, por entitete që, të matura me këto metrika, nuk i ngjajnë erës nga disa anë njëherësh.</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Ashpërsia e derivuar nga teprica mbi pragje nuk e riprodhoi gjykimin e rishikuesve: pajtimi doli pranë rastësisë për tri nga katër erërat, me mbivlerësim sistematik (Shtojca 8.9). Kalibrimi i pragjeve jashtë fold-it e ngriti MCC-në qartë te Feature Envy dhe Long Method, pak te Blob, e uli te Data Class, dhe foldet nuk pajtohen për të njëjtën vlerë te 3 nga 4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siç u pa më lart, sjell shpesh një Long Parameter List të re.</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Në konfigurimin e tyre DS1 një mostër është pozitive kur ashpërsia e saj e agreguar është mbi «none», i njëjti përkufizim që përdor ky punim. Tabela vë përballë MCC-në e të dy qasjeve këtu me mesoren më të mirë të MCC-së që raportojnë ata (Tabela 16).</w:t>
      </w:r>
    </w:p>
    <w:p>
      <w:pPr>
        <w:spacing w:line="240" w:lineRule="auto"/>
        <w:jc w:val="center"/>
      </w:pPr>
      <w:r>
        <w:rPr>
          <w:rFonts w:ascii="Times New Roman" w:hAnsi="Times New Roman" w:eastAsia="Times New Roman"/>
          <w:b w:val="0"/>
          <w:caps w:val="0"/>
          <w:sz w:val="22"/>
        </w:rPr>
        <w:t>Tabela 16.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0.500</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0.669</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0.713</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mostrat e së njëjtës depo mund të jenë njëherësh në trajnim dhe në testim,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0.67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disa depo nuk ishin më të arritshme,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 e saktë është detektimi me strategji metrikash?</w:t>
      </w:r>
      <w:r>
        <w:rPr>
          <w:rFonts w:ascii="Times New Roman" w:hAnsi="Times New Roman" w:eastAsia="Times New Roman"/>
          <w:b w:val="0"/>
          <w:caps w:val="0"/>
          <w:sz w:val="24"/>
        </w:rPr>
        <w:t xml:space="preserve"> I saktë kur ndez, por i kursyer. Kundrejt etiketave të rishikuesve, precizioni është nga 0.520 deri në 0.872, recall-i nga 0.100 deri në 0.440 dhe MCC-ja nga 0.232 deri në 0.580. Strategjia punon më mirë te Long Method dhe më keq te Blob, dhe ashpërsia që derivon nuk pajtohet me atë të rishikuesve.</w:t>
      </w:r>
    </w:p>
    <w:p>
      <w:pPr>
        <w:spacing w:line="360" w:lineRule="auto"/>
        <w:ind w:firstLine="360"/>
        <w:jc w:val="both"/>
      </w:pPr>
      <w:r>
        <w:rPr>
          <w:rFonts w:ascii="Times New Roman" w:hAnsi="Times New Roman" w:eastAsia="Times New Roman"/>
          <w:b/>
          <w:caps w:val="0"/>
          <w:sz w:val="24"/>
        </w:rPr>
        <w:t>PK2: A e përmirëson mësimi i makinës detektimin?</w:t>
      </w:r>
      <w:r>
        <w:rPr>
          <w:rFonts w:ascii="Times New Roman" w:hAnsi="Times New Roman" w:eastAsia="Times New Roman"/>
          <w:b w:val="0"/>
          <w:caps w:val="0"/>
          <w:sz w:val="24"/>
        </w:rPr>
        <w:t xml:space="preserve"> Po. Modeli i mësuar mbi të njëjtat metrika e ngre MCC-në te të katër erërat: brezi kalon nga 0.232–0.580 në 0.488–0.713, dhe intervalet bootstrap sipas depos e vendosin këtë përparësi mbi zero te 4 nga 4 erërat. Fitimi vjen kryesisht nga recall-i, që rritet te 4 nga 4 erërat. Përparësia ngushtohet kur rregullit i jepet pragu më i mirë i mundshëm, dhe te Long Method nuk dallohet më nga zeroja.</w:t>
      </w:r>
    </w:p>
    <w:p>
      <w:pPr>
        <w:spacing w:line="360" w:lineRule="auto"/>
        <w:ind w:firstLine="360"/>
        <w:jc w:val="both"/>
      </w:pPr>
      <w:r>
        <w:rPr>
          <w:rFonts w:ascii="Times New Roman" w:hAnsi="Times New Roman" w:eastAsia="Times New Roman"/>
          <w:b/>
          <w:caps w:val="0"/>
          <w:sz w:val="24"/>
        </w:rPr>
        <w:t>PK3: A i përmirësojnë refaktorimet karakteristikat strukturore, duke ruajtur kompilueshmërinë dhe sjelljen?</w:t>
      </w:r>
      <w:r>
        <w:rPr>
          <w:rFonts w:ascii="Times New Roman" w:hAnsi="Times New Roman" w:eastAsia="Times New Roman"/>
          <w:b w:val="0"/>
          <w:caps w:val="0"/>
          <w:sz w:val="24"/>
        </w:rPr>
        <w:t xml:space="preserve"> Pjesërisht. Motori transformoi 20.4% të vendeve të detektuara. Nga rishkrimet, 98.3% kompiluan ose nuk shtuan lloj të ri gabimi, dhe 1.6% shtuan. Era u hoq te 64.4% e tyre, dhe metrika mbi të cilën ndez detektori ra ndjeshëm edhe aty ku era mbeti, pra struktura përmirësohet objektivisht në shumicën e rasteve, me koston e 937 erërave të reja. Kompilueshmëria u verifikua për çdo rishkrim, dhe kur skedari kompilohet brenda projektit të vet, pjesa që kompilon plotësisht rritet ndjeshëm, ndërsa një rishkrim i vetëm nga 405 e përmbys verdiktin në drejtimin e kundërt dhe e kufizon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sepse korpusi nuk mban testet e projekteve.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Informacioni për erërat ndodhet te metrikat, dhe pragjet fikse janë ajo që e humbin. Një pjesë e gabimit i takon përkufizimit të erës dhe jo detektorit, dhe mënyra si ndërtohet e ndahet dataset-i peshon po aq sa algoritmi.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Rregullat përshtaten si paralajmërim me pak zhurmë, modeli aty ku mbulimi ka më shumë rëndësi, dhe pajtimi i të dyjave si sinjali më i sigurt. Refaktorimi i automatizuar është i realizueshëm me siguri për rreth një në pesë vende, dhe vlera e tij varet nga refuzimi i atyre që nuk i provon dhe nga matja e asaj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Për shumicën e skedarëve pretendimi kufizohet te «nuk shton lloj të ri gabimi». Testet e projekteve nuk u ekzekutuan, sepse korpusi mban vetëm skedarë «.java», pa «pom.xml», «build.gradle» dhe biblioteka të treta; ky verifikim mbetet punë e ardhshme. Cilësia e rishkrimeve gjykohet nga një rishikues i vetëm, autori i motorit, dhe pajtimi mes rishikuesve për këtë matje nuk mund të matet.</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 Ashpërsia që sistemi e derivon mbetet renditje e brendshme e mjetit dhe jo parashikim i gjykimit njerëzor.</w:t>
      </w:r>
    </w:p>
    <w:p>
      <w:pPr>
        <w:spacing w:line="360" w:lineRule="auto"/>
        <w:ind w:firstLine="360"/>
        <w:jc w:val="both"/>
      </w:pPr>
      <w:r>
        <w:rPr>
          <w:rFonts w:ascii="Times New Roman" w:hAnsi="Times New Roman" w:eastAsia="Times New Roman"/>
          <w:b w:val="0"/>
          <w:caps w:val="0"/>
          <w:sz w:val="24"/>
        </w:rPr>
        <w:t>Recall-i i Blob-it ka dy tavane të veta (Shtojca 8.11). Nga 315 raste që strategjia i humbi, 65 nuk janë më të mëdha se klasa mesatare e pastër, dhe asnjë metrikë e vetme klase nuk i ndan nga klasat e pastra (më e mira arrin 0.773, ku 0.50 është rastësi). Po ashtu, TCC-ja e papërcaktuar merr vlerën maksimale, të cilën God Class nuk e pranon: nga 19 mospërputhje që ndalen vetëm te kohezioni, 17 kanë TCC të papërcaktuar.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si dhe një motor refaktorimi që rishkruan kod vetëm kur i provon parakushtet e veta. Strategjitë e publikuara dolën të sakta por të kursyera; një klasifikues mbi të njëjtat metrika doli dukshëm më i mirë; dhe një pjesë e vogël por reale e vendeve u transformua automatikisht, me strukturë të përmirësuar dhe pa gabime të reja në shumicën dërrmuese të rasteve. Dy rezultate negative i shoqërojnë: ashpërsia e derivuar nuk e riprodhon gjykimin e rishikuesve, dhe vetë rishikuesit pajtohen pak mes tyre. Ruajtja e sjelljes mbetet pyetje e hapur.</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17).</w:t>
      </w:r>
    </w:p>
    <w:p>
      <w:pPr>
        <w:spacing w:line="240" w:lineRule="auto"/>
        <w:jc w:val="center"/>
      </w:pPr>
      <w:r>
        <w:rPr>
          <w:rFonts w:ascii="Times New Roman" w:hAnsi="Times New Roman" w:eastAsia="Times New Roman"/>
          <w:b w:val="0"/>
          <w:caps w:val="0"/>
          <w:sz w:val="22"/>
        </w:rPr>
        <w:t>Tabela 17.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p.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p.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size alone, without the cohesion evidence</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p.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p.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effective lines of code past the threshold</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w:t>
            </w:r>
          </w:p>
        </w:tc>
      </w:tr>
      <w:tr>
        <w:tc>
          <w:tcPr>
            <w:tcW w:type="dxa" w:w="2209"/>
          </w:tcPr>
          <w:p>
            <w:pPr>
              <w:spacing w:line="240" w:lineRule="auto"/>
              <w:jc w:val="left"/>
            </w:pPr>
            <w:r>
              <w:rPr>
                <w:rFonts w:ascii="Times New Roman" w:hAnsi="Times New Roman" w:eastAsia="Times New Roman"/>
                <w:b w:val="0"/>
                <w:caps w:val="0"/>
                <w:sz w:val="22"/>
              </w:rPr>
              <w:t>Deeply nested control flow</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18).</w:t>
      </w:r>
    </w:p>
    <w:p>
      <w:pPr>
        <w:spacing w:line="240" w:lineRule="auto"/>
        <w:jc w:val="center"/>
      </w:pPr>
      <w:r>
        <w:rPr>
          <w:rFonts w:ascii="Times New Roman" w:hAnsi="Times New Roman" w:eastAsia="Times New Roman"/>
          <w:b w:val="0"/>
          <w:caps w:val="0"/>
          <w:sz w:val="22"/>
        </w:rPr>
        <w:t>Tabela 18.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19).</w:t>
      </w:r>
    </w:p>
    <w:p>
      <w:pPr>
        <w:spacing w:line="240" w:lineRule="auto"/>
        <w:jc w:val="center"/>
      </w:pPr>
      <w:r>
        <w:rPr>
          <w:rFonts w:ascii="Times New Roman" w:hAnsi="Times New Roman" w:eastAsia="Times New Roman"/>
          <w:b w:val="0"/>
          <w:caps w:val="0"/>
          <w:sz w:val="22"/>
        </w:rPr>
        <w:t>Tabela 19.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20).</w:t>
      </w:r>
    </w:p>
    <w:p>
      <w:pPr>
        <w:spacing w:line="240" w:lineRule="auto"/>
        <w:jc w:val="center"/>
      </w:pPr>
      <w:r>
        <w:rPr>
          <w:rFonts w:ascii="Times New Roman" w:hAnsi="Times New Roman" w:eastAsia="Times New Roman"/>
          <w:b w:val="0"/>
          <w:caps w:val="0"/>
          <w:sz w:val="22"/>
        </w:rPr>
        <w:t>Tabela 20.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21).</w:t>
      </w:r>
    </w:p>
    <w:p>
      <w:pPr>
        <w:spacing w:line="240" w:lineRule="auto"/>
        <w:jc w:val="center"/>
      </w:pPr>
      <w:r>
        <w:rPr>
          <w:rFonts w:ascii="Times New Roman" w:hAnsi="Times New Roman" w:eastAsia="Times New Roman"/>
          <w:b w:val="0"/>
          <w:caps w:val="0"/>
          <w:sz w:val="22"/>
        </w:rPr>
        <w:t>Tabela 21.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GodClass</w:t>
            </w:r>
          </w:p>
        </w:tc>
        <w:tc>
          <w:tcPr>
            <w:tcW w:type="dxa" w:w="2946"/>
          </w:tcPr>
          <w:p>
            <w:pPr>
              <w:spacing w:line="240" w:lineRule="auto"/>
              <w:jc w:val="left"/>
            </w:pPr>
            <w:r>
              <w:rPr>
                <w:rFonts w:ascii="Times New Roman" w:hAnsi="Times New Roman" w:eastAsia="Times New Roman"/>
                <w:b w:val="0"/>
                <w:caps w:val="0"/>
                <w:sz w:val="22"/>
              </w:rPr>
              <w:t>ExtractClass, MoveMethod,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DataClass</w:t>
            </w:r>
          </w:p>
        </w:tc>
        <w:tc>
          <w:tcPr>
            <w:tcW w:type="dxa" w:w="2946"/>
          </w:tcPr>
          <w:p>
            <w:pPr>
              <w:spacing w:line="240" w:lineRule="auto"/>
              <w:jc w:val="left"/>
            </w:pPr>
            <w:r>
              <w:rPr>
                <w:rFonts w:ascii="Times New Roman" w:hAnsi="Times New Roman" w:eastAsia="Times New Roman"/>
                <w:b w:val="0"/>
                <w:caps w:val="0"/>
                <w:sz w:val="22"/>
              </w:rPr>
              <w:t>EncapsulateField, MoveMethod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LargeClass</w:t>
            </w:r>
          </w:p>
        </w:tc>
        <w:tc>
          <w:tcPr>
            <w:tcW w:type="dxa" w:w="2946"/>
          </w:tcPr>
          <w:p>
            <w:pPr>
              <w:spacing w:line="240" w:lineRule="auto"/>
              <w:jc w:val="left"/>
            </w:pPr>
            <w:r>
              <w:rPr>
                <w:rFonts w:ascii="Times New Roman" w:hAnsi="Times New Roman" w:eastAsia="Times New Roman"/>
                <w:b w:val="0"/>
                <w:caps w:val="0"/>
                <w:sz w:val="22"/>
              </w:rPr>
              <w:t>ExtractClass,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FeatureEnvy</w:t>
            </w:r>
          </w:p>
        </w:tc>
        <w:tc>
          <w:tcPr>
            <w:tcW w:type="dxa" w:w="2946"/>
          </w:tcPr>
          <w:p>
            <w:pPr>
              <w:spacing w:line="240" w:lineRule="auto"/>
              <w:jc w:val="left"/>
            </w:pPr>
            <w:r>
              <w:rPr>
                <w:rFonts w:ascii="Times New Roman" w:hAnsi="Times New Roman" w:eastAsia="Times New Roman"/>
                <w:b w:val="0"/>
                <w:caps w:val="0"/>
                <w:sz w:val="22"/>
              </w:rPr>
              <w:t>MoveMethod, ExtractMethod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BrainMethod</w:t>
            </w:r>
          </w:p>
        </w:tc>
        <w:tc>
          <w:tcPr>
            <w:tcW w:type="dxa" w:w="2946"/>
          </w:tcPr>
          <w:p>
            <w:pPr>
              <w:spacing w:line="240" w:lineRule="auto"/>
              <w:jc w:val="left"/>
            </w:pPr>
            <w:r>
              <w:rPr>
                <w:rFonts w:ascii="Times New Roman" w:hAnsi="Times New Roman" w:eastAsia="Times New Roman"/>
                <w:b w:val="0"/>
                <w:caps w:val="0"/>
                <w:sz w:val="22"/>
              </w:rPr>
              <w:t>ExtractMethod, ReplaceConditionalWithPolymorphism</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LongMethod</w:t>
            </w:r>
          </w:p>
        </w:tc>
        <w:tc>
          <w:tcPr>
            <w:tcW w:type="dxa" w:w="2946"/>
          </w:tcPr>
          <w:p>
            <w:pPr>
              <w:spacing w:line="240" w:lineRule="auto"/>
              <w:jc w:val="left"/>
            </w:pPr>
            <w:r>
              <w:rPr>
                <w:rFonts w:ascii="Times New Roman" w:hAnsi="Times New Roman" w:eastAsia="Times New Roman"/>
                <w:b w:val="0"/>
                <w:caps w:val="0"/>
                <w:sz w:val="22"/>
              </w:rPr>
              <w:t>ExtractMethod, DecomposeConditional</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LongParameterList</w:t>
            </w:r>
          </w:p>
        </w:tc>
        <w:tc>
          <w:tcPr>
            <w:tcW w:type="dxa" w:w="2946"/>
          </w:tcPr>
          <w:p>
            <w:pPr>
              <w:spacing w:line="240" w:lineRule="auto"/>
              <w:jc w:val="left"/>
            </w:pPr>
            <w:r>
              <w:rPr>
                <w:rFonts w:ascii="Times New Roman" w:hAnsi="Times New Roman" w:eastAsia="Times New Roman"/>
                <w:b w:val="0"/>
                <w:caps w:val="0"/>
                <w:sz w:val="22"/>
              </w:rPr>
              <w:t>IntroduceParameterObject, PreserveWholeObject</w:t>
            </w:r>
          </w:p>
        </w:tc>
        <w:tc>
          <w:tcPr>
            <w:tcW w:type="dxa" w:w="2946"/>
          </w:tcPr>
          <w:p>
            <w:pPr>
              <w:spacing w:line="240" w:lineRule="auto"/>
              <w:jc w:val="left"/>
            </w:pPr>
            <w:r>
              <w:rPr>
                <w:rFonts w:ascii="Times New Roman" w:hAnsi="Times New Roman" w:eastAsia="Times New Roman"/>
                <w:b w:val="0"/>
                <w:caps w:val="0"/>
                <w:sz w:val="22"/>
              </w:rPr>
              <w:t>aplikohet: IntroduceParameterObject</w:t>
            </w:r>
          </w:p>
        </w:tc>
      </w:tr>
      <w:tr>
        <w:tc>
          <w:tcPr>
            <w:tcW w:type="dxa" w:w="2946"/>
          </w:tcPr>
          <w:p>
            <w:pPr>
              <w:spacing w:line="240" w:lineRule="auto"/>
              <w:jc w:val="left"/>
            </w:pPr>
            <w:r>
              <w:rPr>
                <w:rFonts w:ascii="Times New Roman" w:hAnsi="Times New Roman" w:eastAsia="Times New Roman"/>
                <w:b w:val="0"/>
                <w:caps w:val="0"/>
                <w:sz w:val="22"/>
              </w:rPr>
              <w:t>DeepNesting</w:t>
            </w:r>
          </w:p>
        </w:tc>
        <w:tc>
          <w:tcPr>
            <w:tcW w:type="dxa" w:w="2946"/>
          </w:tcPr>
          <w:p>
            <w:pPr>
              <w:spacing w:line="240" w:lineRule="auto"/>
              <w:jc w:val="left"/>
            </w:pPr>
            <w:r>
              <w:rPr>
                <w:rFonts w:ascii="Times New Roman" w:hAnsi="Times New Roman" w:eastAsia="Times New Roman"/>
                <w:b w:val="0"/>
                <w:caps w:val="0"/>
                <w:sz w:val="22"/>
              </w:rPr>
              <w:t>ReplaceNestedConditionalWithGuardClauses, ExtractMethod</w:t>
            </w:r>
          </w:p>
        </w:tc>
        <w:tc>
          <w:tcPr>
            <w:tcW w:type="dxa" w:w="2946"/>
          </w:tcPr>
          <w:p>
            <w:pPr>
              <w:spacing w:line="240" w:lineRule="auto"/>
              <w:jc w:val="left"/>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22).</w:t>
      </w:r>
    </w:p>
    <w:p>
      <w:pPr>
        <w:spacing w:line="240" w:lineRule="auto"/>
        <w:jc w:val="center"/>
      </w:pPr>
      <w:r>
        <w:rPr>
          <w:rFonts w:ascii="Times New Roman" w:hAnsi="Times New Roman" w:eastAsia="Times New Roman"/>
          <w:b w:val="0"/>
          <w:caps w:val="0"/>
          <w:sz w:val="22"/>
        </w:rPr>
        <w:t>Tabela 22.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unresolved_name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possible_side_effect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ambiguous_overload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multiple_outputs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control_flow_escapes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shape_not_matched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edit_conflict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not_definitely_assigned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23).</w:t>
      </w:r>
    </w:p>
    <w:p>
      <w:pPr>
        <w:spacing w:line="240" w:lineRule="auto"/>
        <w:jc w:val="center"/>
      </w:pPr>
      <w:r>
        <w:rPr>
          <w:rFonts w:ascii="Times New Roman" w:hAnsi="Times New Roman" w:eastAsia="Times New Roman"/>
          <w:b w:val="0"/>
          <w:caps w:val="0"/>
          <w:sz w:val="22"/>
        </w:rPr>
        <w:t>Tabela 23.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Kapitullit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24).</w:t>
      </w:r>
    </w:p>
    <w:p>
      <w:pPr>
        <w:spacing w:line="240" w:lineRule="auto"/>
        <w:jc w:val="center"/>
      </w:pPr>
      <w:r>
        <w:rPr>
          <w:rFonts w:ascii="Times New Roman" w:hAnsi="Times New Roman" w:eastAsia="Times New Roman"/>
          <w:b w:val="0"/>
          <w:caps w:val="0"/>
          <w:sz w:val="22"/>
        </w:rPr>
        <w:t>Tabela 24.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1b96a94105</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1e0e249e67</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9b87962978</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5f62b7b790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25; Figura 7).</w:t>
      </w:r>
    </w:p>
    <w:p>
      <w:pPr>
        <w:spacing w:line="240" w:lineRule="auto"/>
        <w:jc w:val="center"/>
      </w:pPr>
      <w:r>
        <w:rPr>
          <w:rFonts w:ascii="Times New Roman" w:hAnsi="Times New Roman" w:eastAsia="Times New Roman"/>
          <w:b w:val="0"/>
          <w:caps w:val="0"/>
          <w:sz w:val="22"/>
        </w:rPr>
        <w:t>Tabela 25.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26).</w:t>
      </w:r>
    </w:p>
    <w:p>
      <w:pPr>
        <w:spacing w:line="240" w:lineRule="auto"/>
        <w:jc w:val="center"/>
      </w:pPr>
      <w:r>
        <w:rPr>
          <w:rFonts w:ascii="Times New Roman" w:hAnsi="Times New Roman" w:eastAsia="Times New Roman"/>
          <w:b w:val="0"/>
          <w:caps w:val="0"/>
          <w:sz w:val="22"/>
        </w:rPr>
        <w:t>Tabela 26.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27).</w:t>
      </w:r>
    </w:p>
    <w:p>
      <w:pPr>
        <w:spacing w:line="240" w:lineRule="auto"/>
        <w:jc w:val="center"/>
      </w:pPr>
      <w:r>
        <w:rPr>
          <w:rFonts w:ascii="Times New Roman" w:hAnsi="Times New Roman" w:eastAsia="Times New Roman"/>
          <w:b w:val="0"/>
          <w:caps w:val="0"/>
          <w:sz w:val="22"/>
        </w:rPr>
        <w:t>Tabela 27.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Era</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ynë</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6.6).</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28; Tabela 29).</w:t>
      </w:r>
    </w:p>
    <w:p>
      <w:pPr>
        <w:spacing w:line="240" w:lineRule="auto"/>
        <w:jc w:val="center"/>
      </w:pPr>
      <w:r>
        <w:rPr>
          <w:rFonts w:ascii="Times New Roman" w:hAnsi="Times New Roman" w:eastAsia="Times New Roman"/>
          <w:b w:val="0"/>
          <w:caps w:val="0"/>
          <w:sz w:val="22"/>
        </w:rPr>
        <w:t>Tabela 28.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Era</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Era</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30).</w:t>
      </w:r>
    </w:p>
    <w:p>
      <w:pPr>
        <w:spacing w:line="240" w:lineRule="auto"/>
        <w:jc w:val="center"/>
      </w:pPr>
      <w:r>
        <w:rPr>
          <w:rFonts w:ascii="Times New Roman" w:hAnsi="Times New Roman" w:eastAsia="Times New Roman"/>
          <w:b w:val="0"/>
          <w:caps w:val="0"/>
          <w:sz w:val="22"/>
        </w:rPr>
        <w:t>Tabela 30.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31; Figura 9).</w:t>
      </w:r>
    </w:p>
    <w:p>
      <w:pPr>
        <w:spacing w:line="240" w:lineRule="auto"/>
        <w:jc w:val="center"/>
      </w:pPr>
      <w:r>
        <w:rPr>
          <w:rFonts w:ascii="Times New Roman" w:hAnsi="Times New Roman" w:eastAsia="Times New Roman"/>
          <w:b w:val="0"/>
          <w:caps w:val="0"/>
          <w:sz w:val="22"/>
        </w:rPr>
        <w:t>Tabela 31.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[0.426, 0.568]</w:t>
            </w:r>
          </w:p>
        </w:tc>
        <w:tc>
          <w:tcPr>
            <w:tcW w:type="dxa" w:w="1768"/>
          </w:tcPr>
          <w:p>
            <w:pPr>
              <w:spacing w:line="240" w:lineRule="auto"/>
              <w:jc w:val="left"/>
            </w:pPr>
            <w:r>
              <w:rPr>
                <w:rFonts w:ascii="Times New Roman" w:hAnsi="Times New Roman" w:eastAsia="Times New Roman"/>
                <w:b w:val="0"/>
                <w:caps w:val="0"/>
                <w:sz w:val="22"/>
              </w:rPr>
              <w:t>[0.134, 0.322]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[0.572, 0.765]</w:t>
            </w:r>
          </w:p>
        </w:tc>
        <w:tc>
          <w:tcPr>
            <w:tcW w:type="dxa" w:w="1768"/>
          </w:tcPr>
          <w:p>
            <w:pPr>
              <w:spacing w:line="240" w:lineRule="auto"/>
              <w:jc w:val="left"/>
            </w:pPr>
            <w:r>
              <w:rPr>
                <w:rFonts w:ascii="Times New Roman" w:hAnsi="Times New Roman" w:eastAsia="Times New Roman"/>
                <w:b w:val="0"/>
                <w:caps w:val="0"/>
                <w:sz w:val="22"/>
              </w:rPr>
              <w:t>[0.251, 0.556]</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[0.667, 0.757]</w:t>
            </w:r>
          </w:p>
        </w:tc>
        <w:tc>
          <w:tcPr>
            <w:tcW w:type="dxa" w:w="1768"/>
          </w:tcPr>
          <w:p>
            <w:pPr>
              <w:spacing w:line="240" w:lineRule="auto"/>
              <w:jc w:val="left"/>
            </w:pPr>
            <w:r>
              <w:rPr>
                <w:rFonts w:ascii="Times New Roman" w:hAnsi="Times New Roman" w:eastAsia="Times New Roman"/>
                <w:b w:val="0"/>
                <w:caps w:val="0"/>
                <w:sz w:val="22"/>
              </w:rPr>
              <w:t>[0.072, 0.203]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32):</w:t>
      </w:r>
    </w:p>
    <w:p>
      <w:pPr>
        <w:spacing w:line="240" w:lineRule="auto"/>
        <w:jc w:val="center"/>
      </w:pPr>
      <w:r>
        <w:rPr>
          <w:rFonts w:ascii="Times New Roman" w:hAnsi="Times New Roman" w:eastAsia="Times New Roman"/>
          <w:b w:val="0"/>
          <w:caps w:val="0"/>
          <w:sz w:val="22"/>
        </w:rPr>
        <w:t>Tabela 32.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[0.117, 0.301]</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[0.135, 0.379]</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[-0.016, 0.062]</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33).</w:t>
      </w:r>
    </w:p>
    <w:p>
      <w:pPr>
        <w:spacing w:line="240" w:lineRule="auto"/>
        <w:jc w:val="center"/>
      </w:pPr>
      <w:r>
        <w:rPr>
          <w:rFonts w:ascii="Times New Roman" w:hAnsi="Times New Roman" w:eastAsia="Times New Roman"/>
          <w:b w:val="0"/>
          <w:caps w:val="0"/>
          <w:sz w:val="22"/>
        </w:rPr>
        <w:t>Tabela 33.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9 849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5 786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2 762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një pjesë e pareduktueshme e gabimit të çdo detektori i takon përkufizimit,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34).</w:t>
      </w:r>
    </w:p>
    <w:p>
      <w:pPr>
        <w:spacing w:line="240" w:lineRule="auto"/>
        <w:jc w:val="center"/>
      </w:pPr>
      <w:r>
        <w:rPr>
          <w:rFonts w:ascii="Times New Roman" w:hAnsi="Times New Roman" w:eastAsia="Times New Roman"/>
          <w:b w:val="0"/>
          <w:caps w:val="0"/>
          <w:sz w:val="22"/>
        </w:rPr>
        <w:t>Tabela 34.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35).</w:t>
      </w:r>
    </w:p>
    <w:p>
      <w:pPr>
        <w:spacing w:line="240" w:lineRule="auto"/>
        <w:jc w:val="center"/>
      </w:pPr>
      <w:r>
        <w:rPr>
          <w:rFonts w:ascii="Times New Roman" w:hAnsi="Times New Roman" w:eastAsia="Times New Roman"/>
          <w:b w:val="0"/>
          <w:caps w:val="0"/>
          <w:sz w:val="22"/>
        </w:rPr>
        <w:t>Tabela 35.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36).</w:t>
      </w:r>
    </w:p>
    <w:p>
      <w:pPr>
        <w:spacing w:line="240" w:lineRule="auto"/>
        <w:jc w:val="center"/>
      </w:pPr>
      <w:r>
        <w:rPr>
          <w:rFonts w:ascii="Times New Roman" w:hAnsi="Times New Roman" w:eastAsia="Times New Roman"/>
          <w:b w:val="0"/>
          <w:caps w:val="0"/>
          <w:sz w:val="22"/>
        </w:rPr>
        <w:t>Tabela 36.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