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Strategjitë e detektimit dhe burimet e tyre</w:t>
      </w:r>
    </w:p>
    <w:p>
      <w:pPr>
        <w:spacing w:line="360" w:lineRule="auto"/>
        <w:ind w:firstLine="360"/>
        <w:jc w:val="both"/>
      </w:pPr>
      <w:r>
        <w:rPr>
          <w:rFonts w:ascii="Times New Roman" w:hAnsi="Times New Roman" w:eastAsia="Times New Roman"/>
          <w:b w:val="0"/>
          <w:caps w:val="0"/>
          <w:sz w:val="24"/>
        </w:rPr>
        <w:t>Tabela 16. Kuantifikuesit e përgjithshëm</w:t>
      </w:r>
    </w:p>
    <w:p>
      <w:pPr>
        <w:spacing w:line="360" w:lineRule="auto"/>
        <w:ind w:firstLine="360"/>
        <w:jc w:val="both"/>
      </w:pPr>
      <w:r>
        <w:rPr>
          <w:rFonts w:ascii="Times New Roman" w:hAnsi="Times New Roman" w:eastAsia="Times New Roman"/>
          <w:b w:val="0"/>
          <w:caps w:val="0"/>
          <w:sz w:val="24"/>
        </w:rPr>
        <w:t>Tabela 17. Pragjet e përdorura</w:t>
      </w:r>
    </w:p>
    <w:p>
      <w:pPr>
        <w:spacing w:line="360" w:lineRule="auto"/>
        <w:ind w:firstLine="360"/>
        <w:jc w:val="both"/>
      </w:pPr>
      <w:r>
        <w:rPr>
          <w:rFonts w:ascii="Times New Roman" w:hAnsi="Times New Roman" w:eastAsia="Times New Roman"/>
          <w:b w:val="0"/>
          <w:caps w:val="0"/>
          <w:sz w:val="24"/>
        </w:rPr>
        <w:t>Tabela 18. Metrikat sipas nivelit</w:t>
      </w:r>
    </w:p>
    <w:p>
      <w:pPr>
        <w:spacing w:line="360" w:lineRule="auto"/>
        <w:ind w:firstLine="360"/>
        <w:jc w:val="both"/>
      </w:pPr>
      <w:r>
        <w:rPr>
          <w:rFonts w:ascii="Times New Roman" w:hAnsi="Times New Roman" w:eastAsia="Times New Roman"/>
          <w:b w:val="0"/>
          <w:caps w:val="0"/>
          <w:sz w:val="24"/>
        </w:rPr>
        <w:t>Tabela 19. Çka propozohet dhe çka aplikohet</w:t>
      </w:r>
    </w:p>
    <w:p>
      <w:pPr>
        <w:spacing w:line="360" w:lineRule="auto"/>
        <w:ind w:firstLine="360"/>
        <w:jc w:val="both"/>
      </w:pPr>
      <w:r>
        <w:rPr>
          <w:rFonts w:ascii="Times New Roman" w:hAnsi="Times New Roman" w:eastAsia="Times New Roman"/>
          <w:b w:val="0"/>
          <w:caps w:val="0"/>
          <w:sz w:val="24"/>
        </w:rPr>
        <w:t>Tabela 20. Arsyet e refuzimit</w:t>
      </w:r>
    </w:p>
    <w:p>
      <w:pPr>
        <w:spacing w:line="360" w:lineRule="auto"/>
        <w:ind w:firstLine="360"/>
        <w:jc w:val="both"/>
      </w:pPr>
      <w:r>
        <w:rPr>
          <w:rFonts w:ascii="Times New Roman" w:hAnsi="Times New Roman" w:eastAsia="Times New Roman"/>
          <w:b w:val="0"/>
          <w:caps w:val="0"/>
          <w:sz w:val="24"/>
        </w:rPr>
        <w:t>Tabela 21. Radha e ekzekutimit</w:t>
      </w:r>
    </w:p>
    <w:p>
      <w:pPr>
        <w:spacing w:line="360" w:lineRule="auto"/>
        <w:ind w:firstLine="360"/>
        <w:jc w:val="both"/>
      </w:pPr>
      <w:r>
        <w:rPr>
          <w:rFonts w:ascii="Times New Roman" w:hAnsi="Times New Roman" w:eastAsia="Times New Roman"/>
          <w:b w:val="0"/>
          <w:caps w:val="0"/>
          <w:sz w:val="24"/>
        </w:rPr>
        <w:t>Tabela 22. Commit-i që prodhoi çdo skedar rezultati</w:t>
      </w:r>
    </w:p>
    <w:p>
      <w:pPr>
        <w:spacing w:line="360" w:lineRule="auto"/>
        <w:ind w:firstLine="360"/>
        <w:jc w:val="both"/>
      </w:pPr>
      <w:r>
        <w:rPr>
          <w:rFonts w:ascii="Times New Roman" w:hAnsi="Times New Roman" w:eastAsia="Times New Roman"/>
          <w:b w:val="0"/>
          <w:caps w:val="0"/>
          <w:sz w:val="24"/>
        </w:rPr>
        <w:t>Tabela 23. Sa lëviz MCC-ja kur zhvendoset një prag</w:t>
      </w:r>
    </w:p>
    <w:p>
      <w:pPr>
        <w:spacing w:line="360" w:lineRule="auto"/>
        <w:ind w:firstLine="360"/>
        <w:jc w:val="both"/>
      </w:pPr>
      <w:r>
        <w:rPr>
          <w:rFonts w:ascii="Times New Roman" w:hAnsi="Times New Roman" w:eastAsia="Times New Roman"/>
          <w:b w:val="0"/>
          <w:caps w:val="0"/>
          <w:sz w:val="24"/>
        </w:rPr>
        <w:t>Tabela 24.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25.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26. Sa klauzola dështuan te secila mospërputhje</w:t>
      </w:r>
    </w:p>
    <w:p>
      <w:pPr>
        <w:spacing w:line="360" w:lineRule="auto"/>
        <w:ind w:firstLine="360"/>
        <w:jc w:val="both"/>
      </w:pPr>
      <w:r>
        <w:rPr>
          <w:rFonts w:ascii="Times New Roman" w:hAnsi="Times New Roman" w:eastAsia="Times New Roman"/>
          <w:b w:val="0"/>
          <w:caps w:val="0"/>
          <w:sz w:val="24"/>
        </w:rPr>
        <w:t>Tabela 27. Kur një klauzolë e vetme e ndal strategjinë</w:t>
      </w:r>
    </w:p>
    <w:p>
      <w:pPr>
        <w:spacing w:line="360" w:lineRule="auto"/>
        <w:ind w:firstLine="360"/>
        <w:jc w:val="both"/>
      </w:pPr>
      <w:r>
        <w:rPr>
          <w:rFonts w:ascii="Times New Roman" w:hAnsi="Times New Roman" w:eastAsia="Times New Roman"/>
          <w:b w:val="0"/>
          <w:caps w:val="0"/>
          <w:sz w:val="24"/>
        </w:rPr>
        <w:t>Tabela 28. Pajtimi i ashpërsisë me rishikuesit</w:t>
      </w:r>
    </w:p>
    <w:p>
      <w:pPr>
        <w:spacing w:line="360" w:lineRule="auto"/>
        <w:ind w:firstLine="360"/>
        <w:jc w:val="both"/>
      </w:pPr>
      <w:r>
        <w:rPr>
          <w:rFonts w:ascii="Times New Roman" w:hAnsi="Times New Roman" w:eastAsia="Times New Roman"/>
          <w:b w:val="0"/>
          <w:caps w:val="0"/>
          <w:sz w:val="24"/>
        </w:rPr>
        <w:t>Tabela 29. Intervale besimi 95% për MCC-në</w:t>
      </w:r>
    </w:p>
    <w:p>
      <w:pPr>
        <w:spacing w:line="360" w:lineRule="auto"/>
        <w:ind w:firstLine="360"/>
        <w:jc w:val="both"/>
      </w:pPr>
      <w:r>
        <w:rPr>
          <w:rFonts w:ascii="Times New Roman" w:hAnsi="Times New Roman" w:eastAsia="Times New Roman"/>
          <w:b w:val="0"/>
          <w:caps w:val="0"/>
          <w:sz w:val="24"/>
        </w:rPr>
        <w:t>Tabela 30. B − A kur rregullat marrin pragun e tyre më të mirë</w:t>
      </w:r>
    </w:p>
    <w:p>
      <w:pPr>
        <w:spacing w:line="360" w:lineRule="auto"/>
        <w:ind w:firstLine="360"/>
        <w:jc w:val="both"/>
      </w:pPr>
      <w:r>
        <w:rPr>
          <w:rFonts w:ascii="Times New Roman" w:hAnsi="Times New Roman" w:eastAsia="Times New Roman"/>
          <w:b w:val="0"/>
          <w:caps w:val="0"/>
          <w:sz w:val="24"/>
        </w:rPr>
        <w:t>Tabela 31. Sa pajtohen rishikuesit me njëri-tjetrin</w:t>
      </w:r>
    </w:p>
    <w:p>
      <w:pPr>
        <w:spacing w:line="360" w:lineRule="auto"/>
        <w:ind w:firstLine="360"/>
        <w:jc w:val="both"/>
      </w:pPr>
      <w:r>
        <w:rPr>
          <w:rFonts w:ascii="Times New Roman" w:hAnsi="Times New Roman" w:eastAsia="Times New Roman"/>
          <w:b w:val="0"/>
          <w:caps w:val="0"/>
          <w:sz w:val="24"/>
        </w:rPr>
        <w:t>Tabela 32.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libri Refactoring i Martin Fowler-it, botimi i dytë i të cilit (Fowler, 2018) përdoret në këtë punim.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kanë tri kufizime. Së pari, shumë prej tyre mbështeten në pragje fikse të kalibruara mbi korpuse të tjera; edhe strategjitë që kombinojnë disa metrika, si ato të Lanza &amp; Marinescu (2006), i përdorin këto pragje pa i verifikuar mbi projektin që analizojnë. Së dyti, shumë mjete të përhapura fokusohen kryesisht në probleme të nivelit të rreshtit dhe të stilit, ndërsa problemet strukturore të nivelit të dizajnit mbulohen dobët. Së treti, dhe më e rëndësishmja, shumica ndalen te njoftimi: i tregojnë zhvilluesit se çfarë është e gabuar, por jo se çfarë duhet bërë konkretisht. Qasjet që propozojnë edhe refaktorimin, si ajo e Tsantalis &amp; Chatzigeorgiou (2009) për Move Method, janë më të rralla dhe mbulojnë vetëm disa smells.</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ndërtohet duke ruajtur nga depot që përmend MLCQ-ja vetëm skedarët «.java», pa skedarë ndërtimi dhe pa varësi. Disa depo nuk ishin më të arritshme, ndaj mbulimi i MLCQ-së nuk është i plotë (Kapitulli 5).</w:t>
      </w:r>
    </w:p>
    <w:p>
      <w:pPr>
        <w:spacing w:line="360" w:lineRule="auto"/>
        <w:ind w:firstLine="360"/>
        <w:jc w:val="both"/>
      </w:pPr>
      <w:r>
        <w:rPr>
          <w:rFonts w:ascii="Times New Roman" w:hAnsi="Times New Roman" w:eastAsia="Times New Roman"/>
          <w:b w:val="0"/>
          <w:caps w:val="0"/>
          <w:sz w:val="24"/>
        </w:rPr>
        <w:t xml:space="preserve">Prandaj çdo rishkrim kontrollohet vetëm me kompilator: nëse kompilon, ose nëse nuk shton lloj të ri gabimi. Ruajtja e sjelljes, që përmend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 (Kapitulli 6).</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që u përgjigjen pyetjeve kërkimore. Kapitulli 6 diskuton gjetjet, implikimet, kufizimet dhe drejtimet e punës së ardhshme. Kapitulli 7 përmban referencat dhe kapitulli 8 shtojcat, bashkë me analizat dytësore të rezultateve.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botimi i dytë i të cilit përshkruan njëzet e katër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mënyrës si ndërtohen dhe ndahen të dhënat e vlerësimit,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(Nënkapitulli 1.2). Mjetet ekzistuese mbështeten kryesisht në pragje fikse të kalibruara gjetiu dhe rrallë shkojnë përtej njoftimit.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4.5),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3.3 dhe diskutohen te Nënkapitulli 6.4.</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me nga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Vlera «asnjanës» është pikërisht rasti që çdo kontroll automatik e numëron si sukses.</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sepse ExtractMethod përbën 93% të vendeve të rishkruara dhe një mostër proporcionale nuk do të thoshte asgjë për transformimet e tjera; shifra e bashkuar ripeshohet me madhësitë reale të shtresave. Fleta nuk mban verdiktin e kompilatorit, që ai të mos e ndikojë gjykimin; bashkimi me të bëhet vetëm në pikëzim.</w:t>
      </w:r>
    </w:p>
    <w:p>
      <w:pPr>
        <w:spacing w:line="360" w:lineRule="auto"/>
        <w:ind w:firstLine="360"/>
        <w:jc w:val="both"/>
      </w:pPr>
      <w:r>
        <w:rPr>
          <w:rFonts w:ascii="Times New Roman" w:hAnsi="Times New Roman" w:eastAsia="Times New Roman"/>
          <w:b w:val="0"/>
          <w:caps w:val="0"/>
          <w:sz w:val="24"/>
        </w:rPr>
        <w:t>Intervalet janë Wilson (1927) e jo përafrimi normal, i cili me njëzet vëzhgime dhe një përpjesë pranë skajit jep kufij jashtë [0, 1] — rasti për të cilin Brown et al. (2001) e këshillojnë kundër tij.</w:t>
      </w:r>
    </w:p>
    <w:p>
      <w:pPr>
        <w:spacing w:line="360" w:lineRule="auto"/>
        <w:ind w:firstLine="360"/>
        <w:jc w:val="both"/>
      </w:pPr>
      <w:r>
        <w:rPr>
          <w:rFonts w:ascii="Times New Roman" w:hAnsi="Times New Roman" w:eastAsia="Times New Roman"/>
          <w:b w:val="0"/>
          <w:caps w:val="0"/>
          <w:sz w:val="24"/>
        </w:rPr>
        <w:t>Vlerësuesi është autori i punimit, dhe kjo është kufizim: rubrika u fiksua para se të shihej ndonjë diff dhe fleta është e komituar, por pajtimi mes rishikuesve këtu nuk mund të matet (Nënkapitulli 6.4).</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agregim. Një shkelje e PMD-së përputhet me një entitet të MLCQ-së sipas emrit të klasës dhe të metodës, jo sipas numrave të rreshtave.</w:t>
      </w:r>
    </w:p>
    <w:p>
      <w:pPr>
        <w:spacing w:line="360" w:lineRule="auto"/>
        <w:ind w:firstLine="360"/>
        <w:jc w:val="both"/>
      </w:pPr>
      <w:r>
        <w:rPr>
          <w:rFonts w:ascii="Times New Roman" w:hAnsi="Times New Roman" w:eastAsia="Times New Roman"/>
          <w:b w:val="0"/>
          <w:caps w:val="0"/>
          <w:sz w:val="24"/>
        </w:rPr>
        <w:t>Dy kufizime deklarohen paraprakisht. PMD analizon një skedar në një kohë, pa classpath të kompiluar, ndaj ATFD-në e GodClass-it e llogarit vetëm brenda skedarit — handikap që e favorizon këtë punim. Po ashtu, PMD nuk ka rregull për Feature Envy-n; më i afërti, LawOfDemeter, mat zinxhirë mesazhesh dhe raportohet vetëm nën emrin e vet.</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2"/>
      </w:pPr>
      <w:r>
        <w:rPr>
          <w:rFonts w:ascii="Times New Roman" w:hAnsi="Times New Roman" w:eastAsia="Times New Roman"/>
          <w:b/>
          <w:caps w:val="0"/>
          <w:sz w:val="24"/>
        </w:rPr>
        <w:t>4.8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dhe asnjë prag, metrikë apo detektor nuk është rregulluar që një rezultat të dalë më mirë. Ky është kushti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 (Figura 1).</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 (Tabela 1).</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 (Tabela 2; Figura 2).</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 (Tabela 3).</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 (Figura 3).</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 (Tabela 4).</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 (Figura 4; Tabela 5; Figura 5).</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 (Tabela 6).</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7).</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 (Tabela 8; Tabela 9).</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 (Tabela 10).</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 (Tabela 11).</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 (Tabela 12).</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w:t>
      </w:r>
    </w:p>
    <w:p>
      <w:pPr>
        <w:spacing w:line="360" w:lineRule="auto"/>
        <w:ind w:firstLine="360"/>
        <w:jc w:val="both"/>
      </w:pPr>
      <w:r>
        <w:rPr>
          <w:rFonts w:ascii="Times New Roman" w:hAnsi="Times New Roman" w:eastAsia="Times New Roman"/>
          <w:b w:val="0"/>
          <w:caps w:val="0"/>
          <w:sz w:val="24"/>
        </w:rPr>
        <w:t>Përmbysjet nuk janë zero: 1 nga 405 rishkrime nuk shtonin lloj të ri gabimi të izoluara, por shtojnë brenda projektit të vet. Toleranca «pa lloj të ri gabimi» mbetet dëshmi e përdorshme ku kompilimi i plotë nuk arrihet, por jo garanci se kompilimi brenda projektit do të pajtohej me të. Rasti është një Extract Method mbi AlertSummaryRenderer.finalizeResult(Result) te «AlertSummaryRenderer.java» e projektit Ambari. Të tria gabimet që shton janë paketa të palëve të treta që mungojnë: tipi që kalon te nënshkrimi i metodës së nxjerrë mban anotacione nga një bibliotekë që korpusi nuk e ka, sepse ai ruan vetëm skedarë «.java» (Nënkapitulli 6.4).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kompilon tërë mbylljen e varësive të skedarit, dhe seanca e fundit zgjati rreth 4 orë. Verdiktet mbi tërë korpusin mbeten ato të izoluara; kjo matje tregon vetëm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 (Tabela 13).</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e kundërta e asaj që shohin erërat veç e veç (paradoksi i Simpson-it): BrainMethod ka normë 29.1% dhe 45.6% vende kritike, ndërsa LongParameterList ka 8.4% dhe 4.9%. Prandaj shifra e bashkuar nuk raportohet.</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 (Tabela 14).</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një metodë e gjatë ose e ndërfutur thellë mban më shumë return, break e continue, dhe Extract Method nuk e ngre dot një bllok nga i cili rrjedha del.</w:t>
      </w:r>
    </w:p>
    <w:p>
      <w:pPr>
        <w:spacing w:line="360" w:lineRule="auto"/>
        <w:ind w:firstLine="360"/>
        <w:jc w:val="both"/>
      </w:pPr>
      <w:r>
        <w:rPr>
          <w:rFonts w:ascii="Times New Roman" w:hAnsi="Times New Roman" w:eastAsia="Times New Roman"/>
          <w:b w:val="0"/>
          <w:caps w:val="0"/>
          <w:sz w:val="24"/>
        </w:rPr>
        <w:t>Ashpërsia këtu është ajo që derivon sistemi, e cila nuk e riprodhon gjykimin e rishikuesve (Shtojca 8.9).</w:t>
      </w:r>
    </w:p>
    <w:p>
      <w:pPr>
        <w:spacing w:line="360" w:lineRule="auto"/>
        <w:ind w:firstLine="360"/>
        <w:jc w:val="both"/>
      </w:pPr>
      <w:r>
        <w:rPr>
          <w:rFonts w:ascii="Times New Roman" w:hAnsi="Times New Roman" w:eastAsia="Times New Roman"/>
          <w:b w:val="0"/>
          <w:caps w:val="0"/>
          <w:sz w:val="24"/>
        </w:rPr>
        <w:t>Verifikimi nxori edhe tri defekte të vërteta në motor, që prodhonin kod që nuk kompilon dhe që asnjëri nga njëzet e një testet e shkruara me dorë nuk i kishte kapur; i kapi korpusi.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tri nga katër erërat, detektorët i kapin rastet e rënda shumë më mirë se të lehtat; te Blob-i ndodh e kundërta.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spacing w:line="360" w:lineRule="auto"/>
        <w:ind w:firstLine="360"/>
        <w:jc w:val="both"/>
      </w:pPr>
      <w:r>
        <w:rPr>
          <w:rFonts w:ascii="Times New Roman" w:hAnsi="Times New Roman" w:eastAsia="Times New Roman"/>
          <w:b w:val="0"/>
          <w:caps w:val="0"/>
          <w:sz w:val="24"/>
        </w:rPr>
        <w:t>Rishkrimet prishëse që i kapi korpusi, ndërsa testet e shkruara me dorë për të njëjtin transformim nuk i kapën (Nënkapitulli 5.4), tregojnë se verifikimi empirik mbi kod real nuk zëvendësohet dot me teste njësie, sado të kujdesshme. Kjo është vetë një gjetje e këtij punimi.</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 E njëjta formë del te Extract Method: rishkrimi i saktë sjell shpesh një Long Parameter List të re (Nënkapitulli 5.4), pra e zhvendos problemin në vend që ta heqë.</w:t>
      </w:r>
    </w:p>
    <w:p>
      <w:pPr>
        <w:pStyle w:val="Heading2"/>
      </w:pPr>
      <w:r>
        <w:rPr>
          <w:rFonts w:ascii="Times New Roman" w:hAnsi="Times New Roman" w:eastAsia="Times New Roman"/>
          <w:b/>
          <w:caps w:val="0"/>
          <w:sz w:val="24"/>
        </w:rPr>
        <w:t>6.3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Lanza &amp; Marinescu-t, me pragjet e tyre të publikuara, dolën të sakta por me recall të ulët mbi MLCQ, ndërsa modelet e mësuara mbi të njëjtat metrika i tejkaluan te të katër erërat. Informacioni ndodhet pra te metrikat; pragjet fikse janë ajo që e humbin. Pajtimi i ulët mes vetë rishikuesve shton se një pjesë e gabimit i takon përkufizimit të erës dhe jo detektorit, ndaj krahasimet në këtë fushë duhen lexuar kundrejt atij tavani.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mjet në përdorim të përditshëm, rregullat japin sinjal të rrallë por të besueshëm, të përshtatshëm si paralajmërim me pak zhurmë; aty ku mbulimi ka më shumë rëndësi, modeli është zgjedhja më e mirë. Refaktorimi i automatizuar është i realizueshëm me siguri vetëm për një pjesë të vendeve, rreth një në pesë, dhe vlera e tij varet pikërisht nga refuzimi i atyre që nuk i provon.</w:t>
      </w:r>
    </w:p>
    <w:p>
      <w:pPr>
        <w:pStyle w:val="Heading2"/>
      </w:pPr>
      <w:r>
        <w:rPr>
          <w:rFonts w:ascii="Times New Roman" w:hAnsi="Times New Roman" w:eastAsia="Times New Roman"/>
          <w:b/>
          <w:caps w:val="0"/>
          <w:sz w:val="24"/>
        </w:rPr>
        <w:t>6.4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dhe kompilimi brenda projektit (Nënkapitulli 5.4) tregon se shumica e këtyre rasteve i detyrohen izolimit dhe jo rishkrimit. Testet e projekteve nuk u ekzekutuan, sepse korpusi mban vetëm skedarë «.java», pa «pom.xml», «build.gradle» dhe biblioteka të treta; ky verifikim mbetet punë e ardhshme.</w:t>
      </w:r>
    </w:p>
    <w:p>
      <w:pPr>
        <w:spacing w:line="360" w:lineRule="auto"/>
        <w:ind w:firstLine="360"/>
        <w:jc w:val="both"/>
      </w:pPr>
      <w:r>
        <w:rPr>
          <w:rFonts w:ascii="Times New Roman" w:hAnsi="Times New Roman" w:eastAsia="Times New Roman"/>
          <w:b w:val="0"/>
          <w:caps w:val="0"/>
          <w:sz w:val="24"/>
        </w:rPr>
        <w:t>Cilësia e rishkrimeve u vlerësua nga një rishikues i vetëm, autori i motorit. Rubrika e fiksuar paraprakisht dhe fleta e komituar nuk e zëvendësojnë pavarësinë,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pajtimi doli pranë rastësisë për tri nga katër erërat, me mbivlerësim sistematik (Shtojca 8.9). Ajo mbetet renditje e brendshme e mjetit.</w:t>
      </w:r>
    </w:p>
    <w:p>
      <w:pPr>
        <w:spacing w:line="360" w:lineRule="auto"/>
        <w:ind w:firstLine="360"/>
        <w:jc w:val="both"/>
      </w:pPr>
      <w:r>
        <w:rPr>
          <w:rFonts w:ascii="Times New Roman" w:hAnsi="Times New Roman" w:eastAsia="Times New Roman"/>
          <w:b w:val="0"/>
          <w:caps w:val="0"/>
          <w:sz w:val="24"/>
        </w:rPr>
        <w:t>Recall-i i Blob-it kundrejt MLCQ-së nuk mat atë që emri i tij sugjeron. Nga 315 raste që strategjia i humbi, 65 nuk janë më të mëdha se klasa mesatare e pastër, dhe asnjë metrikë e vetme klase nuk i ndan nga klasat e pastra: më e mira arrin 0.773, ku 0.50 do të thotë asnjë informacion. Shifra mat pra pajtimin e një strategjie të madhësisë dhe të kohezionit me një gjykim njerëzor që shpesh nuk mbështetet te madhësia (Shtojca 8.11).</w:t>
      </w:r>
    </w:p>
    <w:p>
      <w:pPr>
        <w:spacing w:line="360" w:lineRule="auto"/>
        <w:ind w:firstLine="360"/>
        <w:jc w:val="both"/>
      </w:pPr>
      <w:r>
        <w:rPr>
          <w:rFonts w:ascii="Times New Roman" w:hAnsi="Times New Roman" w:eastAsia="Times New Roman"/>
          <w:b w:val="0"/>
          <w:caps w:val="0"/>
          <w:sz w:val="24"/>
        </w:rPr>
        <w:t>Një tavan i dytë i përket matjes. TCC-ja është e papërcaktuar për klasat me më pak se dy metoda publike të instancës, dhe llogaritësi i jep vlerën maksimale, të cilën asnjë klauzolë e God Class-it nuk e pranon. Nga 19 mospërputhje që ndalen vetëm te kohezioni, 17 kanë TCC të papërcaktuar. Ndreqja do ta shkëpuste TCC-në nga përkufizimi i botuar,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6.5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Shtojca 8.6;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6.6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6.4.</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15).</w:t>
      </w:r>
    </w:p>
    <w:p>
      <w:pPr>
        <w:spacing w:line="240" w:lineRule="auto"/>
        <w:jc w:val="center"/>
      </w:pPr>
      <w:r>
        <w:rPr>
          <w:rFonts w:ascii="Times New Roman" w:hAnsi="Times New Roman" w:eastAsia="Times New Roman"/>
          <w:b w:val="0"/>
          <w:caps w:val="0"/>
          <w:sz w:val="22"/>
        </w:rPr>
        <w:t>Tabela 15.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16).</w:t>
      </w:r>
    </w:p>
    <w:p>
      <w:pPr>
        <w:spacing w:line="240" w:lineRule="auto"/>
        <w:jc w:val="center"/>
      </w:pPr>
      <w:r>
        <w:rPr>
          <w:rFonts w:ascii="Times New Roman" w:hAnsi="Times New Roman" w:eastAsia="Times New Roman"/>
          <w:b w:val="0"/>
          <w:caps w:val="0"/>
          <w:sz w:val="22"/>
        </w:rPr>
        <w:t>Tabela 16.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17).</w:t>
      </w:r>
    </w:p>
    <w:p>
      <w:pPr>
        <w:spacing w:line="240" w:lineRule="auto"/>
        <w:jc w:val="center"/>
      </w:pPr>
      <w:r>
        <w:rPr>
          <w:rFonts w:ascii="Times New Roman" w:hAnsi="Times New Roman" w:eastAsia="Times New Roman"/>
          <w:b w:val="0"/>
          <w:caps w:val="0"/>
          <w:sz w:val="22"/>
        </w:rPr>
        <w:t>Tabela 17.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18).</w:t>
      </w:r>
    </w:p>
    <w:p>
      <w:pPr>
        <w:spacing w:line="240" w:lineRule="auto"/>
        <w:jc w:val="center"/>
      </w:pPr>
      <w:r>
        <w:rPr>
          <w:rFonts w:ascii="Times New Roman" w:hAnsi="Times New Roman" w:eastAsia="Times New Roman"/>
          <w:b w:val="0"/>
          <w:caps w:val="0"/>
          <w:sz w:val="22"/>
        </w:rPr>
        <w:t>Tabela 18.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19).</w:t>
      </w:r>
    </w:p>
    <w:p>
      <w:pPr>
        <w:spacing w:line="240" w:lineRule="auto"/>
        <w:jc w:val="center"/>
      </w:pPr>
      <w:r>
        <w:rPr>
          <w:rFonts w:ascii="Times New Roman" w:hAnsi="Times New Roman" w:eastAsia="Times New Roman"/>
          <w:b w:val="0"/>
          <w:caps w:val="0"/>
          <w:sz w:val="22"/>
        </w:rPr>
        <w:t>Tabela 19.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20).</w:t>
      </w:r>
    </w:p>
    <w:p>
      <w:pPr>
        <w:spacing w:line="240" w:lineRule="auto"/>
        <w:jc w:val="center"/>
      </w:pPr>
      <w:r>
        <w:rPr>
          <w:rFonts w:ascii="Times New Roman" w:hAnsi="Times New Roman" w:eastAsia="Times New Roman"/>
          <w:b w:val="0"/>
          <w:caps w:val="0"/>
          <w:sz w:val="22"/>
        </w:rPr>
        <w:t>Tabela 20.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21).</w:t>
      </w:r>
    </w:p>
    <w:p>
      <w:pPr>
        <w:spacing w:line="240" w:lineRule="auto"/>
        <w:jc w:val="center"/>
      </w:pPr>
      <w:r>
        <w:rPr>
          <w:rFonts w:ascii="Times New Roman" w:hAnsi="Times New Roman" w:eastAsia="Times New Roman"/>
          <w:b w:val="0"/>
          <w:caps w:val="0"/>
          <w:sz w:val="22"/>
        </w:rPr>
        <w:t>Tabela 21.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22).</w:t>
      </w:r>
    </w:p>
    <w:p>
      <w:pPr>
        <w:spacing w:line="240" w:lineRule="auto"/>
        <w:jc w:val="center"/>
      </w:pPr>
      <w:r>
        <w:rPr>
          <w:rFonts w:ascii="Times New Roman" w:hAnsi="Times New Roman" w:eastAsia="Times New Roman"/>
          <w:b w:val="0"/>
          <w:caps w:val="0"/>
          <w:sz w:val="22"/>
        </w:rPr>
        <w:t>Tabela 22.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23; Figura 6).</w:t>
      </w:r>
    </w:p>
    <w:p>
      <w:pPr>
        <w:spacing w:line="240" w:lineRule="auto"/>
        <w:jc w:val="center"/>
      </w:pPr>
      <w:r>
        <w:rPr>
          <w:rFonts w:ascii="Times New Roman" w:hAnsi="Times New Roman" w:eastAsia="Times New Roman"/>
          <w:b w:val="0"/>
          <w:caps w:val="0"/>
          <w:sz w:val="22"/>
        </w:rPr>
        <w:t>Tabela 23.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24).</w:t>
      </w:r>
    </w:p>
    <w:p>
      <w:pPr>
        <w:spacing w:line="240" w:lineRule="auto"/>
        <w:jc w:val="center"/>
      </w:pPr>
      <w:r>
        <w:rPr>
          <w:rFonts w:ascii="Times New Roman" w:hAnsi="Times New Roman" w:eastAsia="Times New Roman"/>
          <w:b w:val="0"/>
          <w:caps w:val="0"/>
          <w:sz w:val="22"/>
        </w:rPr>
        <w:t>Tabela 24.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25).</w:t>
      </w:r>
    </w:p>
    <w:p>
      <w:pPr>
        <w:spacing w:line="240" w:lineRule="auto"/>
        <w:jc w:val="center"/>
      </w:pPr>
      <w:r>
        <w:rPr>
          <w:rFonts w:ascii="Times New Roman" w:hAnsi="Times New Roman" w:eastAsia="Times New Roman"/>
          <w:b w:val="0"/>
          <w:caps w:val="0"/>
          <w:sz w:val="22"/>
        </w:rPr>
        <w:t>Tabela 25.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4.6, sepse PMD e llogarit ATFD-në vetëm brenda një skedari. Heqja e handikapit do të kërkonte ndërtimin e çdo depoje në commit-in e vet historik, çka korpusi nuk e lejon (Nënkapitulli 6.4).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26; Tabela 27).</w:t>
      </w:r>
    </w:p>
    <w:p>
      <w:pPr>
        <w:spacing w:line="240" w:lineRule="auto"/>
        <w:jc w:val="center"/>
      </w:pPr>
      <w:r>
        <w:rPr>
          <w:rFonts w:ascii="Times New Roman" w:hAnsi="Times New Roman" w:eastAsia="Times New Roman"/>
          <w:b w:val="0"/>
          <w:caps w:val="0"/>
          <w:sz w:val="22"/>
        </w:rPr>
        <w:t>Tabela 26.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28).</w:t>
      </w:r>
    </w:p>
    <w:p>
      <w:pPr>
        <w:spacing w:line="240" w:lineRule="auto"/>
        <w:jc w:val="center"/>
      </w:pPr>
      <w:r>
        <w:rPr>
          <w:rFonts w:ascii="Times New Roman" w:hAnsi="Times New Roman" w:eastAsia="Times New Roman"/>
          <w:b w:val="0"/>
          <w:caps w:val="0"/>
          <w:sz w:val="22"/>
        </w:rPr>
        <w:t>Tabela 28.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7).</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29; Figura 8).</w:t>
      </w:r>
    </w:p>
    <w:p>
      <w:pPr>
        <w:spacing w:line="240" w:lineRule="auto"/>
        <w:jc w:val="center"/>
      </w:pPr>
      <w:r>
        <w:rPr>
          <w:rFonts w:ascii="Times New Roman" w:hAnsi="Times New Roman" w:eastAsia="Times New Roman"/>
          <w:b w:val="0"/>
          <w:caps w:val="0"/>
          <w:sz w:val="22"/>
        </w:rPr>
        <w:t>Tabela 29.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30):</w:t>
      </w:r>
    </w:p>
    <w:p>
      <w:pPr>
        <w:spacing w:line="240" w:lineRule="auto"/>
        <w:jc w:val="center"/>
      </w:pPr>
      <w:r>
        <w:rPr>
          <w:rFonts w:ascii="Times New Roman" w:hAnsi="Times New Roman" w:eastAsia="Times New Roman"/>
          <w:b w:val="0"/>
          <w:caps w:val="0"/>
          <w:sz w:val="22"/>
        </w:rPr>
        <w:t>Tabela 30.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31).</w:t>
      </w:r>
    </w:p>
    <w:p>
      <w:pPr>
        <w:spacing w:line="240" w:lineRule="auto"/>
        <w:jc w:val="center"/>
      </w:pPr>
      <w:r>
        <w:rPr>
          <w:rFonts w:ascii="Times New Roman" w:hAnsi="Times New Roman" w:eastAsia="Times New Roman"/>
          <w:b w:val="0"/>
          <w:caps w:val="0"/>
          <w:sz w:val="22"/>
        </w:rPr>
        <w:t>Tabela 31.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32).</w:t>
      </w:r>
    </w:p>
    <w:p>
      <w:pPr>
        <w:spacing w:line="240" w:lineRule="auto"/>
        <w:jc w:val="center"/>
      </w:pPr>
      <w:r>
        <w:rPr>
          <w:rFonts w:ascii="Times New Roman" w:hAnsi="Times New Roman" w:eastAsia="Times New Roman"/>
          <w:b w:val="0"/>
          <w:caps w:val="0"/>
          <w:sz w:val="22"/>
        </w:rPr>
        <w:t>Tabela 32.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33).</w:t>
      </w:r>
    </w:p>
    <w:p>
      <w:pPr>
        <w:spacing w:line="240" w:lineRule="auto"/>
        <w:jc w:val="center"/>
      </w:pPr>
      <w:r>
        <w:rPr>
          <w:rFonts w:ascii="Times New Roman" w:hAnsi="Times New Roman" w:eastAsia="Times New Roman"/>
          <w:b w:val="0"/>
          <w:caps w:val="0"/>
          <w:sz w:val="22"/>
        </w:rPr>
        <w:t>Tabela 33.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34).</w:t>
      </w:r>
    </w:p>
    <w:p>
      <w:pPr>
        <w:spacing w:line="240" w:lineRule="auto"/>
        <w:jc w:val="center"/>
      </w:pPr>
      <w:r>
        <w:rPr>
          <w:rFonts w:ascii="Times New Roman" w:hAnsi="Times New Roman" w:eastAsia="Times New Roman"/>
          <w:b w:val="0"/>
          <w:caps w:val="0"/>
          <w:sz w:val="22"/>
        </w:rPr>
        <w:t>Tabela 34.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6.4).</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