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spacing w:line="360" w:lineRule="auto"/>
        <w:ind w:firstLine="360"/>
        <w:jc w:val="both"/>
      </w:pPr>
      <w:r>
        <w:rPr>
          <w:rFonts w:ascii="Times New Roman" w:hAnsi="Times New Roman" w:eastAsia="Times New Roman"/>
          <w:b w:val="0"/>
          <w:caps w:val="0"/>
          <w:sz w:val="24"/>
        </w:rPr>
        <w:t>Figura 9. Ashpërsia e derivuar kundrejt asaj që caktuan rishikuesit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Sa lëviz MCC-ja kur zhvendoset një prag</w:t>
      </w:r>
    </w:p>
    <w:p>
      <w:pPr>
        <w:spacing w:line="360" w:lineRule="auto"/>
        <w:ind w:firstLine="360"/>
        <w:jc w:val="both"/>
      </w:pPr>
      <w:r>
        <w:rPr>
          <w:rFonts w:ascii="Times New Roman" w:hAnsi="Times New Roman" w:eastAsia="Times New Roman"/>
          <w:b w:val="0"/>
          <w:caps w:val="0"/>
          <w:sz w:val="24"/>
        </w:rPr>
        <w:t>Tabela 18.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19.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20. Intervale besimi 95% për MCC-në</w:t>
      </w:r>
    </w:p>
    <w:p>
      <w:pPr>
        <w:spacing w:line="360" w:lineRule="auto"/>
        <w:ind w:firstLine="360"/>
        <w:jc w:val="both"/>
      </w:pPr>
      <w:r>
        <w:rPr>
          <w:rFonts w:ascii="Times New Roman" w:hAnsi="Times New Roman" w:eastAsia="Times New Roman"/>
          <w:b w:val="0"/>
          <w:caps w:val="0"/>
          <w:sz w:val="24"/>
        </w:rPr>
        <w:t>Tabela 21. B − A kur rregullat marrin pragun e tyre më të mirë</w:t>
      </w:r>
    </w:p>
    <w:p>
      <w:pPr>
        <w:spacing w:line="360" w:lineRule="auto"/>
        <w:ind w:firstLine="360"/>
        <w:jc w:val="both"/>
      </w:pPr>
      <w:r>
        <w:rPr>
          <w:rFonts w:ascii="Times New Roman" w:hAnsi="Times New Roman" w:eastAsia="Times New Roman"/>
          <w:b w:val="0"/>
          <w:caps w:val="0"/>
          <w:sz w:val="24"/>
        </w:rPr>
        <w:t>Tabela 22. Sa pajtohen rishikuesit me njëri-tjetrin</w:t>
      </w:r>
    </w:p>
    <w:p>
      <w:pPr>
        <w:spacing w:line="360" w:lineRule="auto"/>
        <w:ind w:firstLine="360"/>
        <w:jc w:val="both"/>
      </w:pPr>
      <w:r>
        <w:rPr>
          <w:rFonts w:ascii="Times New Roman" w:hAnsi="Times New Roman" w:eastAsia="Times New Roman"/>
          <w:b w:val="0"/>
          <w:caps w:val="0"/>
          <w:sz w:val="24"/>
        </w:rPr>
        <w:t>Tabela 23. Krahasimi i MCC-së me Madeyski &amp; Lewowski (2023), mbi MLCQ</w:t>
      </w:r>
    </w:p>
    <w:p>
      <w:pPr>
        <w:spacing w:line="360" w:lineRule="auto"/>
        <w:ind w:firstLine="360"/>
        <w:jc w:val="both"/>
      </w:pPr>
      <w:r>
        <w:rPr>
          <w:rFonts w:ascii="Times New Roman" w:hAnsi="Times New Roman" w:eastAsia="Times New Roman"/>
          <w:b w:val="0"/>
          <w:caps w:val="0"/>
          <w:sz w:val="24"/>
        </w:rPr>
        <w:t>Tabela 24. Strategjitë e detektimit dhe burimet e tyre</w:t>
      </w:r>
    </w:p>
    <w:p>
      <w:pPr>
        <w:spacing w:line="360" w:lineRule="auto"/>
        <w:ind w:firstLine="360"/>
        <w:jc w:val="both"/>
      </w:pPr>
      <w:r>
        <w:rPr>
          <w:rFonts w:ascii="Times New Roman" w:hAnsi="Times New Roman" w:eastAsia="Times New Roman"/>
          <w:b w:val="0"/>
          <w:caps w:val="0"/>
          <w:sz w:val="24"/>
        </w:rPr>
        <w:t>Tabela 25. Kuantifikuesit e përgjithshëm</w:t>
      </w:r>
    </w:p>
    <w:p>
      <w:pPr>
        <w:spacing w:line="360" w:lineRule="auto"/>
        <w:ind w:firstLine="360"/>
        <w:jc w:val="both"/>
      </w:pPr>
      <w:r>
        <w:rPr>
          <w:rFonts w:ascii="Times New Roman" w:hAnsi="Times New Roman" w:eastAsia="Times New Roman"/>
          <w:b w:val="0"/>
          <w:caps w:val="0"/>
          <w:sz w:val="24"/>
        </w:rPr>
        <w:t>Tabela 26. Pragjet e përdorura</w:t>
      </w:r>
    </w:p>
    <w:p>
      <w:pPr>
        <w:spacing w:line="360" w:lineRule="auto"/>
        <w:ind w:firstLine="360"/>
        <w:jc w:val="both"/>
      </w:pPr>
      <w:r>
        <w:rPr>
          <w:rFonts w:ascii="Times New Roman" w:hAnsi="Times New Roman" w:eastAsia="Times New Roman"/>
          <w:b w:val="0"/>
          <w:caps w:val="0"/>
          <w:sz w:val="24"/>
        </w:rPr>
        <w:t>Tabela 27. Metrikat sipas nivelit</w:t>
      </w:r>
    </w:p>
    <w:p>
      <w:pPr>
        <w:spacing w:line="360" w:lineRule="auto"/>
        <w:ind w:firstLine="360"/>
        <w:jc w:val="both"/>
      </w:pPr>
      <w:r>
        <w:rPr>
          <w:rFonts w:ascii="Times New Roman" w:hAnsi="Times New Roman" w:eastAsia="Times New Roman"/>
          <w:b w:val="0"/>
          <w:caps w:val="0"/>
          <w:sz w:val="24"/>
        </w:rPr>
        <w:t>Tabela 28. Çka propozohet dhe çka aplikohet</w:t>
      </w:r>
    </w:p>
    <w:p>
      <w:pPr>
        <w:spacing w:line="360" w:lineRule="auto"/>
        <w:ind w:firstLine="360"/>
        <w:jc w:val="both"/>
      </w:pPr>
      <w:r>
        <w:rPr>
          <w:rFonts w:ascii="Times New Roman" w:hAnsi="Times New Roman" w:eastAsia="Times New Roman"/>
          <w:b w:val="0"/>
          <w:caps w:val="0"/>
          <w:sz w:val="24"/>
        </w:rPr>
        <w:t>Tabela 29. Arsyet e refuzimit</w:t>
      </w:r>
    </w:p>
    <w:p>
      <w:pPr>
        <w:spacing w:line="360" w:lineRule="auto"/>
        <w:ind w:firstLine="360"/>
        <w:jc w:val="both"/>
      </w:pPr>
      <w:r>
        <w:rPr>
          <w:rFonts w:ascii="Times New Roman" w:hAnsi="Times New Roman" w:eastAsia="Times New Roman"/>
          <w:b w:val="0"/>
          <w:caps w:val="0"/>
          <w:sz w:val="24"/>
        </w:rPr>
        <w:t>Tabela 30. Radha e ekzekutimit</w:t>
      </w:r>
    </w:p>
    <w:p>
      <w:pPr>
        <w:spacing w:line="360" w:lineRule="auto"/>
        <w:ind w:firstLine="360"/>
        <w:jc w:val="both"/>
      </w:pPr>
      <w:r>
        <w:rPr>
          <w:rFonts w:ascii="Times New Roman" w:hAnsi="Times New Roman" w:eastAsia="Times New Roman"/>
          <w:b w:val="0"/>
          <w:caps w:val="0"/>
          <w:sz w:val="24"/>
        </w:rPr>
        <w:t>Tabela 31. Commit-i që prodhoi çdo skedar rezultati</w:t>
      </w:r>
    </w:p>
    <w:p>
      <w:pPr>
        <w:spacing w:line="360" w:lineRule="auto"/>
        <w:ind w:firstLine="360"/>
        <w:jc w:val="both"/>
      </w:pPr>
      <w:r>
        <w:rPr>
          <w:rFonts w:ascii="Times New Roman" w:hAnsi="Times New Roman" w:eastAsia="Times New Roman"/>
          <w:b w:val="0"/>
          <w:caps w:val="0"/>
          <w:sz w:val="24"/>
        </w:rPr>
        <w:t>Tabela 32. Sa klauzola dështuan te secila mospërputhje</w:t>
      </w:r>
    </w:p>
    <w:p>
      <w:pPr>
        <w:spacing w:line="360" w:lineRule="auto"/>
        <w:ind w:firstLine="360"/>
        <w:jc w:val="both"/>
      </w:pPr>
      <w:r>
        <w:rPr>
          <w:rFonts w:ascii="Times New Roman" w:hAnsi="Times New Roman" w:eastAsia="Times New Roman"/>
          <w:b w:val="0"/>
          <w:caps w:val="0"/>
          <w:sz w:val="24"/>
        </w:rPr>
        <w:t>Tabela 33. Kur një klauzolë e vetme e ndal strategjinë</w:t>
      </w:r>
    </w:p>
    <w:p>
      <w:pPr>
        <w:spacing w:line="360" w:lineRule="auto"/>
        <w:ind w:firstLine="360"/>
        <w:jc w:val="both"/>
      </w:pPr>
      <w:r>
        <w:rPr>
          <w:rFonts w:ascii="Times New Roman" w:hAnsi="Times New Roman" w:eastAsia="Times New Roman"/>
          <w:b w:val="0"/>
          <w:caps w:val="0"/>
          <w:sz w:val="24"/>
        </w:rPr>
        <w:t>Tabela 34. Pajtimi i ashpërsisë me rishikuesit</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tre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të sillet njësoj edhe kur ekzekutohet do të ishte garanci më e fortë, por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triave,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e vetë sistemit, përfshirë ato që lexojnë strategjitë, dhe një ablacion me vetëm metrikat e strategjisë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për të cilën u propozuan,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717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Etiketa është mesatarja e rrumbullakosur e Nënkapitullit 4.3,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keepNext/>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Rezultatet kryesore ndjekin pyetjet kërkimore: 5.1 i përgjigjet PK1, 5.2 dhe 5.3 PK2, dhe 5.4 PK3. Vëzhgimet dytësore vijnë pas tyre: ndjeshmëria ndaj pragjeve (5.5), krahasimi me një mjet ekzistues (5.6), dhe intervalet e besimit bashkë me pajtimin mes rishikuesve (5.7). Analizat e tjera dytësore janë te Shtojcat 8.6 deri 8.8.</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keepNext/>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keepNext/>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keepNext/>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keepNext/>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keepNext/>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keepNext/>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keepNext/>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keepNext/>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keepNext/>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keepNext/>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keepNext/>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keepNext/>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keepNext/>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keepNext/>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3459</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3</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Te tri rishkrime javac-u nuk dha verdikt, ndaj për ato dihet vetëm se rishkrimi është Java e vlefshme.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keepNext/>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keepNext/>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keepNext/>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197</w:t>
            </w:r>
          </w:p>
        </w:tc>
        <w:tc>
          <w:tcPr>
            <w:tcW w:type="dxa" w:w="2946"/>
          </w:tcPr>
          <w:p>
            <w:pPr>
              <w:spacing w:line="240" w:lineRule="auto"/>
              <w:jc w:val="left"/>
            </w:pPr>
            <w:r>
              <w:rPr>
                <w:rFonts w:ascii="Times New Roman" w:hAnsi="Times New Roman" w:eastAsia="Times New Roman"/>
                <w:b w:val="0"/>
                <w:caps w:val="0"/>
                <w:sz w:val="22"/>
              </w:rPr>
              <w:t>114</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4 te 66 nga 201 rishkrime, pra nga 2.0% në 32.8%.</w:t>
      </w:r>
    </w:p>
    <w:p>
      <w:pPr>
        <w:spacing w:line="360" w:lineRule="auto"/>
        <w:ind w:firstLine="360"/>
        <w:jc w:val="both"/>
      </w:pPr>
      <w:r>
        <w:rPr>
          <w:rFonts w:ascii="Times New Roman" w:hAnsi="Times New Roman" w:eastAsia="Times New Roman"/>
          <w:b w:val="0"/>
          <w:caps w:val="0"/>
          <w:sz w:val="24"/>
        </w:rPr>
        <w:t>Dy nga 201 rishkrimet nuk shtonin lloj të ri gabimi kur kompiloheshin të izoluara, por shtojnë kur kompilohen brenda projektit të vet. Rastet janë Extract Method mbi PlanModifierUtil.fixTopOBSchema(RelNode, Pair, List, boolean) në projektin «hive» dhe Extract Method mbi TypeHierarchyTests.testSupertypeHierarchyOnWorkingCopy() në projektin «eclipse.jdt.core». Gabimet që shtojnë janë «package ImmutableMap does not exist», «package org.eclipse.jface.text does not exist» dhe «package org.eclipse.text.edits does not exist». Pa verdikt mbetën 19 kompilime, nga kufiri kohor ose nga një javac që dështoi pa emërtuar gabim,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keepNext/>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keepNext/>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Secili prag i strategjive u zhvendos veç me faktorët e Nënkapitullit 4.9, ndërsa të tjerët mbetën te vlerat e botuara. Rreshtat renditen sipas amplitudës, pra dallimit mes MCC-së më të lartë dhe më të ulët që jep pragu (Tabela 17; Figura 7):</w:t>
      </w:r>
    </w:p>
    <w:p>
      <w:pPr>
        <w:keepNext/>
        <w:spacing w:line="240" w:lineRule="auto"/>
        <w:jc w:val="center"/>
      </w:pPr>
      <w:r>
        <w:rPr>
          <w:rFonts w:ascii="Times New Roman" w:hAnsi="Times New Roman" w:eastAsia="Times New Roman"/>
          <w:b w:val="0"/>
          <w:caps w:val="0"/>
          <w:sz w:val="22"/>
        </w:rPr>
        <w:t>Tabela 17.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keepNext/>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Amplituda kalon 0.2 vetëm te Long Method dhe Feature Envy; te Blob dhe Data Class asnjë prag nuk e lëviz MCC-në më shumë se 0.101.</w:t>
      </w:r>
    </w:p>
    <w:p>
      <w:pPr>
        <w:spacing w:line="360" w:lineRule="auto"/>
        <w:ind w:firstLine="360"/>
        <w:jc w:val="both"/>
      </w:pPr>
      <w:r>
        <w:rPr>
          <w:rFonts w:ascii="Times New Roman" w:hAnsi="Times New Roman" w:eastAsia="Times New Roman"/>
          <w:b w:val="0"/>
          <w:caps w:val="0"/>
          <w:sz w:val="24"/>
        </w:rPr>
        <w:t>Vlera me MCC-në më të lartë është long_method_loc = 15 në vend të 30 te Long Method (MCC 0.690; recall 0.440 → 0.838, precizion 0.872 → 0.653) dhe feature_envy_fdp = 10 në vend të 5 te Feature Envy (MCC 0.411; recall 0.181 → 0.306, precizion 0.520 → 0.647).</w:t>
      </w:r>
    </w:p>
    <w:p>
      <w:pPr>
        <w:spacing w:line="360" w:lineRule="auto"/>
        <w:ind w:firstLine="360"/>
        <w:jc w:val="both"/>
      </w:pPr>
      <w:r>
        <w:rPr>
          <w:rFonts w:ascii="Times New Roman" w:hAnsi="Times New Roman" w:eastAsia="Times New Roman"/>
          <w:b w:val="0"/>
          <w:caps w:val="0"/>
          <w:sz w:val="24"/>
        </w:rPr>
        <w:t>Me kalibrimin jashtë fold-it (pesë folde sipas depos, Nënkapitulli 4.9), rregullat arrijnë këto vlera; kolona e fundit jep pragun që zgjodhi secili fold dhe sa herë u zgjodh (Tabela 18):</w:t>
      </w:r>
    </w:p>
    <w:p>
      <w:pPr>
        <w:keepNext/>
        <w:spacing w:line="240" w:lineRule="auto"/>
        <w:jc w:val="center"/>
      </w:pPr>
      <w:r>
        <w:rPr>
          <w:rFonts w:ascii="Times New Roman" w:hAnsi="Times New Roman" w:eastAsia="Times New Roman"/>
          <w:b w:val="0"/>
          <w:caps w:val="0"/>
          <w:sz w:val="22"/>
        </w:rPr>
        <w:t>Tabela 18.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Të gjitha foldet zgjodhën të njëjtën vlerë vetëm te Feature Envy; te Blob dhe Long Method ranë dakord për pragun, por jo për vlerën; te Data Class katër folde lëvizën data_class_woc dhe një fold lëvizi data_class_wmc_low.</w:t>
      </w:r>
    </w:p>
    <w:p>
      <w:pPr>
        <w:spacing w:line="360" w:lineRule="auto"/>
        <w:ind w:firstLine="360"/>
        <w:jc w:val="both"/>
      </w:pPr>
      <w:r>
        <w:rPr>
          <w:rFonts w:ascii="Times New Roman" w:hAnsi="Times New Roman" w:eastAsia="Times New Roman"/>
          <w:b w:val="0"/>
          <w:caps w:val="0"/>
          <w:sz w:val="24"/>
        </w:rPr>
        <w:t>Recall-i u rrit te të katër erërat, precizioni vetëm te Feature Envy, dhe MCC-ja te tri nga katër erërat.</w:t>
      </w:r>
    </w:p>
    <w:p>
      <w:pPr>
        <w:spacing w:line="360" w:lineRule="auto"/>
        <w:ind w:firstLine="360"/>
        <w:jc w:val="both"/>
      </w:pPr>
      <w:r>
        <w:rPr>
          <w:rFonts w:ascii="Times New Roman" w:hAnsi="Times New Roman" w:eastAsia="Times New Roman"/>
          <w:b w:val="0"/>
          <w:caps w:val="0"/>
          <w:sz w:val="24"/>
        </w:rPr>
        <w:t>Për Long Method, vlera më e mirë e fshirjes mbi tërë korpusin është 0.690, ndërsa kalibrimi jashtë fold-it jep 0.666.</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19).</w:t>
      </w:r>
    </w:p>
    <w:p>
      <w:pPr>
        <w:keepNext/>
        <w:spacing w:line="240" w:lineRule="auto"/>
        <w:jc w:val="center"/>
      </w:pPr>
      <w:r>
        <w:rPr>
          <w:rFonts w:ascii="Times New Roman" w:hAnsi="Times New Roman" w:eastAsia="Times New Roman"/>
          <w:b w:val="0"/>
          <w:caps w:val="0"/>
          <w:sz w:val="22"/>
        </w:rPr>
        <w:t>Tabela 19.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Për Feature Envy PMD nuk ka rregull, ndaj rreshti i saj ka vetëm MCC-në e LawOfDemeter-it, rregullit më të afërt, dhe nuk ka kolonë krahasimi.</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Mostrat e atyre depove janë hequr nga të dyja kolonat e tabelës, ndaj emëruesi i saj është më i vogël se ai i Qasjes A, e cila vlerësoi 4534 mostra.</w:t>
      </w:r>
    </w:p>
    <w:p>
      <w:pPr>
        <w:pStyle w:val="Heading2"/>
      </w:pPr>
      <w:r>
        <w:rPr>
          <w:rFonts w:ascii="Times New Roman" w:hAnsi="Times New Roman" w:eastAsia="Times New Roman"/>
          <w:b/>
          <w:caps w:val="0"/>
          <w:sz w:val="24"/>
        </w:rPr>
        <w:t>5.7 Intervalet e besimit dhe pajtimi mes rishikuesve</w:t>
      </w:r>
    </w:p>
    <w:p>
      <w:pPr>
        <w:spacing w:line="360" w:lineRule="auto"/>
        <w:ind w:firstLine="360"/>
        <w:jc w:val="both"/>
      </w:pPr>
      <w:r>
        <w:rPr>
          <w:rFonts w:ascii="Times New Roman" w:hAnsi="Times New Roman" w:eastAsia="Times New Roman"/>
          <w:b w:val="0"/>
          <w:caps w:val="0"/>
          <w:sz w:val="24"/>
        </w:rPr>
        <w:t>Me bootstrap sipas depos (2000 rimostrime, Nënkapitulli 4.9), MCC-ja e secilës qasje dhe dallimi mes tyre kanë këto intervale besimi 95% (Tabela 20; Figura 8):</w:t>
      </w:r>
    </w:p>
    <w:p>
      <w:pPr>
        <w:keepNext/>
        <w:spacing w:line="240" w:lineRule="auto"/>
        <w:jc w:val="center"/>
      </w:pPr>
      <w:r>
        <w:rPr>
          <w:rFonts w:ascii="Times New Roman" w:hAnsi="Times New Roman" w:eastAsia="Times New Roman"/>
          <w:b w:val="0"/>
          <w:caps w:val="0"/>
          <w:sz w:val="22"/>
        </w:rPr>
        <w:t>Tabela 20.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keepNext/>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Kufiri i poshtëm i dallimit B − A është mbi zero te të katër erërat. Intervali më i gjerë i dallimit është te Feature Envy, 0.281 pikë MCC.</w:t>
      </w:r>
    </w:p>
    <w:p>
      <w:pPr>
        <w:spacing w:line="360" w:lineRule="auto"/>
        <w:ind w:firstLine="360"/>
        <w:jc w:val="both"/>
      </w:pPr>
      <w:r>
        <w:rPr>
          <w:rFonts w:ascii="Times New Roman" w:hAnsi="Times New Roman" w:eastAsia="Times New Roman"/>
          <w:b w:val="0"/>
          <w:caps w:val="0"/>
          <w:sz w:val="24"/>
        </w:rPr>
        <w:t>Kur Qasja A merr pragun e saj më të mirë nga fshirja e Nënkapitullit 5.5, dallimi ka këto intervale (Tabela 21):</w:t>
      </w:r>
    </w:p>
    <w:p>
      <w:pPr>
        <w:keepNext/>
        <w:spacing w:line="240" w:lineRule="auto"/>
        <w:jc w:val="center"/>
      </w:pPr>
      <w:r>
        <w:rPr>
          <w:rFonts w:ascii="Times New Roman" w:hAnsi="Times New Roman" w:eastAsia="Times New Roman"/>
          <w:b w:val="0"/>
          <w:caps w:val="0"/>
          <w:sz w:val="22"/>
        </w:rPr>
        <w:t>Tabela 21.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Kufiri i poshtëm mbetet mbi zero te Blob, Data Class dhe Feature Envy. Te Long Method intervali e përfshin zeron, dhe shenja pozitive ruhet në 97.2% të rimostrimeve.</w:t>
      </w:r>
    </w:p>
    <w:p>
      <w:pPr>
        <w:spacing w:line="360" w:lineRule="auto"/>
        <w:ind w:firstLine="360"/>
        <w:jc w:val="both"/>
      </w:pPr>
      <w:r>
        <w:rPr>
          <w:rFonts w:ascii="Times New Roman" w:hAnsi="Times New Roman" w:eastAsia="Times New Roman"/>
          <w:b w:val="0"/>
          <w:caps w:val="0"/>
          <w:sz w:val="24"/>
        </w:rPr>
        <w:t>Pajtimi mes vetë rishikuesve të MLCQ-së, i matur me të njëjtin tregues mbi çdo çift rishikimesh të së njëjtës mostër (Nënkapitulli 4.9), jep këto vlera (Tabela 22):</w:t>
      </w:r>
    </w:p>
    <w:p>
      <w:pPr>
        <w:keepNext/>
        <w:spacing w:line="240" w:lineRule="auto"/>
        <w:jc w:val="center"/>
      </w:pPr>
      <w:r>
        <w:rPr>
          <w:rFonts w:ascii="Times New Roman" w:hAnsi="Times New Roman" w:eastAsia="Times New Roman"/>
          <w:b w:val="0"/>
          <w:caps w:val="0"/>
          <w:sz w:val="22"/>
        </w:rPr>
        <w:t>Tabela 22.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mes rishikuesve nuk e kalon 0.238 te asnjë erë.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val="0"/>
          <w:caps w:val="0"/>
          <w:sz w:val="24"/>
        </w:rPr>
        <w:t>Sa varet ky përfundim nga pragjet? Te Blob dhe Data Class zhvendosja e çdo pragu mezi e lëviz MCC-në (Nënkapitulli 5.5), ndaj shifrat e tyre flasin për kodin dhe jo për pragun. Te Feature Envy dhe Long Method amplituda është e madhe, pra shifra e raportuar flet po aq për pragun sa për kodin. Kjo vlen sa herë krahasohen mjete detektimi që përdorin pragje të ndryshme: dallimi mes tyre mund të jetë dallim pragjesh e jo metodash.</w:t>
      </w:r>
    </w:p>
    <w:p>
      <w:pPr>
        <w:spacing w:line="360" w:lineRule="auto"/>
        <w:ind w:firstLine="360"/>
        <w:jc w:val="both"/>
      </w:pPr>
      <w:r>
        <w:rPr>
          <w:rFonts w:ascii="Times New Roman" w:hAnsi="Times New Roman" w:eastAsia="Times New Roman"/>
          <w:b w:val="0"/>
          <w:caps w:val="0"/>
          <w:sz w:val="24"/>
        </w:rPr>
        <w:t>Te Long Method, pragu i botuar del konservativ për këtë korpus: me një prag më të ulët recall-i rritet shumë më tepër sesa bie precizioni, çka sugjeron se rishikuesit e MLCQ-së e quajnë një metodë të gjatë më herët sesa e vendos pragu. Fitimi megjithatë paguhet me precizion, dhe foldet e kalibrimit nuk bien dakord për vlerën.</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klasat-burim të jenë pak, kur relaksohet, i përmirëson njëkohësisht precizionin dhe recall-in, dhe kalibrimi jashtë fold-it e zgjedh të njëjtën vlerë në çdo fold. Një kufizim që heq pozitivë të vërtetë pa hequr të rremë nuk e ndan sinjalin nga zhurma; mbi këtë korpus, pra, ajo klauzolë nuk e bën punën për të cilën u vendos.</w:t>
      </w:r>
    </w:p>
    <w:p>
      <w:pPr>
        <w:spacing w:line="360" w:lineRule="auto"/>
        <w:ind w:firstLine="360"/>
        <w:jc w:val="both"/>
      </w:pPr>
      <w:r>
        <w:rPr>
          <w:rFonts w:ascii="Times New Roman" w:hAnsi="Times New Roman" w:eastAsia="Times New Roman"/>
          <w:b w:val="0"/>
          <w:caps w:val="0"/>
          <w:sz w:val="24"/>
        </w:rPr>
        <w:t>Te Long Method, dallimi mes fshirjes dhe kalibrimit (Nënkapitulli 5.5) është pikërisht ajo që fitohet kur zgjedhjes i lejohet ta shohë bashkësinë mbi të cilën do të raportohet, dhe arsyeja pse u raportua shifra e kalibruar.</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Intervalet e besimit e forcojnë këtë lexim (Nënkapitulli 5.7). Përparësia e modelit mbetet mbi zero te të katër erërat kur korpusi rimostrohet sipas depos, pra nuk është artefakt i një korpusi të veçantë. Por intervalet janë të gjera, ndaj renditja e erërave mes tyre nuk qëndron: dallimi mes Data Class-it dhe Blob-it, për shembull, humbet brenda tyre. Kur rregullit i jepet pragu i tij më i mirë, përparësia zhduket te Long Method, pikërisht aty ku rregulli punonte më mirë; ky është kufizimi i vetëm i rëndësishëm i krahasimit mes dy qasjeve.</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197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8.6).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8.7).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(Nënkapitulli 5.5).</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23).</w:t>
      </w:r>
    </w:p>
    <w:p>
      <w:pPr>
        <w:keepNext/>
        <w:spacing w:line="240" w:lineRule="auto"/>
        <w:jc w:val="center"/>
      </w:pPr>
      <w:r>
        <w:rPr>
          <w:rFonts w:ascii="Times New Roman" w:hAnsi="Times New Roman" w:eastAsia="Times New Roman"/>
          <w:b w:val="0"/>
          <w:caps w:val="0"/>
          <w:sz w:val="22"/>
        </w:rPr>
        <w:t>Tabela 23.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të fiksuar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2.3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(Nënkapitulli 5.6),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spacing w:line="360" w:lineRule="auto"/>
        <w:ind w:firstLine="360"/>
        <w:jc w:val="both"/>
      </w:pPr>
      <w:r>
        <w:rPr>
          <w:rFonts w:ascii="Times New Roman" w:hAnsi="Times New Roman" w:eastAsia="Times New Roman"/>
          <w:b w:val="0"/>
          <w:caps w:val="0"/>
          <w:sz w:val="24"/>
        </w:rPr>
        <w:t>Dy gjetje të tjera lidhen me literaturën për ndikimin e erërave. Roli i madhësisë te Blob-i, i diskutuar te Nënkapitulli 6.2, ka një paralel te Sjøberg et al. (2013): edhe atje madhësia e kodit peshonte më shumë se erërat vetë në përpjekjen e mirëmbajtjes. Te refaktorimi, Bavota et al. (2015) gjetën se vetëm 7% e refaktorimeve të zhvilluesve e heqin erën nga klasa; motori i këtij punimi e heq atë te 64.8% e rishkrimeve që aplikon. Krahasimi nuk është i drejtpërdrejtë, sepse zhvilluesit shpesh refaktorojnë për arsye që nuk kanë lidhje me një erë (Silva et al., 2016), por tregon vlerën e një transformimi që zgjidhet për erën e gjetur dhe matet pas aplikimit.</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(Nënkapitulli 5.7).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nuk është pjesë e PK3 dhe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kompilueshmërinë dhe për strukturën, me kosto të matur, ndërsa sjellja mbetet pyetje e hapur.</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spacing w:line="360" w:lineRule="auto"/>
        <w:ind w:firstLine="360"/>
        <w:jc w:val="both"/>
      </w:pPr>
      <w:r>
        <w:rPr>
          <w:rFonts w:ascii="Times New Roman" w:hAnsi="Times New Roman" w:eastAsia="Times New Roman"/>
          <w:b w:val="0"/>
          <w:caps w:val="0"/>
          <w:sz w:val="24"/>
        </w:rPr>
        <w:t>Meqë shumica e erërave lindin bashkë me kodin (Tufano et al., 2015), mjeti ka më shumë vlerë kur vepron herët, si portë në integrimin e vazhdueshëm, sesa si auditim i rrallë mbi një sistem të pjekur. Për Feature Envy, erën që literatura e trajton më shpesh si objektiv refaktorimi, mjetet e lira të përhapura ofrojnë pak: PMD nuk ka rregull për të, DesigniteJava nuk e përfshin mes erërave që dokumenton, dhe JDeodorant, që e gjen përmes mundësive për Move Method (Tsantalis &amp; Chatzigeorgiou, 2009), punon si shtojcë e mjedisit të zhvillimit, ndërsa varianti i tij në rresht komande nuk mban licencë. Një detektor i lirë që punon nga rreshti i komandës e mbush pjesërisht këtë boshllëk.</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8.8).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24).</w:t>
      </w:r>
    </w:p>
    <w:p>
      <w:pPr>
        <w:keepNext/>
        <w:spacing w:line="240" w:lineRule="auto"/>
        <w:jc w:val="center"/>
      </w:pPr>
      <w:r>
        <w:rPr>
          <w:rFonts w:ascii="Times New Roman" w:hAnsi="Times New Roman" w:eastAsia="Times New Roman"/>
          <w:b w:val="0"/>
          <w:caps w:val="0"/>
          <w:sz w:val="22"/>
        </w:rPr>
        <w:t>Tabela 24.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25).</w:t>
      </w:r>
    </w:p>
    <w:p>
      <w:pPr>
        <w:keepNext/>
        <w:spacing w:line="240" w:lineRule="auto"/>
        <w:jc w:val="center"/>
      </w:pPr>
      <w:r>
        <w:rPr>
          <w:rFonts w:ascii="Times New Roman" w:hAnsi="Times New Roman" w:eastAsia="Times New Roman"/>
          <w:b w:val="0"/>
          <w:caps w:val="0"/>
          <w:sz w:val="22"/>
        </w:rPr>
        <w:t>Tabela 25.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26).</w:t>
      </w:r>
    </w:p>
    <w:p>
      <w:pPr>
        <w:keepNext/>
        <w:spacing w:line="240" w:lineRule="auto"/>
        <w:jc w:val="center"/>
      </w:pPr>
      <w:r>
        <w:rPr>
          <w:rFonts w:ascii="Times New Roman" w:hAnsi="Times New Roman" w:eastAsia="Times New Roman"/>
          <w:b w:val="0"/>
          <w:caps w:val="0"/>
          <w:sz w:val="22"/>
        </w:rPr>
        <w:t>Tabela 26.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27).</w:t>
      </w:r>
    </w:p>
    <w:p>
      <w:pPr>
        <w:keepNext/>
        <w:spacing w:line="240" w:lineRule="auto"/>
        <w:jc w:val="center"/>
      </w:pPr>
      <w:r>
        <w:rPr>
          <w:rFonts w:ascii="Times New Roman" w:hAnsi="Times New Roman" w:eastAsia="Times New Roman"/>
          <w:b w:val="0"/>
          <w:caps w:val="0"/>
          <w:sz w:val="22"/>
        </w:rPr>
        <w:t>Tabela 27.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28).</w:t>
      </w:r>
    </w:p>
    <w:p>
      <w:pPr>
        <w:keepNext/>
        <w:spacing w:line="240" w:lineRule="auto"/>
        <w:jc w:val="center"/>
      </w:pPr>
      <w:r>
        <w:rPr>
          <w:rFonts w:ascii="Times New Roman" w:hAnsi="Times New Roman" w:eastAsia="Times New Roman"/>
          <w:b w:val="0"/>
          <w:caps w:val="0"/>
          <w:sz w:val="22"/>
        </w:rPr>
        <w:t>Tabela 28.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29).</w:t>
      </w:r>
    </w:p>
    <w:p>
      <w:pPr>
        <w:keepNext/>
        <w:spacing w:line="240" w:lineRule="auto"/>
        <w:jc w:val="center"/>
      </w:pPr>
      <w:r>
        <w:rPr>
          <w:rFonts w:ascii="Times New Roman" w:hAnsi="Times New Roman" w:eastAsia="Times New Roman"/>
          <w:b w:val="0"/>
          <w:caps w:val="0"/>
          <w:sz w:val="22"/>
        </w:rPr>
        <w:t>Tabela 29.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30).</w:t>
      </w:r>
    </w:p>
    <w:p>
      <w:pPr>
        <w:keepNext/>
        <w:spacing w:line="240" w:lineRule="auto"/>
        <w:jc w:val="center"/>
      </w:pPr>
      <w:r>
        <w:rPr>
          <w:rFonts w:ascii="Times New Roman" w:hAnsi="Times New Roman" w:eastAsia="Times New Roman"/>
          <w:b w:val="0"/>
          <w:caps w:val="0"/>
          <w:sz w:val="22"/>
        </w:rPr>
        <w:t>Tabela 30.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 për të gjithë: Python 3.13.1, Windows-11-10.0.26200-SP0. Commit-i jo: eksperimentet u ekzekutuan njëri pas tjetrit, ndaj secili skedar mban commit-in e vet, dhe ai duhet përdorur për ta riprodhuar (Tabela 31).</w:t>
      </w:r>
    </w:p>
    <w:p>
      <w:pPr>
        <w:keepNext/>
        <w:spacing w:line="240" w:lineRule="auto"/>
        <w:jc w:val="center"/>
      </w:pPr>
      <w:r>
        <w:rPr>
          <w:rFonts w:ascii="Times New Roman" w:hAnsi="Times New Roman" w:eastAsia="Times New Roman"/>
          <w:b w:val="0"/>
          <w:caps w:val="0"/>
          <w:sz w:val="22"/>
        </w:rPr>
        <w:t>Tabela 31.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3f55abe160</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3f55abe160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trajnuara,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Hapi 7, motori mbi korpusin, u riekzekutua më vonë dhe dha të njëjtat totale: po aq vende, po aq rishkrime, po aq refuzime, e njëjta ndarje sipas transformimit dhe sipas arsyes. Krahasimi rresht për rresht nxori megjithatë 21 verdikte kompilimi të ndryshuara, dhe ato çuan te një defekt i vërtetë: një javac që dështon pa emërtuar gabim mbi burimin lexohej si kompilim i pastër, pra 19 rishkrime ishin regjistruar si «kompilon» mbi skedarë që nuk kompilojnë. Pas ndreqjes, kjo shtojcë dhe Kapitulli 5 raportojnë matjen e re. Vlera e riprodhimit qëndron pikërisht këtu: totalet përkonin, dhe defekti u pa vetëm sepse u krahasua çdo rresht.</w:t>
      </w:r>
    </w:p>
    <w:p>
      <w:pPr>
        <w:spacing w:line="360" w:lineRule="auto"/>
        <w:ind w:firstLine="360"/>
        <w:jc w:val="both"/>
      </w:pPr>
      <w:r>
        <w:rPr>
          <w:rFonts w:ascii="Times New Roman" w:hAnsi="Times New Roman" w:eastAsia="Times New Roman"/>
          <w:b w:val="0"/>
          <w:caps w:val="0"/>
          <w:sz w:val="24"/>
        </w:rPr>
        <w:t>Hapi 1 mbetet i pariekzekutuar, sepse kërkon rishkarkimin e korpusit të plotë; për të riprodhimi mbetet pretendim i pakontrolluar, dhe thuhet këtu si i tillë.</w:t>
      </w:r>
    </w:p>
    <w:p>
      <w:pPr>
        <w:pStyle w:val="Heading2"/>
      </w:pPr>
      <w:r>
        <w:rPr>
          <w:rFonts w:ascii="Times New Roman" w:hAnsi="Times New Roman" w:eastAsia="Times New Roman"/>
          <w:b/>
          <w:caps w:val="0"/>
          <w:sz w:val="24"/>
        </w:rPr>
        <w:t>8.6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32; Tabela 33).</w:t>
      </w:r>
    </w:p>
    <w:p>
      <w:pPr>
        <w:keepNext/>
        <w:spacing w:line="240" w:lineRule="auto"/>
        <w:jc w:val="center"/>
      </w:pPr>
      <w:r>
        <w:rPr>
          <w:rFonts w:ascii="Times New Roman" w:hAnsi="Times New Roman" w:eastAsia="Times New Roman"/>
          <w:b w:val="0"/>
          <w:caps w:val="0"/>
          <w:sz w:val="22"/>
        </w:rPr>
        <w:t>Tabela 32.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keepNext/>
        <w:spacing w:line="240" w:lineRule="auto"/>
        <w:jc w:val="center"/>
      </w:pPr>
      <w:r>
        <w:rPr>
          <w:rFonts w:ascii="Times New Roman" w:hAnsi="Times New Roman" w:eastAsia="Times New Roman"/>
          <w:b w:val="0"/>
          <w:caps w:val="0"/>
          <w:sz w:val="22"/>
        </w:rPr>
        <w:t>Tabela 33.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 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8.7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34).</w:t>
      </w:r>
    </w:p>
    <w:p>
      <w:pPr>
        <w:keepNext/>
        <w:spacing w:line="240" w:lineRule="auto"/>
        <w:jc w:val="center"/>
      </w:pPr>
      <w:r>
        <w:rPr>
          <w:rFonts w:ascii="Times New Roman" w:hAnsi="Times New Roman" w:eastAsia="Times New Roman"/>
          <w:b w:val="0"/>
          <w:caps w:val="0"/>
          <w:sz w:val="22"/>
        </w:rPr>
        <w:t>Tabela 34.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9).</w:t>
      </w:r>
    </w:p>
    <w:p>
      <w:pPr>
        <w:keepNext/>
        <w:jc w:val="center"/>
      </w:pPr>
      <w:r>
        <w:drawing>
          <wp:inline xmlns:a="http://schemas.openxmlformats.org/drawingml/2006/main" xmlns:pic="http://schemas.openxmlformats.org/drawingml/2006/picture">
            <wp:extent cx="5120640" cy="2809061"/>
            <wp:docPr id="11" name="Picture 11"/>
            <wp:cNvGraphicFramePr>
              <a:graphicFrameLocks noChangeAspect="1"/>
            </wp:cNvGraphicFramePr>
            <a:graphic>
              <a:graphicData uri="http://schemas.openxmlformats.org/drawingml/2006/picture">
                <pic:pic>
                  <pic:nvPicPr>
                    <pic:cNvPr id="0" name="ashpersia_kundrejt_rishikuesve.png"/>
                    <pic:cNvPicPr/>
                  </pic:nvPicPr>
                  <pic:blipFill>
                    <a:blip r:embed="rId21"/>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8.8 Çfarë mbetet pa u kapur te Blob-i</w:t>
      </w:r>
    </w:p>
    <w:p>
      <w:pPr>
        <w:spacing w:line="360" w:lineRule="auto"/>
        <w:ind w:firstLine="360"/>
        <w:jc w:val="both"/>
      </w:pPr>
      <w:r>
        <w:rPr>
          <w:rFonts w:ascii="Times New Roman" w:hAnsi="Times New Roman" w:eastAsia="Times New Roman"/>
          <w:b w:val="0"/>
          <w:caps w:val="0"/>
          <w:sz w:val="24"/>
        </w:rPr>
        <w:t>Shtojca 8.6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keepNext/>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keepNext/>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pajtohet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keepNext/>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