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18. Sa klauzola dështuan te secila mospërputhje</w:t>
      </w:r>
    </w:p>
    <w:p>
      <w:pPr>
        <w:spacing w:line="360" w:lineRule="auto"/>
        <w:ind w:firstLine="360"/>
        <w:jc w:val="both"/>
      </w:pPr>
      <w:r>
        <w:rPr>
          <w:rFonts w:ascii="Times New Roman" w:hAnsi="Times New Roman" w:eastAsia="Times New Roman"/>
          <w:b w:val="0"/>
          <w:caps w:val="0"/>
          <w:sz w:val="24"/>
        </w:rPr>
        <w:t>Tabela 19. Kur një klauzolë e vetme e ndal strategjinë</w:t>
      </w:r>
    </w:p>
    <w:p>
      <w:pPr>
        <w:spacing w:line="360" w:lineRule="auto"/>
        <w:ind w:firstLine="360"/>
        <w:jc w:val="both"/>
      </w:pPr>
      <w:r>
        <w:rPr>
          <w:rFonts w:ascii="Times New Roman" w:hAnsi="Times New Roman" w:eastAsia="Times New Roman"/>
          <w:b w:val="0"/>
          <w:caps w:val="0"/>
          <w:sz w:val="24"/>
        </w:rPr>
        <w:t>Tabela 20. Pajtimi i ashpërsisë me rishikuesit</w:t>
      </w:r>
    </w:p>
    <w:p>
      <w:pPr>
        <w:spacing w:line="360" w:lineRule="auto"/>
        <w:ind w:firstLine="360"/>
        <w:jc w:val="both"/>
      </w:pPr>
      <w:r>
        <w:rPr>
          <w:rFonts w:ascii="Times New Roman" w:hAnsi="Times New Roman" w:eastAsia="Times New Roman"/>
          <w:b w:val="0"/>
          <w:caps w:val="0"/>
          <w:sz w:val="24"/>
        </w:rPr>
        <w:t>Tabela 21. Intervale besimi 95% për MCC-në</w:t>
      </w:r>
    </w:p>
    <w:p>
      <w:pPr>
        <w:spacing w:line="360" w:lineRule="auto"/>
        <w:ind w:firstLine="360"/>
        <w:jc w:val="both"/>
      </w:pPr>
      <w:r>
        <w:rPr>
          <w:rFonts w:ascii="Times New Roman" w:hAnsi="Times New Roman" w:eastAsia="Times New Roman"/>
          <w:b w:val="0"/>
          <w:caps w:val="0"/>
          <w:sz w:val="24"/>
        </w:rPr>
        <w:t>Tabela 22. B − A kur rregullat marrin pragun e tyre më të mirë</w:t>
      </w:r>
    </w:p>
    <w:p>
      <w:pPr>
        <w:spacing w:line="360" w:lineRule="auto"/>
        <w:ind w:firstLine="360"/>
        <w:jc w:val="both"/>
      </w:pPr>
      <w:r>
        <w:rPr>
          <w:rFonts w:ascii="Times New Roman" w:hAnsi="Times New Roman" w:eastAsia="Times New Roman"/>
          <w:b w:val="0"/>
          <w:caps w:val="0"/>
          <w:sz w:val="24"/>
        </w:rPr>
        <w:t>Tabela 23. Sa pajtohen rishikuesit me njëri-tjetrin</w:t>
      </w:r>
    </w:p>
    <w:p>
      <w:pPr>
        <w:spacing w:line="360" w:lineRule="auto"/>
        <w:ind w:firstLine="360"/>
        <w:jc w:val="both"/>
      </w:pPr>
      <w:r>
        <w:rPr>
          <w:rFonts w:ascii="Times New Roman" w:hAnsi="Times New Roman" w:eastAsia="Times New Roman"/>
          <w:b w:val="0"/>
          <w:caps w:val="0"/>
          <w:sz w:val="24"/>
        </w:rPr>
        <w:t>Tabela 24. Strategjitë e detektimit dhe burimet e tyre</w:t>
      </w:r>
    </w:p>
    <w:p>
      <w:pPr>
        <w:spacing w:line="360" w:lineRule="auto"/>
        <w:ind w:firstLine="360"/>
        <w:jc w:val="both"/>
      </w:pPr>
      <w:r>
        <w:rPr>
          <w:rFonts w:ascii="Times New Roman" w:hAnsi="Times New Roman" w:eastAsia="Times New Roman"/>
          <w:b w:val="0"/>
          <w:caps w:val="0"/>
          <w:sz w:val="24"/>
        </w:rPr>
        <w:t>Tabela 25. Kuantifikuesit e përgjithshëm</w:t>
      </w:r>
    </w:p>
    <w:p>
      <w:pPr>
        <w:spacing w:line="360" w:lineRule="auto"/>
        <w:ind w:firstLine="360"/>
        <w:jc w:val="both"/>
      </w:pPr>
      <w:r>
        <w:rPr>
          <w:rFonts w:ascii="Times New Roman" w:hAnsi="Times New Roman" w:eastAsia="Times New Roman"/>
          <w:b w:val="0"/>
          <w:caps w:val="0"/>
          <w:sz w:val="24"/>
        </w:rPr>
        <w:t>Tabela 26. Pragjet e përdorura</w:t>
      </w:r>
    </w:p>
    <w:p>
      <w:pPr>
        <w:spacing w:line="360" w:lineRule="auto"/>
        <w:ind w:firstLine="360"/>
        <w:jc w:val="both"/>
      </w:pPr>
      <w:r>
        <w:rPr>
          <w:rFonts w:ascii="Times New Roman" w:hAnsi="Times New Roman" w:eastAsia="Times New Roman"/>
          <w:b w:val="0"/>
          <w:caps w:val="0"/>
          <w:sz w:val="24"/>
        </w:rPr>
        <w:t>Tabela 27. Metrikat sipas nivelit</w:t>
      </w:r>
    </w:p>
    <w:p>
      <w:pPr>
        <w:spacing w:line="360" w:lineRule="auto"/>
        <w:ind w:firstLine="360"/>
        <w:jc w:val="both"/>
      </w:pPr>
      <w:r>
        <w:rPr>
          <w:rFonts w:ascii="Times New Roman" w:hAnsi="Times New Roman" w:eastAsia="Times New Roman"/>
          <w:b w:val="0"/>
          <w:caps w:val="0"/>
          <w:sz w:val="24"/>
        </w:rPr>
        <w:t>Tabela 28. Çka propozohet dhe çka aplikohet</w:t>
      </w:r>
    </w:p>
    <w:p>
      <w:pPr>
        <w:spacing w:line="360" w:lineRule="auto"/>
        <w:ind w:firstLine="360"/>
        <w:jc w:val="both"/>
      </w:pPr>
      <w:r>
        <w:rPr>
          <w:rFonts w:ascii="Times New Roman" w:hAnsi="Times New Roman" w:eastAsia="Times New Roman"/>
          <w:b w:val="0"/>
          <w:caps w:val="0"/>
          <w:sz w:val="24"/>
        </w:rPr>
        <w:t>Tabela 29. Arsyet e refuzimit</w:t>
      </w:r>
    </w:p>
    <w:p>
      <w:pPr>
        <w:spacing w:line="360" w:lineRule="auto"/>
        <w:ind w:firstLine="360"/>
        <w:jc w:val="both"/>
      </w:pPr>
      <w:r>
        <w:rPr>
          <w:rFonts w:ascii="Times New Roman" w:hAnsi="Times New Roman" w:eastAsia="Times New Roman"/>
          <w:b w:val="0"/>
          <w:caps w:val="0"/>
          <w:sz w:val="24"/>
        </w:rPr>
        <w:t>Tabela 30. Radha e ekzekutimit</w:t>
      </w:r>
    </w:p>
    <w:p>
      <w:pPr>
        <w:spacing w:line="360" w:lineRule="auto"/>
        <w:ind w:firstLine="360"/>
        <w:jc w:val="both"/>
      </w:pPr>
      <w:r>
        <w:rPr>
          <w:rFonts w:ascii="Times New Roman" w:hAnsi="Times New Roman" w:eastAsia="Times New Roman"/>
          <w:b w:val="0"/>
          <w:caps w:val="0"/>
          <w:sz w:val="24"/>
        </w:rPr>
        <w:t>Tabela 31.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të njëjtin agregim, dhe të dyja kolonat rillogariten nga i njëjti skedar në të njëjtin ekzekutim, që të mos rrëshqasin nga njëra-tjetra. Përputhja mes një shkeljeje të PMD-së dhe një entiteti të MLCQ-së bëhet me emrin e klasës dhe të metodës që raporti i PMD-së i mban vetë, e jo me numra rreshtash: numri i rreshtit do të kërkonte të merrej me mend nëse një mjet e numëron anotimin ose Javadoc-un pjesë të deklarimit.</w:t>
      </w:r>
    </w:p>
    <w:p>
      <w:pPr>
        <w:spacing w:line="360" w:lineRule="auto"/>
        <w:ind w:firstLine="360"/>
        <w:jc w:val="both"/>
      </w:pPr>
      <w:r>
        <w:rPr>
          <w:rFonts w:ascii="Times New Roman" w:hAnsi="Times New Roman" w:eastAsia="Times New Roman"/>
          <w:b w:val="0"/>
          <w:caps w:val="0"/>
          <w:sz w:val="24"/>
        </w:rPr>
        <w:t>Dy kufizime deklarohen para se të shihet ndonjë shifër. PMD analizon një njësi kompilimi në një kohë dhe nuk merr classpath të kompiluar, sepse korpusi nuk mban skedarë ndërtimi; ATFD-ja e GodClass-it, e përkufizuar kundrejt tipave të tjerë të projektit, i llogaritet pra nga sa duket brenda një skedari, ndërsa detektorët e këtij punimi e marrin projektin e plotë. Handikapi është real dhe e favorizon këtë punim. Së dyti, PMD nuk ka fare rregull për Feature Envy-n; rregulli i tij më i afërt, LawOfDemeter, mat zinxhirë mesazhesh e jo qasje në të dhëna të huaja, ndaj raportohet nën emrin e vet dhe kurrë si detektor i Feature Envy-së.</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2</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403</w:t>
            </w:r>
          </w:p>
        </w:tc>
        <w:tc>
          <w:tcPr>
            <w:tcW w:type="dxa" w:w="2946"/>
          </w:tcPr>
          <w:p>
            <w:pPr>
              <w:spacing w:line="240" w:lineRule="auto"/>
            </w:pPr>
            <w:r>
              <w:rPr>
                <w:rFonts w:ascii="Times New Roman" w:hAnsi="Times New Roman" w:eastAsia="Times New Roman"/>
                <w:b w:val="0"/>
                <w:caps w:val="0"/>
                <w:sz w:val="22"/>
              </w:rPr>
              <w:t>343</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2 te 46 nga 405 rishkrime, pra nga 0.5%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nuk u veçua: matja mban numra të grumbulluar, ndaj identifikimi i tij kërkon një ekzekutim të synuar dhe mbetet punë e pabërë. 15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7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Nënkapitujt e mësipërm i vënë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w:t>
      </w:r>
    </w:p>
    <w:p>
      <w:pPr>
        <w:spacing w:line="240" w:lineRule="auto"/>
        <w:jc w:val="center"/>
      </w:pPr>
      <w:r>
        <w:rPr>
          <w:rFonts w:ascii="Times New Roman" w:hAnsi="Times New Roman" w:eastAsia="Times New Roman"/>
          <w:b w:val="0"/>
          <w:caps w:val="0"/>
          <w:sz w:val="22"/>
        </w:rPr>
        <w:t>Tabela 17.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është më i afërti dhe mat zinxhirë mesazhesh e jo qasje në të dhëna të huaja; shifra e tij raportohet për ta pasur të matur e jo të supozuar, dhe nuk është matje e Feature Envy-së. Mbulimi i pjesshëm i një mjeti të përhapur është vetë gjetje: tri nga katër erërat e MLCQ-së kanë një rregull të gatshme, e katërta jo.</w:t>
      </w:r>
    </w:p>
    <w:p>
      <w:pPr>
        <w:spacing w:line="360" w:lineRule="auto"/>
        <w:ind w:firstLine="360"/>
        <w:jc w:val="both"/>
      </w:pPr>
      <w:r>
        <w:rPr>
          <w:rFonts w:ascii="Times New Roman" w:hAnsi="Times New Roman" w:eastAsia="Times New Roman"/>
          <w:b w:val="0"/>
          <w:caps w:val="0"/>
          <w:sz w:val="24"/>
        </w:rPr>
        <w:t>Mungesa nuk është veti vetëm e PMD-së, dhe u kërkua një mjet i dytë para se të pranohej. Katalogu i rregullave të PMD-së për Java u numërua nga vetë shpërndarja e tij dhe nuk përmban asnjë rregull për Feature Envy. DesigniteJava, mjeti tjetër i lirë me përhapje krahasuese, dokumenton shtatëmbëdhjetë design smells dhe dhjetë implementation smells, dhe Feature Envy nuk është ndër to. Mjeti që e zbulon vërtet është JDeodorant, i cili ndërtohet mbi pikërisht identifikimin e mundësive për Move Method (Tsantalis &amp; Chatzigeorgiou, 2009), por ai është shtojcë e mjedisit të zhvillimit dhe varianti i tij në rresht komande nuk mban licencë, çka e përjashton nga kufizimi i varësive që ky punim ndjek.</w:t>
      </w:r>
    </w:p>
    <w:p>
      <w:pPr>
        <w:spacing w:line="360" w:lineRule="auto"/>
        <w:ind w:firstLine="360"/>
        <w:jc w:val="both"/>
      </w:pPr>
      <w:r>
        <w:rPr>
          <w:rFonts w:ascii="Times New Roman" w:hAnsi="Times New Roman" w:eastAsia="Times New Roman"/>
          <w:b w:val="0"/>
          <w:caps w:val="0"/>
          <w:sz w:val="24"/>
        </w:rPr>
        <w:t>Prandaj erës që literatura e trajton më shpesh si objektiv refaktorimi i mungon mbështetja në mjetet që një zhvillues i instalon lehtë. Kjo raportohet si gjendje e verifikuar e jo si supozim: dy katalogë u numëruan, dhe i treti u përjashtua për arsye licence e jo për mungesë aftësie.</w:t>
      </w:r>
    </w:p>
    <w:p>
      <w:pPr>
        <w:spacing w:line="360" w:lineRule="auto"/>
        <w:ind w:firstLine="360"/>
        <w:jc w:val="both"/>
      </w:pPr>
      <w:r>
        <w:rPr>
          <w:rFonts w:ascii="Times New Roman" w:hAnsi="Times New Roman" w:eastAsia="Times New Roman"/>
          <w:b w:val="0"/>
          <w:caps w:val="0"/>
          <w:sz w:val="24"/>
        </w:rPr>
        <w:t>Krahasimi e favorizon këtë punim në një drejtim të deklaruar që në Nënkapitullin 4.6: PMD analizon një skedar në një kohë dhe pa classpath të kompiluar, ndaj ATFD-në e llogarit nga sa duket brenda një skedari, ndërsa detektorët e këtij punimi e marrin projektin e plotë. Heqja e këtij handikapi do të kërkonte ndërtimin e 513 depove në commit-et e tyre historike, çka korpusi nuk e lejon (Nënkapitulli 6.3).</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5.7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w:t>
      </w:r>
    </w:p>
    <w:p>
      <w:pPr>
        <w:spacing w:line="240" w:lineRule="auto"/>
        <w:jc w:val="center"/>
      </w:pPr>
      <w:r>
        <w:rPr>
          <w:rFonts w:ascii="Times New Roman" w:hAnsi="Times New Roman" w:eastAsia="Times New Roman"/>
          <w:b w:val="0"/>
          <w:caps w:val="0"/>
          <w:sz w:val="22"/>
        </w:rPr>
        <w:t>Tabela 18.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19.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Kjo analizë kufizohet te dy strategjitë që janë konjunksione të pastra. Long Method-i ka një klauzolë të vetme, ndaj pyetja ka një përgjigje të vetme dhe të parashikueshme; Data Class-i përzien konjunksion me disjunksion, ku «klauzola bllokuese» nuk përcaktohet pa vendosur se cila degë ishte më afër, dhe ai vendim do të prodhonte një numër që varet nga vetë vendimi.</w:t>
      </w:r>
    </w:p>
    <w:p>
      <w:pPr>
        <w:pStyle w:val="Heading2"/>
      </w:pPr>
      <w:r>
        <w:rPr>
          <w:rFonts w:ascii="Times New Roman" w:hAnsi="Times New Roman" w:eastAsia="Times New Roman"/>
          <w:b/>
          <w:caps w:val="0"/>
          <w:sz w:val="24"/>
        </w:rPr>
        <w:t>5.8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20.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5.9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21.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22.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Nënkapitulli 5.5;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24.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25.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26.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27.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28.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29.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30.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31.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195c22ef45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