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 data/results/mlcq_dataset.csv</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~3 min</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Skedari</w:t>
            </w:r>
          </w:p>
        </w:tc>
        <w:tc>
          <w:tcPr>
            <w:tcW w:type="dxa" w:w="4320"/>
          </w:tcPr>
          <w:p>
            <w:pPr>
              <w:spacing w:line="240" w:lineRule="auto"/>
            </w:pPr>
            <w:r>
              <w:rPr>
                <w:rFonts w:ascii="Times New Roman" w:hAnsi="Times New Roman" w:eastAsia="Times New Roman"/>
                <w:b/>
                <w:caps w:val="0"/>
                <w:sz w:val="22"/>
              </w:rPr>
              <w:t>Commit-i</w:t>
            </w:r>
          </w:p>
        </w:tc>
      </w:tr>
      <w:tr>
        <w:tc>
          <w:tcPr>
            <w:tcW w:type="dxa" w:w="4320"/>
          </w:tcPr>
          <w:p>
            <w:pPr>
              <w:spacing w:line="240" w:lineRule="auto"/>
            </w:pPr>
            <w:r>
              <w:rPr>
                <w:rFonts w:ascii="Times New Roman" w:hAnsi="Times New Roman" w:eastAsia="Times New Roman"/>
                <w:b w:val="0"/>
                <w:caps w:val="0"/>
                <w:sz w:val="22"/>
              </w:rPr>
              <w:t>bootstrap_intervals.json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mlcq_dataset.json</w:t>
            </w:r>
          </w:p>
        </w:tc>
        <w:tc>
          <w:tcPr>
            <w:tcW w:type="dxa" w:w="4320"/>
          </w:tcPr>
          <w:p>
            <w:pPr>
              <w:spacing w:line="240" w:lineRule="auto"/>
            </w:pPr>
            <w:r>
              <w:rPr>
                <w:rFonts w:ascii="Times New Roman" w:hAnsi="Times New Roman" w:eastAsia="Times New Roman"/>
                <w:b w:val="0"/>
                <w:caps w:val="0"/>
                <w:sz w:val="22"/>
              </w:rPr>
              <w:t>55d9f8463d</w:t>
            </w:r>
          </w:p>
        </w:tc>
      </w:tr>
      <w:tr>
        <w:tc>
          <w:tcPr>
            <w:tcW w:type="dxa" w:w="4320"/>
          </w:tcPr>
          <w:p>
            <w:pPr>
              <w:spacing w:line="240" w:lineRule="auto"/>
            </w:pPr>
            <w:r>
              <w:rPr>
                <w:rFonts w:ascii="Times New Roman" w:hAnsi="Times New Roman" w:eastAsia="Times New Roman"/>
                <w:b w:val="0"/>
                <w:caps w:val="0"/>
                <w:sz w:val="22"/>
              </w:rPr>
              <w:t>mlcq_matching.json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model_without_project.json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refactoring_evaluation.json</w:t>
            </w:r>
          </w:p>
        </w:tc>
        <w:tc>
          <w:tcPr>
            <w:tcW w:type="dxa" w:w="4320"/>
          </w:tcPr>
          <w:p>
            <w:pPr>
              <w:spacing w:line="240" w:lineRule="auto"/>
            </w:pPr>
            <w:r>
              <w:rPr>
                <w:rFonts w:ascii="Times New Roman" w:hAnsi="Times New Roman" w:eastAsia="Times New Roman"/>
                <w:b w:val="0"/>
                <w:caps w:val="0"/>
                <w:sz w:val="22"/>
              </w:rPr>
              <w:t>5f62b7b790</w:t>
            </w:r>
          </w:p>
        </w:tc>
      </w:tr>
      <w:tr>
        <w:tc>
          <w:tcPr>
            <w:tcW w:type="dxa" w:w="4320"/>
          </w:tcPr>
          <w:p>
            <w:pPr>
              <w:spacing w:line="240" w:lineRule="auto"/>
            </w:pPr>
            <w:r>
              <w:rPr>
                <w:rFonts w:ascii="Times New Roman" w:hAnsi="Times New Roman" w:eastAsia="Times New Roman"/>
                <w:b w:val="0"/>
                <w:caps w:val="0"/>
                <w:sz w:val="22"/>
              </w:rPr>
              <w:t>refusals_by_severity.json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reviewer_agreement.json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rules_evaluation.json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system_reference.json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threshold_calibration.json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threshold_sweep.json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verify_with_project.json</w:t>
            </w:r>
          </w:p>
        </w:tc>
        <w:tc>
          <w:tcPr>
            <w:tcW w:type="dxa" w:w="4320"/>
          </w:tcPr>
          <w:p>
            <w:pPr>
              <w:spacing w:line="240" w:lineRule="auto"/>
            </w:pPr>
            <w:r>
              <w:rPr>
                <w:rFonts w:ascii="Times New Roman" w:hAnsi="Times New Roman" w:eastAsia="Times New Roman"/>
                <w:b w:val="0"/>
                <w:caps w:val="0"/>
                <w:sz w:val="22"/>
              </w:rPr>
              <w:t>c6eee8ef8d</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Njëmbëdhjetë nga të pesëmbëdhjetë hapat — të gjithë ata që mbarojnë brenda pak minutash — u ri-ekzekutuan mbi të njëjtat hyrje. Çdo skedar rezultati doli identik me atë të komituar, përveç commit-it dhe kohëzgjatjes që secili regjistron; të katër modelet e stërvitura dolën identike bajt për bajt; dhe asnjëra prej figurave nuk ndryshoi. Hapat 1, 3, 7 dhe 12 kërkojnë nga dhjetëra minuta deri në orë dhe nuk u ri-ekzekutuan atë ditë: për ta, riprodhimi mbetet pretendim i pakontrolluar, dhe thuhet këtu si i tillë.</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