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Pajtimi i ashpërsisë me rishikuesit</w:t>
      </w:r>
    </w:p>
    <w:p>
      <w:pPr>
        <w:spacing w:line="360" w:lineRule="auto"/>
        <w:ind w:firstLine="360"/>
        <w:jc w:val="both"/>
      </w:pPr>
      <w:r>
        <w:rPr>
          <w:rFonts w:ascii="Times New Roman" w:hAnsi="Times New Roman" w:eastAsia="Times New Roman"/>
          <w:b w:val="0"/>
          <w:caps w:val="0"/>
          <w:sz w:val="24"/>
        </w:rPr>
        <w:t>Tabela 10. Strategjitë e detektimit dhe burimet e tyre</w:t>
      </w:r>
    </w:p>
    <w:p>
      <w:pPr>
        <w:spacing w:line="360" w:lineRule="auto"/>
        <w:ind w:firstLine="360"/>
        <w:jc w:val="both"/>
      </w:pPr>
      <w:r>
        <w:rPr>
          <w:rFonts w:ascii="Times New Roman" w:hAnsi="Times New Roman" w:eastAsia="Times New Roman"/>
          <w:b w:val="0"/>
          <w:caps w:val="0"/>
          <w:sz w:val="24"/>
        </w:rPr>
        <w:t>Tabela 11. Kuantifikuesit e përgjithshëm</w:t>
      </w:r>
    </w:p>
    <w:p>
      <w:pPr>
        <w:spacing w:line="360" w:lineRule="auto"/>
        <w:ind w:firstLine="360"/>
        <w:jc w:val="both"/>
      </w:pPr>
      <w:r>
        <w:rPr>
          <w:rFonts w:ascii="Times New Roman" w:hAnsi="Times New Roman" w:eastAsia="Times New Roman"/>
          <w:b w:val="0"/>
          <w:caps w:val="0"/>
          <w:sz w:val="24"/>
        </w:rPr>
        <w:t>Tabela 12. Pragjet e përdorura</w:t>
      </w:r>
    </w:p>
    <w:p>
      <w:pPr>
        <w:spacing w:line="360" w:lineRule="auto"/>
        <w:ind w:firstLine="360"/>
        <w:jc w:val="both"/>
      </w:pPr>
      <w:r>
        <w:rPr>
          <w:rFonts w:ascii="Times New Roman" w:hAnsi="Times New Roman" w:eastAsia="Times New Roman"/>
          <w:b w:val="0"/>
          <w:caps w:val="0"/>
          <w:sz w:val="24"/>
        </w:rPr>
        <w:t>Tabela 13. Metrikat sipas nivelit</w:t>
      </w:r>
    </w:p>
    <w:p>
      <w:pPr>
        <w:spacing w:line="360" w:lineRule="auto"/>
        <w:ind w:firstLine="360"/>
        <w:jc w:val="both"/>
      </w:pPr>
      <w:r>
        <w:rPr>
          <w:rFonts w:ascii="Times New Roman" w:hAnsi="Times New Roman" w:eastAsia="Times New Roman"/>
          <w:b w:val="0"/>
          <w:caps w:val="0"/>
          <w:sz w:val="24"/>
        </w:rPr>
        <w:t>Tabela 14. Çka propozohet dhe çka aplikohet</w:t>
      </w:r>
    </w:p>
    <w:p>
      <w:pPr>
        <w:spacing w:line="360" w:lineRule="auto"/>
        <w:ind w:firstLine="360"/>
        <w:jc w:val="both"/>
      </w:pPr>
      <w:r>
        <w:rPr>
          <w:rFonts w:ascii="Times New Roman" w:hAnsi="Times New Roman" w:eastAsia="Times New Roman"/>
          <w:b w:val="0"/>
          <w:caps w:val="0"/>
          <w:sz w:val="24"/>
        </w:rPr>
        <w:t>Tabela 15. Arsyet e refuzimit</w:t>
      </w:r>
    </w:p>
    <w:p>
      <w:pPr>
        <w:spacing w:line="360" w:lineRule="auto"/>
        <w:ind w:firstLine="360"/>
        <w:jc w:val="both"/>
      </w:pPr>
      <w:r>
        <w:rPr>
          <w:rFonts w:ascii="Times New Roman" w:hAnsi="Times New Roman" w:eastAsia="Times New Roman"/>
          <w:b w:val="0"/>
          <w:caps w:val="0"/>
          <w:sz w:val="24"/>
        </w:rPr>
        <w:t>Tabela 16.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6" name="Picture 6"/>
            <wp:cNvGraphicFramePr>
              <a:graphicFrameLocks noChangeAspect="1"/>
            </wp:cNvGraphicFramePr>
            <a:graphic>
              <a:graphicData uri="http://schemas.openxmlformats.org/drawingml/2006/picture">
                <pic:pic>
                  <pic:nvPicPr>
                    <pic:cNvPr id="0" name="ndjeshmeria_e_pragjeve.png"/>
                    <pic:cNvPicPr/>
                  </pic:nvPicPr>
                  <pic:blipFill>
                    <a:blip r:embed="rId17"/>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9.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10.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11.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12.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13.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14.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15.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16.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7e7595c0ee,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