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360" w:lineRule="auto" w:after="0"/>
        <w:jc w:val="center"/>
      </w:pPr>
      <w:r>
        <w:rPr>
          <w:rFonts w:ascii="Times New Roman" w:hAnsi="Times New Roman" w:eastAsia="Times New Roman"/>
          <w:b w:val="0"/>
          <w:caps w:val="0"/>
          <w:sz w:val="24"/>
        </w:rPr>
        <w:t>Prishtinë</w:t>
      </w:r>
    </w:p>
    <w:p>
      <w:r>
        <w:br w:type="page"/>
      </w:r>
    </w:p>
    <w:p>
      <w:pPr>
        <w:spacing w:line="360" w:lineRule="auto" w:after="0"/>
        <w:jc w:val="center"/>
      </w:pPr>
      <w:r>
        <w:rPr>
          <w:rFonts w:ascii="Times New Roman" w:hAnsi="Times New Roman" w:eastAsia="Times New Roman"/>
          <w:b/>
          <w:caps w:val="0"/>
          <w:sz w:val="28"/>
        </w:rPr>
        <w:t>UNIVERSITETI PËR BIZNES DHE TEKNOLOGJI</w:t>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2023 - 2024</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[PLOTËSO]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[PLOTËSO]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njëzet e gjashtë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 deri 0.87 me recall 0.10 deri 0.44. Të ndara sipas ashpërsisë, ato degradojnë me hijeshi, duke i kapur rastet e rënda shumë më mirë se ato të lehtat. Klasifikuesit i tejkaluan qartë, me MCC nga 0.488 te 0.713 kundrejt 0.232 deri 0.580, dhe i rizbuluan pjesërisht metrikat që përdorin vetë strategjitë. Motori i refaktorimit transformoi një pjesë të matur të rasteve të detektuara, ku shumica e refuzimeve vjen nga forma e kodit dhe nga rrjedha e kontrollit.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MCC për të dyja qasjet</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Mostrat e shënuara nga secila qasje</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Shpërndarja e mostrave sipas erës</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Pajtimi mes dy qasjeve</w:t>
      </w:r>
    </w:p>
    <w:p>
      <w:pPr>
        <w:spacing w:line="360" w:lineRule="auto"/>
        <w:ind w:firstLine="360"/>
        <w:jc w:val="both"/>
      </w:pPr>
      <w:r>
        <w:rPr>
          <w:rFonts w:ascii="Times New Roman" w:hAnsi="Times New Roman" w:eastAsia="Times New Roman"/>
          <w:b w:val="0"/>
          <w:caps w:val="0"/>
          <w:sz w:val="24"/>
        </w:rPr>
        <w:t>Tabela 5. Sa lëviz MCC-ja kur zhvendoset një prag</w:t>
      </w:r>
    </w:p>
    <w:p>
      <w:pPr>
        <w:spacing w:line="360" w:lineRule="auto"/>
        <w:ind w:firstLine="360"/>
        <w:jc w:val="both"/>
      </w:pPr>
      <w:r>
        <w:rPr>
          <w:rFonts w:ascii="Times New Roman" w:hAnsi="Times New Roman" w:eastAsia="Times New Roman"/>
          <w:b w:val="0"/>
          <w:caps w:val="0"/>
          <w:sz w:val="24"/>
        </w:rPr>
        <w:t>Tabela 6. Rezultati i motorit të refaktorimit</w:t>
      </w:r>
    </w:p>
    <w:p>
      <w:pPr>
        <w:spacing w:line="360" w:lineRule="auto"/>
        <w:ind w:firstLine="360"/>
        <w:jc w:val="both"/>
      </w:pPr>
      <w:r>
        <w:rPr>
          <w:rFonts w:ascii="Times New Roman" w:hAnsi="Times New Roman" w:eastAsia="Times New Roman"/>
          <w:b w:val="0"/>
          <w:caps w:val="0"/>
          <w:sz w:val="24"/>
        </w:rPr>
        <w:t>Tabela 7. Pse u refuzuan</w:t>
      </w:r>
    </w:p>
    <w:p>
      <w:pPr>
        <w:spacing w:line="360" w:lineRule="auto"/>
        <w:ind w:firstLine="360"/>
        <w:jc w:val="both"/>
      </w:pPr>
      <w:r>
        <w:rPr>
          <w:rFonts w:ascii="Times New Roman" w:hAnsi="Times New Roman" w:eastAsia="Times New Roman"/>
          <w:b w:val="0"/>
          <w:caps w:val="0"/>
          <w:sz w:val="24"/>
        </w:rPr>
        <w:t>Tabela 8. Verifikimi i atyre që u aplikuan</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0"/>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tri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1" name="Picture 1"/>
            <wp:cNvGraphicFramePr>
              <a:graphicFrameLocks noChangeAspect="1"/>
            </wp:cNvGraphicFramePr>
            <a:graphic>
              <a:graphicData uri="http://schemas.openxmlformats.org/drawingml/2006/picture">
                <pic:pic>
                  <pic:nvPicPr>
                    <pic:cNvPr id="0" name="figura_5_shperndarja_e_mostrave.png"/>
                    <pic:cNvPicPr/>
                  </pic:nvPicPr>
                  <pic:blipFill>
                    <a:blip r:embed="rId12"/>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2" name="Picture 2"/>
            <wp:cNvGraphicFramePr>
              <a:graphicFrameLocks noChangeAspect="1"/>
            </wp:cNvGraphicFramePr>
            <a:graphic>
              <a:graphicData uri="http://schemas.openxmlformats.org/drawingml/2006/picture">
                <pic:pic>
                  <pic:nvPicPr>
                    <pic:cNvPr id="0" name="figura_2_recall_sipas_ashpersise.png"/>
                    <pic:cNvPicPr/>
                  </pic:nvPicPr>
                  <pic:blipFill>
                    <a:blip r:embed="rId13"/>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3" name="Picture 3"/>
            <wp:cNvGraphicFramePr>
              <a:graphicFrameLocks noChangeAspect="1"/>
            </wp:cNvGraphicFramePr>
            <a:graphic>
              <a:graphicData uri="http://schemas.openxmlformats.org/drawingml/2006/picture">
                <pic:pic>
                  <pic:nvPicPr>
                    <pic:cNvPr id="0" name="figura_4_rendesia_e_vecorive.png"/>
                    <pic:cNvPicPr/>
                  </pic:nvPicPr>
                  <pic:blipFill>
                    <a:blip r:embed="rId14"/>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4" name="Picture 4"/>
            <wp:cNvGraphicFramePr>
              <a:graphicFrameLocks noChangeAspect="1"/>
            </wp:cNvGraphicFramePr>
            <a:graphic>
              <a:graphicData uri="http://schemas.openxmlformats.org/drawingml/2006/picture">
                <pic:pic>
                  <pic:nvPicPr>
                    <pic:cNvPr id="0" name="figura_1_mcc_a_vs_b.png"/>
                    <pic:cNvPicPr/>
                  </pic:nvPicPr>
                  <pic:blipFill>
                    <a:blip r:embed="rId15"/>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4.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5" name="Picture 5"/>
            <wp:cNvGraphicFramePr>
              <a:graphicFrameLocks noChangeAspect="1"/>
            </wp:cNvGraphicFramePr>
            <a:graphic>
              <a:graphicData uri="http://schemas.openxmlformats.org/drawingml/2006/picture">
                <pic:pic>
                  <pic:nvPicPr>
                    <pic:cNvPr id="0" name="figura_3_pajtimi_a_b.png"/>
                    <pic:cNvPicPr/>
                  </pic:nvPicPr>
                  <pic:blipFill>
                    <a:blip r:embed="rId16"/>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15991 vende ku motori ka një transformim; prej tyre 3478 u transformuan.</w:t>
      </w:r>
    </w:p>
    <w:p>
      <w:pPr>
        <w:spacing w:line="240" w:lineRule="auto"/>
        <w:jc w:val="center"/>
      </w:pPr>
      <w:r>
        <w:rPr>
          <w:rFonts w:ascii="Times New Roman" w:hAnsi="Times New Roman" w:eastAsia="Times New Roman"/>
          <w:b w:val="0"/>
          <w:caps w:val="0"/>
          <w:sz w:val="22"/>
        </w:rPr>
        <w:t>Tabela 6.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15991</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3478</w:t>
            </w:r>
          </w:p>
        </w:tc>
        <w:tc>
          <w:tcPr>
            <w:tcW w:type="dxa" w:w="2880"/>
          </w:tcPr>
          <w:p>
            <w:pPr>
              <w:spacing w:line="240" w:lineRule="auto"/>
            </w:pPr>
            <w:r>
              <w:rPr>
                <w:rFonts w:ascii="Times New Roman" w:hAnsi="Times New Roman" w:eastAsia="Times New Roman"/>
                <w:b w:val="0"/>
                <w:caps w:val="0"/>
                <w:sz w:val="22"/>
              </w:rPr>
              <w:t>21.7%</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12496</w:t>
            </w:r>
          </w:p>
        </w:tc>
        <w:tc>
          <w:tcPr>
            <w:tcW w:type="dxa" w:w="2880"/>
          </w:tcPr>
          <w:p>
            <w:pPr>
              <w:spacing w:line="240" w:lineRule="auto"/>
            </w:pPr>
            <w:r>
              <w:rPr>
                <w:rFonts w:ascii="Times New Roman" w:hAnsi="Times New Roman" w:eastAsia="Times New Roman"/>
                <w:b w:val="0"/>
                <w:caps w:val="0"/>
                <w:sz w:val="22"/>
              </w:rPr>
              <w:t>78.1%</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7.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7315</w:t>
            </w:r>
          </w:p>
        </w:tc>
        <w:tc>
          <w:tcPr>
            <w:tcW w:type="dxa" w:w="2880"/>
          </w:tcPr>
          <w:p>
            <w:pPr>
              <w:spacing w:line="240" w:lineRule="auto"/>
            </w:pPr>
            <w:r>
              <w:rPr>
                <w:rFonts w:ascii="Times New Roman" w:hAnsi="Times New Roman" w:eastAsia="Times New Roman"/>
                <w:b w:val="0"/>
                <w:caps w:val="0"/>
                <w:sz w:val="22"/>
              </w:rPr>
              <w:t>45.7%</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26.2%</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3.9%</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2.3%</w:t>
            </w:r>
          </w:p>
        </w:tc>
      </w:tr>
    </w:tbl>
    <w:p>
      <w:pPr>
        <w:spacing w:line="240" w:lineRule="auto" w:after="0"/>
      </w:pPr>
    </w:p>
    <w:p>
      <w:pPr>
        <w:spacing w:line="240" w:lineRule="auto"/>
        <w:jc w:val="center"/>
      </w:pPr>
      <w:r>
        <w:rPr>
          <w:rFonts w:ascii="Times New Roman" w:hAnsi="Times New Roman" w:eastAsia="Times New Roman"/>
          <w:b w:val="0"/>
          <w:caps w:val="0"/>
          <w:sz w:val="22"/>
        </w:rPr>
        <w:t>Tabela 8.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3409</w:t>
            </w:r>
          </w:p>
        </w:tc>
        <w:tc>
          <w:tcPr>
            <w:tcW w:type="dxa" w:w="2880"/>
          </w:tcPr>
          <w:p>
            <w:pPr>
              <w:spacing w:line="240" w:lineRule="auto"/>
            </w:pPr>
            <w:r>
              <w:rPr>
                <w:rFonts w:ascii="Times New Roman" w:hAnsi="Times New Roman" w:eastAsia="Times New Roman"/>
                <w:b w:val="0"/>
                <w:caps w:val="0"/>
                <w:sz w:val="22"/>
              </w:rPr>
              <w:t>98.0%</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56</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3478 rishkrime, 56 futën një gabim që nuk ishte aty më parë (1.61%).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5.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6" name="Picture 6"/>
            <wp:cNvGraphicFramePr>
              <a:graphicFrameLocks noChangeAspect="1"/>
            </wp:cNvGraphicFramePr>
            <a:graphic>
              <a:graphicData uri="http://schemas.openxmlformats.org/drawingml/2006/picture">
                <pic:pic>
                  <pic:nvPicPr>
                    <pic:cNvPr id="0" name="figura_6_ndjeshmeria_e_pragjeve.png"/>
                    <pic:cNvPicPr/>
                  </pic:nvPicPr>
                  <pic:blipFill>
                    <a:blip r:embed="rId17"/>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mbetet punë e ardhshme.</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Analizuesi nuk zgjidh simbole, ndaj tri nga pesë transformimet e planifikuara nuk automatizohen. Kjo nuk është mangësi implementimi por pasojë e drejtpërdrejtë e një zgjedhjeje arkitekturore të deklaruar.</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Analizë e ndjeshmërisë mbi pragje, e cila tashmë është e mundur në sekonda falë tabelës së veçorive.</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[PLOTËSO].</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spacing w:line="360" w:lineRule="auto"/>
        <w:ind w:firstLine="360"/>
        <w:jc w:val="both"/>
      </w:pPr>
      <w:r>
        <w:rPr>
          <w:rFonts w:ascii="Times New Roman" w:hAnsi="Times New Roman" w:eastAsia="Times New Roman"/>
          <w:b w:val="0"/>
          <w:caps w:val="0"/>
          <w:sz w:val="24"/>
        </w:rPr>
        <w:t>[PLOTËSO]</w:t>
      </w:r>
    </w:p>
    <w:sectPr w:rsidR="00FC693F" w:rsidRPr="0006063C" w:rsidSect="00034616">
      <w:footerReference w:type="default" r:id="rId11"/>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