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mbi metrika të veçuara dhe ndalen te njoftimi,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spacing w:line="360" w:lineRule="auto"/>
        <w:ind w:firstLine="360"/>
        <w:jc w:val="both"/>
      </w:pPr>
      <w:r>
        <w:rPr>
          <w:rFonts w:ascii="Times New Roman" w:hAnsi="Times New Roman" w:eastAsia="Times New Roman"/>
          <w:b w:val="0"/>
          <w:caps w:val="0"/>
          <w:sz w:val="24"/>
        </w:rPr>
        <w:t>Tabela 22. Commit-i që prodhoi çdo skedar rezultati</w:t>
      </w:r>
    </w:p>
    <w:p>
      <w:pPr>
        <w:spacing w:line="360" w:lineRule="auto"/>
        <w:ind w:firstLine="360"/>
        <w:jc w:val="both"/>
      </w:pPr>
      <w:r>
        <w:rPr>
          <w:rFonts w:ascii="Times New Roman" w:hAnsi="Times New Roman" w:eastAsia="Times New Roman"/>
          <w:b w:val="0"/>
          <w:caps w:val="0"/>
          <w:sz w:val="24"/>
        </w:rPr>
        <w:t>Tabela 23. Sa lëviz MCC-ja kur zhvendoset një prag</w:t>
      </w:r>
    </w:p>
    <w:p>
      <w:pPr>
        <w:spacing w:line="360" w:lineRule="auto"/>
        <w:ind w:firstLine="360"/>
        <w:jc w:val="both"/>
      </w:pPr>
      <w:r>
        <w:rPr>
          <w:rFonts w:ascii="Times New Roman" w:hAnsi="Times New Roman" w:eastAsia="Times New Roman"/>
          <w:b w:val="0"/>
          <w:caps w:val="0"/>
          <w:sz w:val="24"/>
        </w:rPr>
        <w:t>Tabela 24.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25.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26. Sa klauzola dështuan te secila mospërputhje</w:t>
      </w:r>
    </w:p>
    <w:p>
      <w:pPr>
        <w:spacing w:line="360" w:lineRule="auto"/>
        <w:ind w:firstLine="360"/>
        <w:jc w:val="both"/>
      </w:pPr>
      <w:r>
        <w:rPr>
          <w:rFonts w:ascii="Times New Roman" w:hAnsi="Times New Roman" w:eastAsia="Times New Roman"/>
          <w:b w:val="0"/>
          <w:caps w:val="0"/>
          <w:sz w:val="24"/>
        </w:rPr>
        <w:t>Tabela 27. Kur një klauzolë e vetme e ndal strategjinë</w:t>
      </w:r>
    </w:p>
    <w:p>
      <w:pPr>
        <w:spacing w:line="360" w:lineRule="auto"/>
        <w:ind w:firstLine="360"/>
        <w:jc w:val="both"/>
      </w:pPr>
      <w:r>
        <w:rPr>
          <w:rFonts w:ascii="Times New Roman" w:hAnsi="Times New Roman" w:eastAsia="Times New Roman"/>
          <w:b w:val="0"/>
          <w:caps w:val="0"/>
          <w:sz w:val="24"/>
        </w:rPr>
        <w:t>Tabela 28. Pajtimi i ashpërsisë me rishikuesit</w:t>
      </w:r>
    </w:p>
    <w:p>
      <w:pPr>
        <w:spacing w:line="360" w:lineRule="auto"/>
        <w:ind w:firstLine="360"/>
        <w:jc w:val="both"/>
      </w:pPr>
      <w:r>
        <w:rPr>
          <w:rFonts w:ascii="Times New Roman" w:hAnsi="Times New Roman" w:eastAsia="Times New Roman"/>
          <w:b w:val="0"/>
          <w:caps w:val="0"/>
          <w:sz w:val="24"/>
        </w:rPr>
        <w:t>Tabela 29. Intervale besimi 95% për MCC-në</w:t>
      </w:r>
    </w:p>
    <w:p>
      <w:pPr>
        <w:spacing w:line="360" w:lineRule="auto"/>
        <w:ind w:firstLine="360"/>
        <w:jc w:val="both"/>
      </w:pPr>
      <w:r>
        <w:rPr>
          <w:rFonts w:ascii="Times New Roman" w:hAnsi="Times New Roman" w:eastAsia="Times New Roman"/>
          <w:b w:val="0"/>
          <w:caps w:val="0"/>
          <w:sz w:val="24"/>
        </w:rPr>
        <w:t>Tabela 30. B − A kur rregullat marrin pragun e tyre më të mirë</w:t>
      </w:r>
    </w:p>
    <w:p>
      <w:pPr>
        <w:spacing w:line="360" w:lineRule="auto"/>
        <w:ind w:firstLine="360"/>
        <w:jc w:val="both"/>
      </w:pPr>
      <w:r>
        <w:rPr>
          <w:rFonts w:ascii="Times New Roman" w:hAnsi="Times New Roman" w:eastAsia="Times New Roman"/>
          <w:b w:val="0"/>
          <w:caps w:val="0"/>
          <w:sz w:val="24"/>
        </w:rPr>
        <w:t>Tabela 31. Sa pajtohen rishikuesit me njëri-tjetrin</w:t>
      </w:r>
    </w:p>
    <w:p>
      <w:pPr>
        <w:spacing w:line="360" w:lineRule="auto"/>
        <w:ind w:firstLine="360"/>
        <w:jc w:val="both"/>
      </w:pPr>
      <w:r>
        <w:rPr>
          <w:rFonts w:ascii="Times New Roman" w:hAnsi="Times New Roman" w:eastAsia="Times New Roman"/>
          <w:b w:val="0"/>
          <w:caps w:val="0"/>
          <w:sz w:val="24"/>
        </w:rPr>
        <w:t>Tabela 32.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që u përgjigjen pyetjeve kërkimore. Kapitulli 6 diskuton gjetjet, implikimet, kufizimet dhe drejtimet e punës së ardhshme. Kapitulli 7 përmban referencat dhe kapitulli 8 shtojcat, bashkë me analizat dytësore të rezultateve.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në pragje fikse mbi metrika të veçuara dhe ndalen te njoftimi.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4.5),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3.3 dhe diskutohen te Nënkapitulli 6.4.</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 (Figura 1).</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 (Tabela 1).</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 (Tabela 2; Figura 2).</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 (Tabela 3).</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 (Figura 3).</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 (Tabela 4).</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 (Figura 4; Tabela 5; Figura 5).</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 (Tabela 6).</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7).</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 (Tabela 8; Tabela 9).</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 (Tabela 10).</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 (Tabela 11).</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 (Tabela 12).</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u veçua. Është një Extract Method mbi AlertSummaryRenderer.finalizeResult(Result) te «AlertSummaryRenderer.java» e projektit Ambari, dhe të tria gabimet që shton janë të të njëjtit lloj: paketa të palëve të treta që nuk ekzistojnë. Shkaku nuk është transformimi por korpusi. Nxjerrja e bllokut e kalon një tip nga trupi i metodës te nënshkrimi i saj, dhe një tip te nënshkrimi duhet zgjidhur i plotë, bashkë me anotacionet e veta; ato anotacione vijnë nga një bibliotekë që korpusi nuk e mban, sepse ai ruan vetëm skedarë «.java» dhe asnjë jar (Nënkapitulli 6.4). Në një projekt me varësitë e veta i njëjti rishkrim nuk do të kishte çfarë të shtonte.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4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 (Tabela 13).</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 (Tabela 14).</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tri nga katër erërat, detektorët i kapin rastet e rënda shumë më mirë se të lehtat; te Blob-i ndodh e kundërta.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spacing w:line="360" w:lineRule="auto"/>
        <w:ind w:firstLine="360"/>
        <w:jc w:val="both"/>
      </w:pPr>
      <w:r>
        <w:rPr>
          <w:rFonts w:ascii="Times New Roman" w:hAnsi="Times New Roman" w:eastAsia="Times New Roman"/>
          <w:b w:val="0"/>
          <w:caps w:val="0"/>
          <w:sz w:val="24"/>
        </w:rPr>
        <w:t>Rishkrimet prishëse që i kapi korpusi, ndërsa testet e shkruara me dorë për të njëjtin transformim nuk i kapën (Nënkapitulli 5.4), tregojnë se verifikimi empirik mbi kod real nuk zëvendësohet dot me teste njësie, sado të kujdesshme. Kjo është vetë një gjetje e këtij punimi.</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Lanza &amp; Marinescu-t, me pragjet e tyre të publikuara, dolën të sakta por me recall të ulët mbi MLCQ, ndërsa modelet e mësuara mbi të njëjtat metrika i tejkaluan te të katër erërat. Informacioni ndodhet pra te metrikat; pragjet fikse janë ajo që e humbin. Pajtimi i ulët mes vetë rishikuesve shton se një pjesë e gabimit i takon përkufizimit të erës dhe jo detektorit, ndaj krahasimet në këtë fushë duhen lexuar kundrejt atij tavani.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mjet në përdorim të përditshëm, rregullat japin sinjal të rrallë por të besueshëm, të përshtatshëm si paralajmërim me pak zhurmë; aty ku mbulimi ka më shumë rëndësi, modeli është zgjedhja më e mirë. Refaktorimi i automatizuar është i realizueshëm me siguri vetëm për një pjesë të vendeve, rreth një në pesë, dhe vlera e tij varet pikërisht nga refuzimi i atyre që nuk i provon.</w:t>
      </w:r>
    </w:p>
    <w:p>
      <w:pPr>
        <w:pStyle w:val="Heading2"/>
      </w:pPr>
      <w:r>
        <w:rPr>
          <w:rFonts w:ascii="Times New Roman" w:hAnsi="Times New Roman" w:eastAsia="Times New Roman"/>
          <w:b/>
          <w:caps w:val="0"/>
          <w:sz w:val="24"/>
        </w:rPr>
        <w:t>6.4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Kompilimi i të njëjtave rishkrime brenda projektit të tyre (Nënkapitulli 5.4) tregon se shumica e këtyre rasteve i detyrohen izolimit të kompilimit dhe jo rishkrimit.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Recall-i i raportuar kundrejt MLCQ-së për Blob-in nuk mat atë që emri i tij sugjeron. Nga 315 raste që rishikuesit i quajtën Blob dhe strategjia nuk i ndezi, 65 nuk janë më të mëdha se klasa mesatare që vetë rishikuesit e quajtën të pastër, dhe shtrirja e mospërputhjeve nuk mbivendoset fare me atë të kapjeve te asnjëra prej metrikave të madhësisë. Asnjë metrikë e vetme klase nuk i ndan dot mospërputhjet nga klasat e pastra: më e mira arrin 0.773 aty ku 0.50 do të thoshte asnjë informacion. Pasoja është se shifra mat sa shpesh një strategji e madhësisë dhe e kohezionit përputhet me një gjykim njerëzor që, te shumica e rasteve të etiketuara, nuk është marrë mbi bazën e madhësisë. Kjo nuk e përmirëson detektorin dhe nuk e fajëson rishikuesin; e ndryshon atë që shifra provon.</w:t>
      </w:r>
    </w:p>
    <w:p>
      <w:pPr>
        <w:spacing w:line="360" w:lineRule="auto"/>
        <w:ind w:firstLine="360"/>
        <w:jc w:val="both"/>
      </w:pPr>
      <w:r>
        <w:rPr>
          <w:rFonts w:ascii="Times New Roman" w:hAnsi="Times New Roman" w:eastAsia="Times New Roman"/>
          <w:b w:val="0"/>
          <w:caps w:val="0"/>
          <w:sz w:val="24"/>
        </w:rPr>
        <w:t>Një tavan i dytë është i matjes dhe jo i etiketave, dhe u raportua në vend që të riparohej. TCC-ja është e papërcaktuar për një klasë me më pak se dy metoda publike të instancës, dhe llogaritësi e zgjidh boshllëkun me vlerën maksimale, të cilën asnjë klauzolë e God Class-it nuk e pranon. Klasat ndihmëse krejt statike e mbartin atë vlerë nga vetë ndërtimi: 17 nga 19 rastet e tilla u riparsuan dhe dolën pikërisht të asaj forme. Ndreqja do të kërkonte shkëputjen e TCC-së nga përkufizimi i botuar që e citon,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6.5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Shtojca 8.6;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6.6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6.4.</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15).</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16).</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17).</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18).</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19).</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20).</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21).</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 (Tabela 22).</w:t>
      </w:r>
    </w:p>
    <w:p>
      <w:pPr>
        <w:spacing w:line="240" w:lineRule="auto"/>
        <w:jc w:val="center"/>
      </w:pPr>
      <w:r>
        <w:rPr>
          <w:rFonts w:ascii="Times New Roman" w:hAnsi="Times New Roman" w:eastAsia="Times New Roman"/>
          <w:b w:val="0"/>
          <w:caps w:val="0"/>
          <w:sz w:val="22"/>
        </w:rPr>
        <w:t>Tabela 22.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23; Figura 6).</w:t>
      </w:r>
    </w:p>
    <w:p>
      <w:pPr>
        <w:spacing w:line="240" w:lineRule="auto"/>
        <w:jc w:val="center"/>
      </w:pPr>
      <w:r>
        <w:rPr>
          <w:rFonts w:ascii="Times New Roman" w:hAnsi="Times New Roman" w:eastAsia="Times New Roman"/>
          <w:b w:val="0"/>
          <w:caps w:val="0"/>
          <w:sz w:val="22"/>
        </w:rPr>
        <w:t>Tabela 23.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24).</w:t>
      </w:r>
    </w:p>
    <w:p>
      <w:pPr>
        <w:spacing w:line="240" w:lineRule="auto"/>
        <w:jc w:val="center"/>
      </w:pPr>
      <w:r>
        <w:rPr>
          <w:rFonts w:ascii="Times New Roman" w:hAnsi="Times New Roman" w:eastAsia="Times New Roman"/>
          <w:b w:val="0"/>
          <w:caps w:val="0"/>
          <w:sz w:val="22"/>
        </w:rPr>
        <w:t>Tabela 24.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25).</w:t>
      </w:r>
    </w:p>
    <w:p>
      <w:pPr>
        <w:spacing w:line="240" w:lineRule="auto"/>
        <w:jc w:val="center"/>
      </w:pPr>
      <w:r>
        <w:rPr>
          <w:rFonts w:ascii="Times New Roman" w:hAnsi="Times New Roman" w:eastAsia="Times New Roman"/>
          <w:b w:val="0"/>
          <w:caps w:val="0"/>
          <w:sz w:val="22"/>
        </w:rPr>
        <w:t>Tabela 25.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26; Tabela 27).</w:t>
      </w:r>
    </w:p>
    <w:p>
      <w:pPr>
        <w:spacing w:line="240" w:lineRule="auto"/>
        <w:jc w:val="center"/>
      </w:pPr>
      <w:r>
        <w:rPr>
          <w:rFonts w:ascii="Times New Roman" w:hAnsi="Times New Roman" w:eastAsia="Times New Roman"/>
          <w:b w:val="0"/>
          <w:caps w:val="0"/>
          <w:sz w:val="22"/>
        </w:rPr>
        <w:t>Tabela 26.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28).</w:t>
      </w:r>
    </w:p>
    <w:p>
      <w:pPr>
        <w:spacing w:line="240" w:lineRule="auto"/>
        <w:jc w:val="center"/>
      </w:pPr>
      <w:r>
        <w:rPr>
          <w:rFonts w:ascii="Times New Roman" w:hAnsi="Times New Roman" w:eastAsia="Times New Roman"/>
          <w:b w:val="0"/>
          <w:caps w:val="0"/>
          <w:sz w:val="22"/>
        </w:rPr>
        <w:t>Tabela 28.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7).</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29; Figura 8).</w:t>
      </w:r>
    </w:p>
    <w:p>
      <w:pPr>
        <w:spacing w:line="240" w:lineRule="auto"/>
        <w:jc w:val="center"/>
      </w:pPr>
      <w:r>
        <w:rPr>
          <w:rFonts w:ascii="Times New Roman" w:hAnsi="Times New Roman" w:eastAsia="Times New Roman"/>
          <w:b w:val="0"/>
          <w:caps w:val="0"/>
          <w:sz w:val="22"/>
        </w:rPr>
        <w:t>Tabela 29.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30):</w:t>
      </w:r>
    </w:p>
    <w:p>
      <w:pPr>
        <w:spacing w:line="240" w:lineRule="auto"/>
        <w:jc w:val="center"/>
      </w:pPr>
      <w:r>
        <w:rPr>
          <w:rFonts w:ascii="Times New Roman" w:hAnsi="Times New Roman" w:eastAsia="Times New Roman"/>
          <w:b w:val="0"/>
          <w:caps w:val="0"/>
          <w:sz w:val="22"/>
        </w:rPr>
        <w:t>Tabela 30.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31).</w:t>
      </w:r>
    </w:p>
    <w:p>
      <w:pPr>
        <w:spacing w:line="240" w:lineRule="auto"/>
        <w:jc w:val="center"/>
      </w:pPr>
      <w:r>
        <w:rPr>
          <w:rFonts w:ascii="Times New Roman" w:hAnsi="Times New Roman" w:eastAsia="Times New Roman"/>
          <w:b w:val="0"/>
          <w:caps w:val="0"/>
          <w:sz w:val="22"/>
        </w:rPr>
        <w:t>Tabela 31.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Kapitullit 5 duhet lexuar mbi këtë sfond, dhe po ashtu çdo shifër e literaturës që raportohet pa të.</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dhe e lë të hapur pyetjen që vjen menjëherë pas saj: si duket klasa që rishikuesi e quajti blob ndërsa strategjia nuk e quajti? Përgjigjja ka vetëm dy forma, dhe të dyja kërkojnë punë të kundërt. Ose klasat e humbura u ngjajnë atyre të kapura në një përmasë që strategjia nuk e lexon fare, dhe atëherë asaj i mungon një klauzolë; ose u ngjajnë klasave që rishikuesit i quajtën të pastra në çdo përmasë të matur, dhe atëherë asnjë prag e asnjë klauzolë nuk i arrin dot (Tabela 32).</w:t>
      </w:r>
    </w:p>
    <w:p>
      <w:pPr>
        <w:spacing w:line="240" w:lineRule="auto"/>
        <w:jc w:val="center"/>
      </w:pPr>
      <w:r>
        <w:rPr>
          <w:rFonts w:ascii="Times New Roman" w:hAnsi="Times New Roman" w:eastAsia="Times New Roman"/>
          <w:b w:val="0"/>
          <w:caps w:val="0"/>
          <w:sz w:val="22"/>
        </w:rPr>
        <w:t>Tabela 32.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gjasa që një mospërputhje e marrë rastësisht të renditet mbi një klasë të pastër të marrë rastësisht, që është statistika e Mann-Whitney-t dhe lexohet si sipërfaqja nën kurbën ROC: 0.50 do të thotë asnjë informacion, 1.00 renditje e përsosur. Më e mira nga 17 metrikat e klasës është NOF me 0.773, e cila nuk mban dot as prag as klauzolë.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krejt tjetër. Veçoritë që modeli i Qasjes B zgjodhi vetë për Blob-in, të raportuara te Nënkapitulli 5.2, ndajnë 3 nga katër vendet e para me renditjen sipas ndarjes: NOF, CLOC, NOAM. As TCC-ja dhe as WMC-ja, të dy kushtet mbi të cilat është ndërtuar strategjia e botuar, nuk hyjnë te asnjëra prej dy listave. Një statistikë renditëse dhe një model i trajnuar nuk janë e njëjta llogari, ndaj pajtimi i tyre është provë më shumë se përsëritje (Tabela 33).</w:t>
      </w:r>
    </w:p>
    <w:p>
      <w:pPr>
        <w:spacing w:line="240" w:lineRule="auto"/>
        <w:jc w:val="center"/>
      </w:pPr>
      <w:r>
        <w:rPr>
          <w:rFonts w:ascii="Times New Roman" w:hAnsi="Times New Roman" w:eastAsia="Times New Roman"/>
          <w:b w:val="0"/>
          <w:caps w:val="0"/>
          <w:sz w:val="22"/>
        </w:rPr>
        <w:t>Tabela 33.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MAX e jo mesatarja e përdorur gjetiu, dhe zgjedhja është e qëllimshme. Shumica e mostrave mbajnë vetëm dy rishikime, dhe një votë «asnjë» përballë një vote të rëndë e ul mesataren për një shkallë të tërë; te mostrat me gjashtë rishikime, ku «asnjë» është vota mediane, ulja është edhe më e madhe. Pasoja matet: nën mesatare shpërndarja e pozitivëve është minor 330, major 20, critical 0, ndërsa nën MAX është minor 143, major 182, critical 132. Skaji i rëndë i shkallës zbrazet, ndaj gradienti nuk shihet dot aty ku raportohet gjetiu ky punim.</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ka shkak krejt tjetër, dhe është e vetmja pjesë ku faji bie mbi matjen e jo mbi etiketat. TCC-ja e Bieman &amp; Kang-ut (1995) mat pjesën e çifteve të metodave publike të instancës që ndajnë një fushë. Një klasë me më pak se dy metoda të tilla nuk ka çift fare, ndaj metrika është e papërcaktuar dhe llogaritësi e zgjidh boshllëkun nga ana e «plotësisht kohezive», domethënë 1.0.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ndaj një klasë që mbart atë vlerë mbetet jashtë mundësive të strategjisë sado të zhvendosen pragjet (Tabela 34).</w:t>
      </w:r>
    </w:p>
    <w:p>
      <w:pPr>
        <w:spacing w:line="240" w:lineRule="auto"/>
        <w:jc w:val="center"/>
      </w:pPr>
      <w:r>
        <w:rPr>
          <w:rFonts w:ascii="Times New Roman" w:hAnsi="Times New Roman" w:eastAsia="Times New Roman"/>
          <w:b w:val="0"/>
          <w:caps w:val="0"/>
          <w:sz w:val="22"/>
        </w:rPr>
        <w:t>Tabela 34.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klasa që e kalojnë klauzolën e kompleksitetit dhe ndalen vetëm te kohezioni. Prej tyre 19 u riparsuan nga korpusi dhe 17 dolën me më pak se dy metoda publike të instancës, pra me TCC të papërcaktuar e jo me kohezion të matur. Emrat e tregojnë vetë llojin: klasa ndihmëse krejt statike, ku kolona e fundit është zero. Këto janë pikërisht klasat që një rishikues i quan blob pa hezitim, dhe janë të paarritshme nga një strategji e ndërtuar mbi kohezionin mes metodave të instancës.</w:t>
      </w:r>
    </w:p>
    <w:p>
      <w:pPr>
        <w:spacing w:line="360" w:lineRule="auto"/>
        <w:ind w:firstLine="360"/>
        <w:jc w:val="both"/>
      </w:pPr>
      <w:r>
        <w:rPr>
          <w:rFonts w:ascii="Times New Roman" w:hAnsi="Times New Roman" w:eastAsia="Times New Roman"/>
          <w:b w:val="0"/>
          <w:caps w:val="0"/>
          <w:sz w:val="24"/>
        </w:rPr>
        <w:t>Numri mbetet i vogël përballë tërësisë, 19 nga 315, ndaj nuk e shpjegon recall-in e ulët dhe nuk u trajtua si defekt për t'u riparuar. Ndryshimi i TCC-së do të shkëpuste përkufizimin nga burimi i tij dhe do të detyronte rigjenerimin e çdo numri të raportuar, për një fitim që nuk e kalon 0.054 te recall-i. Kufizimi raportohet i tillë siç është te Nënkapitulli 6.4.</w:t>
      </w:r>
    </w:p>
    <w:p>
      <w:pPr>
        <w:spacing w:line="360" w:lineRule="auto"/>
        <w:ind w:firstLine="360"/>
        <w:jc w:val="both"/>
      </w:pPr>
      <w:r>
        <w:rPr>
          <w:rFonts w:ascii="Times New Roman" w:hAnsi="Times New Roman" w:eastAsia="Times New Roman"/>
          <w:b w:val="0"/>
          <w:caps w:val="0"/>
          <w:sz w:val="24"/>
        </w:rPr>
        <w:t>Përfundimi i këtij nënkapitulli është për të vërtetën bazë dhe jo për detektorin, dhe pikërisht prandaj duhet lexuar me kujdes. Ai nuk thotë se rishikuesit gabuan: një zhvillues që e njeh kodin mund ta quajë me plot të drejtë problematike një klasë të vogël, për arsye që asnjë metrikë strukturore nuk i mat. Thotë diçka më të ngushtë e më të dobishme, që recall-i i matur kundrejt MLCQ-së nuk është i njëjti krahasim që një lexues supozon: ai mat sa shpesh një strategji e madhësisë dhe e kohezionit përputhet me një gjykim njerëzor që, në shumicën e rasteve të etiketuara, nuk është marrë mbi bazën e madhësisë.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