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mbi metrika të veçuara dhe ndalen te njoftimi,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0.713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Strategjitë e detektimit dhe burimet e tyre</w:t>
      </w:r>
    </w:p>
    <w:p>
      <w:pPr>
        <w:spacing w:line="360" w:lineRule="auto"/>
        <w:ind w:firstLine="360"/>
        <w:jc w:val="both"/>
      </w:pPr>
      <w:r>
        <w:rPr>
          <w:rFonts w:ascii="Times New Roman" w:hAnsi="Times New Roman" w:eastAsia="Times New Roman"/>
          <w:b w:val="0"/>
          <w:caps w:val="0"/>
          <w:sz w:val="24"/>
        </w:rPr>
        <w:t>Tabela 16. Kuantifikuesit e përgjithshëm</w:t>
      </w:r>
    </w:p>
    <w:p>
      <w:pPr>
        <w:spacing w:line="360" w:lineRule="auto"/>
        <w:ind w:firstLine="360"/>
        <w:jc w:val="both"/>
      </w:pPr>
      <w:r>
        <w:rPr>
          <w:rFonts w:ascii="Times New Roman" w:hAnsi="Times New Roman" w:eastAsia="Times New Roman"/>
          <w:b w:val="0"/>
          <w:caps w:val="0"/>
          <w:sz w:val="24"/>
        </w:rPr>
        <w:t>Tabela 17. Pragjet e përdorura</w:t>
      </w:r>
    </w:p>
    <w:p>
      <w:pPr>
        <w:spacing w:line="360" w:lineRule="auto"/>
        <w:ind w:firstLine="360"/>
        <w:jc w:val="both"/>
      </w:pPr>
      <w:r>
        <w:rPr>
          <w:rFonts w:ascii="Times New Roman" w:hAnsi="Times New Roman" w:eastAsia="Times New Roman"/>
          <w:b w:val="0"/>
          <w:caps w:val="0"/>
          <w:sz w:val="24"/>
        </w:rPr>
        <w:t>Tabela 18. Metrikat sipas nivelit</w:t>
      </w:r>
    </w:p>
    <w:p>
      <w:pPr>
        <w:spacing w:line="360" w:lineRule="auto"/>
        <w:ind w:firstLine="360"/>
        <w:jc w:val="both"/>
      </w:pPr>
      <w:r>
        <w:rPr>
          <w:rFonts w:ascii="Times New Roman" w:hAnsi="Times New Roman" w:eastAsia="Times New Roman"/>
          <w:b w:val="0"/>
          <w:caps w:val="0"/>
          <w:sz w:val="24"/>
        </w:rPr>
        <w:t>Tabela 19. Çka propozohet dhe çka aplikohet</w:t>
      </w:r>
    </w:p>
    <w:p>
      <w:pPr>
        <w:spacing w:line="360" w:lineRule="auto"/>
        <w:ind w:firstLine="360"/>
        <w:jc w:val="both"/>
      </w:pPr>
      <w:r>
        <w:rPr>
          <w:rFonts w:ascii="Times New Roman" w:hAnsi="Times New Roman" w:eastAsia="Times New Roman"/>
          <w:b w:val="0"/>
          <w:caps w:val="0"/>
          <w:sz w:val="24"/>
        </w:rPr>
        <w:t>Tabela 20. Arsyet e refuzimit</w:t>
      </w:r>
    </w:p>
    <w:p>
      <w:pPr>
        <w:spacing w:line="360" w:lineRule="auto"/>
        <w:ind w:firstLine="360"/>
        <w:jc w:val="both"/>
      </w:pPr>
      <w:r>
        <w:rPr>
          <w:rFonts w:ascii="Times New Roman" w:hAnsi="Times New Roman" w:eastAsia="Times New Roman"/>
          <w:b w:val="0"/>
          <w:caps w:val="0"/>
          <w:sz w:val="24"/>
        </w:rPr>
        <w:t>Tabela 21. Radha e ekzekutimit</w:t>
      </w:r>
    </w:p>
    <w:p>
      <w:pPr>
        <w:spacing w:line="360" w:lineRule="auto"/>
        <w:ind w:firstLine="360"/>
        <w:jc w:val="both"/>
      </w:pPr>
      <w:r>
        <w:rPr>
          <w:rFonts w:ascii="Times New Roman" w:hAnsi="Times New Roman" w:eastAsia="Times New Roman"/>
          <w:b w:val="0"/>
          <w:caps w:val="0"/>
          <w:sz w:val="24"/>
        </w:rPr>
        <w:t>Tabela 22. Commit-i që prodhoi çdo skedar rezultati</w:t>
      </w:r>
    </w:p>
    <w:p>
      <w:pPr>
        <w:spacing w:line="360" w:lineRule="auto"/>
        <w:ind w:firstLine="360"/>
        <w:jc w:val="both"/>
      </w:pPr>
      <w:r>
        <w:rPr>
          <w:rFonts w:ascii="Times New Roman" w:hAnsi="Times New Roman" w:eastAsia="Times New Roman"/>
          <w:b w:val="0"/>
          <w:caps w:val="0"/>
          <w:sz w:val="24"/>
        </w:rPr>
        <w:t>Tabela 23. Sa lëviz MCC-ja kur zhvendoset një prag</w:t>
      </w:r>
    </w:p>
    <w:p>
      <w:pPr>
        <w:spacing w:line="360" w:lineRule="auto"/>
        <w:ind w:firstLine="360"/>
        <w:jc w:val="both"/>
      </w:pPr>
      <w:r>
        <w:rPr>
          <w:rFonts w:ascii="Times New Roman" w:hAnsi="Times New Roman" w:eastAsia="Times New Roman"/>
          <w:b w:val="0"/>
          <w:caps w:val="0"/>
          <w:sz w:val="24"/>
        </w:rPr>
        <w:t>Tabela 24.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25.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26. Sa klauzola dështuan te secila mospërputhje</w:t>
      </w:r>
    </w:p>
    <w:p>
      <w:pPr>
        <w:spacing w:line="360" w:lineRule="auto"/>
        <w:ind w:firstLine="360"/>
        <w:jc w:val="both"/>
      </w:pPr>
      <w:r>
        <w:rPr>
          <w:rFonts w:ascii="Times New Roman" w:hAnsi="Times New Roman" w:eastAsia="Times New Roman"/>
          <w:b w:val="0"/>
          <w:caps w:val="0"/>
          <w:sz w:val="24"/>
        </w:rPr>
        <w:t>Tabela 27. Kur një klauzolë e vetme e ndal strategjinë</w:t>
      </w:r>
    </w:p>
    <w:p>
      <w:pPr>
        <w:spacing w:line="360" w:lineRule="auto"/>
        <w:ind w:firstLine="360"/>
        <w:jc w:val="both"/>
      </w:pPr>
      <w:r>
        <w:rPr>
          <w:rFonts w:ascii="Times New Roman" w:hAnsi="Times New Roman" w:eastAsia="Times New Roman"/>
          <w:b w:val="0"/>
          <w:caps w:val="0"/>
          <w:sz w:val="24"/>
        </w:rPr>
        <w:t>Tabela 28. Pajtimi i ashpërsisë me rishikuesit</w:t>
      </w:r>
    </w:p>
    <w:p>
      <w:pPr>
        <w:spacing w:line="360" w:lineRule="auto"/>
        <w:ind w:firstLine="360"/>
        <w:jc w:val="both"/>
      </w:pPr>
      <w:r>
        <w:rPr>
          <w:rFonts w:ascii="Times New Roman" w:hAnsi="Times New Roman" w:eastAsia="Times New Roman"/>
          <w:b w:val="0"/>
          <w:caps w:val="0"/>
          <w:sz w:val="24"/>
        </w:rPr>
        <w:t>Tabela 29. Intervale besimi 95% për MCC-në</w:t>
      </w:r>
    </w:p>
    <w:p>
      <w:pPr>
        <w:spacing w:line="360" w:lineRule="auto"/>
        <w:ind w:firstLine="360"/>
        <w:jc w:val="both"/>
      </w:pPr>
      <w:r>
        <w:rPr>
          <w:rFonts w:ascii="Times New Roman" w:hAnsi="Times New Roman" w:eastAsia="Times New Roman"/>
          <w:b w:val="0"/>
          <w:caps w:val="0"/>
          <w:sz w:val="24"/>
        </w:rPr>
        <w:t>Tabela 30. B − A kur rregullat marrin pragun e tyre më të mirë</w:t>
      </w:r>
    </w:p>
    <w:p>
      <w:pPr>
        <w:spacing w:line="360" w:lineRule="auto"/>
        <w:ind w:firstLine="360"/>
        <w:jc w:val="both"/>
      </w:pPr>
      <w:r>
        <w:rPr>
          <w:rFonts w:ascii="Times New Roman" w:hAnsi="Times New Roman" w:eastAsia="Times New Roman"/>
          <w:b w:val="0"/>
          <w:caps w:val="0"/>
          <w:sz w:val="24"/>
        </w:rPr>
        <w:t>Tabela 31. Sa pajtohen rishikuesit me njëri-tjetrin</w:t>
      </w:r>
    </w:p>
    <w:p>
      <w:pPr>
        <w:spacing w:line="360" w:lineRule="auto"/>
        <w:ind w:firstLine="360"/>
        <w:jc w:val="both"/>
      </w:pPr>
      <w:r>
        <w:rPr>
          <w:rFonts w:ascii="Times New Roman" w:hAnsi="Times New Roman" w:eastAsia="Times New Roman"/>
          <w:b w:val="0"/>
          <w:caps w:val="0"/>
          <w:sz w:val="24"/>
        </w:rPr>
        <w:t>Tabela 32.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33.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34.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që u përgjigjen pyetjeve kërkimore. Kapitulli 6 diskuton gjetjet, implikimet, kufizimet dhe drejtimet e punës së ardhshme. Kapitulli 7 përmban referencat dhe kapitulli 8 shtojcat, bashkë me analizat dytësore të rezultateve.</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varet nga shqyrtuesi (Nënkapitulli 1.2). Mjetet ekzistuese mbështeten në pragje fikse mbi metrika të veçuara dhe ndalen te njoftimi. Qasjet me rregulla dhe ato me mësim makine rrallë vlerësohen mbi të njëjtën të vërtetë bazë, dhe pyetja nëse një erë e detektuar mund edhe të ndreqet automatikisht mbetet pa përgjigje empirike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njëjtin kod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me një pjesë të vetme cilësore. Të tria pyetjet kërkimore pyesin «sa» dhe «a e përmirëson», dhe përgjigjja e tyre është matje e përsëritshme mbi të njëjtin korpus: metrikat e kodit, etiketat e rishikuesve të MLCQ-së dhe verdiktet e kompilatorit. Pjesa cilësore është gjykimi me rubrikë i një mostre rishkrimesh (Nënkapitulli 4.5), sepse vlera e një rishkrimi për zhvilluesin nuk matet dot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Tri prej tyre e formësojnë gjithë kapitullin: analizuesi nuk zgjidh simbole, verifikimi nuk ekzekuton testet e projekteve, dhe e vërteta bazë vjen nga një dataset i vetëm. Ato deklarohen te Nënkapitulli 3.3 dhe diskutohen te Nënkapitulli 6.4.</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secila me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 «e paqartë» është përgjigje reale, sepse një rishikues që s'e dallon dot nuk do ta pranonte.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 «asnjanës» është pikërisht rasti që çdo kontroll automatik e numëron si sukses. </w:t>
      </w:r>
      <w:r>
        <w:rPr>
          <w:rFonts w:ascii="Times New Roman" w:hAnsi="Times New Roman" w:eastAsia="Times New Roman"/>
          <w:b/>
          <w:caps w:val="0"/>
          <w:sz w:val="24"/>
        </w:rPr>
        <w:t>Pranueshmëria</w:t>
      </w:r>
      <w:r>
        <w:rPr>
          <w:rFonts w:ascii="Times New Roman" w:hAnsi="Times New Roman" w:eastAsia="Times New Roman"/>
          <w:b w:val="0"/>
          <w:caps w:val="0"/>
          <w:sz w:val="24"/>
        </w:rPr>
        <w:t>: ashtu si është, pas një ndreqjeje, e refuzuar — mesi ndahet veç sepse emërtimi është pjesa që një motor deterministik nuk e bën dhe që njeriu e ndreq për një minutë.</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jo proporcionale: ExtractMethod përbën 93% të vendeve të rishkruara, ndaj një mostër proporcionale do të mbante dy ose tre raste nga secili transformim tjetër dhe nuk do të thoshte asgjë për to. Secili transformim merret në të njëjtën thellësi dhe raportohet veç; shifra e bashkuar ripeshohet me madhësitë reale të shtresave, sepse vetë mostra është qëllimisht jopërfaqësuese e popullatës nga e cila u nxor.</w:t>
      </w:r>
    </w:p>
    <w:p>
      <w:pPr>
        <w:spacing w:line="360" w:lineRule="auto"/>
        <w:ind w:firstLine="360"/>
        <w:jc w:val="both"/>
      </w:pPr>
      <w:r>
        <w:rPr>
          <w:rFonts w:ascii="Times New Roman" w:hAnsi="Times New Roman" w:eastAsia="Times New Roman"/>
          <w:b w:val="0"/>
          <w:caps w:val="0"/>
          <w:sz w:val="24"/>
        </w:rPr>
        <w:t>Fleta që plotësohet nuk mban asnjë verdikt të kompilatorit. Bashkimi me verdiktet bëhet vetëm në pikëzim, sepse një rishikues që sheh se rishkrimi kompiloi e ka marrë gjysmën e përgjigjes para se ta jepte, dhe tabela e kryqëzuar mes dy verdikteve është ndër gjërat më të dobishme që kjo matje prodhon: ajo thotë nëse kontrolli automatik është zëvendësues i pranimit apo thjesht i korreluar me të.</w:t>
      </w:r>
    </w:p>
    <w:p>
      <w:pPr>
        <w:spacing w:line="360" w:lineRule="auto"/>
        <w:ind w:firstLine="360"/>
        <w:jc w:val="both"/>
      </w:pPr>
      <w:r>
        <w:rPr>
          <w:rFonts w:ascii="Times New Roman" w:hAnsi="Times New Roman" w:eastAsia="Times New Roman"/>
          <w:b w:val="0"/>
          <w:caps w:val="0"/>
          <w:sz w:val="24"/>
        </w:rPr>
        <w:t>Intervalet janë Wilson (1927) e jo përafrimi normal. Me njëzet vëzhgime dhe një përpjesë pranë skajit, përafrimi normal jep kufij jashtë intervalit [0, 1] dhe mbulim dukshëm nën 95% — rasti për të cilin Brown et al. (2001) e këshillojnë kundër tij, dhe pikërisht rasti këtu.</w:t>
      </w:r>
    </w:p>
    <w:p>
      <w:pPr>
        <w:spacing w:line="360" w:lineRule="auto"/>
        <w:ind w:firstLine="360"/>
        <w:jc w:val="both"/>
      </w:pPr>
      <w:r>
        <w:rPr>
          <w:rFonts w:ascii="Times New Roman" w:hAnsi="Times New Roman" w:eastAsia="Times New Roman"/>
          <w:b w:val="0"/>
          <w:caps w:val="0"/>
          <w:sz w:val="24"/>
        </w:rPr>
        <w:t>Vlerësuesi është autori i punimit, dhe kjo është kufizim e jo veçori. Një rishikues i vetëm, njëkohësisht autor i motorit që po gjykon, është forma më e dobët që kjo matje mund të marrë; është forma e disponueshme. Punimi e raporton si gjykim të një rishikuesi, me rubrikën e fiksuar para se të shihej qoftë edhe një diff dhe me fletën e komituar, që lexuesi të mund të mos pajtohet me një rresht të emërtuar e jo me një numër. Pajtimi mes rishikuesve, që Nënkapitulli 5 e mat për etiketat e MLCQ-së, këtu nuk mund të matet fare.</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të njëjtin agregim, dhe të dyja kolonat rillogariten nga i njëjti skedar në të njëjtin ekzekutim, që të mos rrëshqasin nga njëra-tjetra. Përputhja mes një shkeljeje të PMD-së dhe një entiteti të MLCQ-së bëhet me emrin e klasës dhe të metodës që raporti i PMD-së i mban vetë, e jo me numra rreshtash: numri i rreshtit do të kërkonte të merrej me mend nëse një mjet e numëron anotimin ose Javadoc-un pjesë të deklarimit.</w:t>
      </w:r>
    </w:p>
    <w:p>
      <w:pPr>
        <w:spacing w:line="360" w:lineRule="auto"/>
        <w:ind w:firstLine="360"/>
        <w:jc w:val="both"/>
      </w:pPr>
      <w:r>
        <w:rPr>
          <w:rFonts w:ascii="Times New Roman" w:hAnsi="Times New Roman" w:eastAsia="Times New Roman"/>
          <w:b w:val="0"/>
          <w:caps w:val="0"/>
          <w:sz w:val="24"/>
        </w:rPr>
        <w:t>Dy kufizime deklarohen para se të shihet ndonjë shifër. PMD analizon një njësi kompilimi në një kohë dhe nuk merr classpath të kompiluar, sepse korpusi nuk mban skedarë ndërtimi; ATFD-ja e GodClass-it, e përkufizuar kundrejt tipave të tjerë të projektit, i llogaritet pra nga sa duket brenda një skedari, ndërsa detektorët e këtij punimi e marrin projektin e plotë. Handikapi është real dhe e favorizon këtë punim. Së dyti, PMD nuk ka fare rregull për Feature Envy-n; rregulli i tij më i afërt, LawOfDemeter, mat zinxhirë mesazhesh e jo qasje në të dhëna të huaja, ndaj raportohet nën emrin e vet dhe kurrë si detektor i Feature Envy-së.</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2"/>
      </w:pPr>
      <w:r>
        <w:rPr>
          <w:rFonts w:ascii="Times New Roman" w:hAnsi="Times New Roman" w:eastAsia="Times New Roman"/>
          <w:b/>
          <w:caps w:val="0"/>
          <w:sz w:val="24"/>
        </w:rPr>
        <w:t>4.8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që kërkohen kur mblidhen të tilla, nuk zbatohen këtu.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dhe asnjë prag, metrikë apo detektor nuk është rregulluar që një rezultat të dalë më mirë. Ky është kushti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 (Figura 1).</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 (Tabela 1).</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 (Tabela 2; Figura 2).</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 (Tabela 3).</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 (Figura 3).</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 (Tabela 4).</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 (Figura 4; Tabela 5; Figura 5).</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 (Tabela 6).</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 (Tabela 7).</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 (Tabela 8; Tabela 9).</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 (Tabela 10).</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 (Tabela 11).</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 (Tabela 12).</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404</w:t>
            </w:r>
          </w:p>
        </w:tc>
        <w:tc>
          <w:tcPr>
            <w:tcW w:type="dxa" w:w="2946"/>
          </w:tcPr>
          <w:p>
            <w:pPr>
              <w:spacing w:line="240" w:lineRule="auto"/>
            </w:pPr>
            <w:r>
              <w:rPr>
                <w:rFonts w:ascii="Times New Roman" w:hAnsi="Times New Roman" w:eastAsia="Times New Roman"/>
                <w:b w:val="0"/>
                <w:caps w:val="0"/>
                <w:sz w:val="22"/>
              </w:rPr>
              <w:t>351</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46 nga 405 rishkrime, pra nga 0.2%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u veçua. Është një Extract Method mbi AlertSummaryRenderer.finalizeResult(Result) te «AlertSummaryRenderer.java» e projektit Ambari, dhe të tria gabimet që shton janë të të njëjtit lloj: paketa të palëve të treta që nuk ekzistojnë. Shkaku nuk është transformimi por korpusi. Nxjerrja e bllokut e kalon një tip nga trupi i metodës te nënshkrimi i saj, dhe një tip te nënshkrimi duhet zgjidhur i plotë, bashkë me anotacionet e veta; ato anotacione vijnë nga një bibliotekë që korpusi nuk e mban, sepse ai ruan vetëm skedarë «.java» dhe asnjë jar (Nënkapitulli 6.4). Në një projekt me varësitë e veta i njëjti rishkrim nuk do të kishte çfarë të shtonte. 7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4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 (Tabela 13).</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 (Tabela 14).</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Te tri nga katër erërat, detektorët i kapin rastet e rënda shumë më mirë se të lehtat; te Blob-i ndodh e kundërta.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Nuk janë raste kufitare që një prag pak më i butë do t'i kapte: janë entitete që, të matura me këto metrika, nuk i ngjajnë erës nga disa anë njëherësh. Kjo e ndan pyetjen e kalibrimit nga pyetja e përkufizimit, dhe e vendos këtë rast te e dyta.</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Lanza &amp; Marinescu-t, me pragjet e tyre të publikuara, dolën të sakta por me recall të ulët mbi MLCQ, ndërsa modelet e mësuara mbi të njëjtat metrika i tejkaluan te të katër erërat. Informacioni ndodhet pra te metrikat; pragjet fikse janë ajo që e humbin. Pajtimi i ulët mes vetë rishikuesve shton se një pjesë e gabimit i takon përkufizimit të erës dhe jo detektorit, ndaj krahasimet në këtë fushë duhen lexuar kundrejt atij tavani.</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mjet në përdorim të përditshëm, rregullat japin sinjal të rrallë por të besueshëm, të përshtatshëm si paralajmërim me pak zhurmë; aty ku mbulimi ka më shumë rëndësi, modeli është zgjedhja më e mirë. Refaktorimi i automatizuar është i realizueshëm me siguri vetëm për një pjesë të vendeve, rreth një në pesë, dhe vlera e tij varet pikërisht nga refuzimi i atyre që nuk i provon.</w:t>
      </w:r>
    </w:p>
    <w:p>
      <w:pPr>
        <w:pStyle w:val="Heading2"/>
      </w:pPr>
      <w:r>
        <w:rPr>
          <w:rFonts w:ascii="Times New Roman" w:hAnsi="Times New Roman" w:eastAsia="Times New Roman"/>
          <w:b/>
          <w:caps w:val="0"/>
          <w:sz w:val="24"/>
        </w:rPr>
        <w:t>6.4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Cilësia e rishkrimeve u vlerësua nga një rishikues i vetëm, i cili është autori i motorit. Rubrika u fiksua para se të shihej qoftë edhe një diff dhe fleta është e komituar rresht për rresht, por asnjëra prej të dyjave nuk e zëvendëson pavarësinë. Pajtimi mes rishikuesve, që për etiketat e MLCQ-së matet dhe raportohet, për këtë matje nuk mund të matet fare, ndaj ajo është e vetmja shifër e Kapitullit 5 pa tavan të njohur mbi të.</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Recall-i i raportuar kundrejt MLCQ-së për Blob-in nuk mat atë që emri i tij sugjeron. Nga 315 raste që rishikuesit i quajtën Blob dhe strategjia nuk i ndezi, 65 nuk janë më të mëdha se klasa mesatare që vetë rishikuesit e quajtën të pastër, dhe shtrirja e mospërputhjeve nuk mbivendoset fare me atë të kapjeve te asnjëra prej metrikave të madhësisë. Asnjë metrikë e vetme klase nuk i ndan dot mospërputhjet nga klasat e pastra: më e mira arrin 0.773 aty ku 0.50 do të thoshte asnjë informacion. Pasoja është se shifra mat sa shpesh një strategji e madhësisë dhe e kohezionit përputhet me një gjykim njerëzor që, te shumica e rasteve të etiketuara, nuk është marrë mbi bazën e madhësisë. Kjo nuk e përmirëson detektorin dhe nuk e fajëson rishikuesin; e ndryshon atë që shifra provon.</w:t>
      </w:r>
    </w:p>
    <w:p>
      <w:pPr>
        <w:spacing w:line="360" w:lineRule="auto"/>
        <w:ind w:firstLine="360"/>
        <w:jc w:val="both"/>
      </w:pPr>
      <w:r>
        <w:rPr>
          <w:rFonts w:ascii="Times New Roman" w:hAnsi="Times New Roman" w:eastAsia="Times New Roman"/>
          <w:b w:val="0"/>
          <w:caps w:val="0"/>
          <w:sz w:val="24"/>
        </w:rPr>
        <w:t>Një tavan i dytë është i matjes dhe jo i etiketave, dhe u raportua në vend që të riparohej. TCC-ja është e papërcaktuar për një klasë me më pak se dy metoda publike të instancës, dhe llogaritësi e zgjidh boshllëkun me vlerën maksimale, të cilën asnjë klauzolë e God Class-it nuk e pranon. Klasat ndihmëse krejt statike e mbartin atë vlerë nga vetë ndërtimi: 17 nga 19 rastet e tilla u riparsuan dhe dolën pikërisht të asaj forme. Ndreqja do të kërkonte shkëputjen e TCC-së nga përkufizimi i botuar që e citon, ndaj u zgjodh raportimi.</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6.5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Adoptimi i pragjeve të kalibruara si të parazgjedhura. Kalibrimi jashtë-fold-it është bërë dhe raportohet te Shtojca 8.6; ajo që mbetet është vendimi nëse një vlerë e zgjedhur mbi këtë korpus përgjithësohet, dhe foldet nuk pajtohen për të njëjtën vlerë te 3 nga 4 erërat, çka është arsye për të mos e marrë ende.</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6.6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6.4.</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15).</w:t>
      </w:r>
    </w:p>
    <w:p>
      <w:pPr>
        <w:spacing w:line="240" w:lineRule="auto"/>
        <w:jc w:val="center"/>
      </w:pPr>
      <w:r>
        <w:rPr>
          <w:rFonts w:ascii="Times New Roman" w:hAnsi="Times New Roman" w:eastAsia="Times New Roman"/>
          <w:b w:val="0"/>
          <w:caps w:val="0"/>
          <w:sz w:val="22"/>
        </w:rPr>
        <w:t>Tabela 15.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 (Tabela 16).</w:t>
      </w:r>
    </w:p>
    <w:p>
      <w:pPr>
        <w:spacing w:line="240" w:lineRule="auto"/>
        <w:jc w:val="center"/>
      </w:pPr>
      <w:r>
        <w:rPr>
          <w:rFonts w:ascii="Times New Roman" w:hAnsi="Times New Roman" w:eastAsia="Times New Roman"/>
          <w:b w:val="0"/>
          <w:caps w:val="0"/>
          <w:sz w:val="22"/>
        </w:rPr>
        <w:t>Tabela 16.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17).</w:t>
      </w:r>
    </w:p>
    <w:p>
      <w:pPr>
        <w:spacing w:line="240" w:lineRule="auto"/>
        <w:jc w:val="center"/>
      </w:pPr>
      <w:r>
        <w:rPr>
          <w:rFonts w:ascii="Times New Roman" w:hAnsi="Times New Roman" w:eastAsia="Times New Roman"/>
          <w:b w:val="0"/>
          <w:caps w:val="0"/>
          <w:sz w:val="22"/>
        </w:rPr>
        <w:t>Tabela 17.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18).</w:t>
      </w:r>
    </w:p>
    <w:p>
      <w:pPr>
        <w:spacing w:line="240" w:lineRule="auto"/>
        <w:jc w:val="center"/>
      </w:pPr>
      <w:r>
        <w:rPr>
          <w:rFonts w:ascii="Times New Roman" w:hAnsi="Times New Roman" w:eastAsia="Times New Roman"/>
          <w:b w:val="0"/>
          <w:caps w:val="0"/>
          <w:sz w:val="22"/>
        </w:rPr>
        <w:t>Tabela 18.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19).</w:t>
      </w:r>
    </w:p>
    <w:p>
      <w:pPr>
        <w:spacing w:line="240" w:lineRule="auto"/>
        <w:jc w:val="center"/>
      </w:pPr>
      <w:r>
        <w:rPr>
          <w:rFonts w:ascii="Times New Roman" w:hAnsi="Times New Roman" w:eastAsia="Times New Roman"/>
          <w:b w:val="0"/>
          <w:caps w:val="0"/>
          <w:sz w:val="22"/>
        </w:rPr>
        <w:t>Tabela 19.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20).</w:t>
      </w:r>
    </w:p>
    <w:p>
      <w:pPr>
        <w:spacing w:line="240" w:lineRule="auto"/>
        <w:jc w:val="center"/>
      </w:pPr>
      <w:r>
        <w:rPr>
          <w:rFonts w:ascii="Times New Roman" w:hAnsi="Times New Roman" w:eastAsia="Times New Roman"/>
          <w:b w:val="0"/>
          <w:caps w:val="0"/>
          <w:sz w:val="22"/>
        </w:rPr>
        <w:t>Tabela 20.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21).</w:t>
      </w:r>
    </w:p>
    <w:p>
      <w:pPr>
        <w:spacing w:line="240" w:lineRule="auto"/>
        <w:jc w:val="center"/>
      </w:pPr>
      <w:r>
        <w:rPr>
          <w:rFonts w:ascii="Times New Roman" w:hAnsi="Times New Roman" w:eastAsia="Times New Roman"/>
          <w:b w:val="0"/>
          <w:caps w:val="0"/>
          <w:sz w:val="22"/>
        </w:rPr>
        <w:t>Tabela 21.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20</w:t>
            </w:r>
          </w:p>
        </w:tc>
        <w:tc>
          <w:tcPr>
            <w:tcW w:type="dxa" w:w="2209"/>
          </w:tcPr>
          <w:p>
            <w:pPr>
              <w:spacing w:line="240" w:lineRule="auto"/>
            </w:pPr>
            <w:r>
              <w:rPr>
                <w:rFonts w:ascii="Times New Roman" w:hAnsi="Times New Roman" w:eastAsia="Times New Roman"/>
                <w:b w:val="0"/>
                <w:caps w:val="0"/>
                <w:sz w:val="22"/>
              </w:rPr>
              <w:t>blocking_conditions.py</w:t>
            </w:r>
          </w:p>
        </w:tc>
        <w:tc>
          <w:tcPr>
            <w:tcW w:type="dxa" w:w="2209"/>
          </w:tcPr>
          <w:p>
            <w:pPr>
              <w:spacing w:line="240" w:lineRule="auto"/>
            </w:pPr>
            <w:r>
              <w:rPr>
                <w:rFonts w:ascii="Times New Roman" w:hAnsi="Times New Roman" w:eastAsia="Times New Roman"/>
                <w:b w:val="0"/>
                <w:caps w:val="0"/>
                <w:sz w:val="22"/>
              </w:rPr>
              <w:t>cila klauzolë e ndal secilën strategji</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blob_recall.py</w:t>
            </w:r>
          </w:p>
        </w:tc>
        <w:tc>
          <w:tcPr>
            <w:tcW w:type="dxa" w:w="2209"/>
          </w:tcPr>
          <w:p>
            <w:pPr>
              <w:spacing w:line="240" w:lineRule="auto"/>
            </w:pPr>
            <w:r>
              <w:rPr>
                <w:rFonts w:ascii="Times New Roman" w:hAnsi="Times New Roman" w:eastAsia="Times New Roman"/>
                <w:b w:val="0"/>
                <w:caps w:val="0"/>
                <w:sz w:val="22"/>
              </w:rPr>
              <w:t>çfarë mbetet pa u kapur te Blob-i</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 (Tabela 22).</w:t>
      </w:r>
    </w:p>
    <w:p>
      <w:pPr>
        <w:spacing w:line="240" w:lineRule="auto"/>
        <w:jc w:val="center"/>
      </w:pPr>
      <w:r>
        <w:rPr>
          <w:rFonts w:ascii="Times New Roman" w:hAnsi="Times New Roman" w:eastAsia="Times New Roman"/>
          <w:b w:val="0"/>
          <w:caps w:val="0"/>
          <w:sz w:val="22"/>
        </w:rPr>
        <w:t>Tabela 22.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blob_recall.json</w:t>
            </w:r>
          </w:p>
        </w:tc>
        <w:tc>
          <w:tcPr>
            <w:tcW w:type="dxa" w:w="4419"/>
          </w:tcPr>
          <w:p>
            <w:pPr>
              <w:spacing w:line="240" w:lineRule="auto"/>
            </w:pPr>
            <w:r>
              <w:rPr>
                <w:rFonts w:ascii="Times New Roman" w:hAnsi="Times New Roman" w:eastAsia="Times New Roman"/>
                <w:b w:val="0"/>
                <w:caps w:val="0"/>
                <w:sz w:val="22"/>
              </w:rPr>
              <w:t>1b96a94105</w:t>
            </w:r>
          </w:p>
        </w:tc>
      </w:tr>
      <w:tr>
        <w:tc>
          <w:tcPr>
            <w:tcW w:type="dxa" w:w="4419"/>
          </w:tcPr>
          <w:p>
            <w:pPr>
              <w:spacing w:line="240" w:lineRule="auto"/>
            </w:pPr>
            <w:r>
              <w:rPr>
                <w:rFonts w:ascii="Times New Roman" w:hAnsi="Times New Roman" w:eastAsia="Times New Roman"/>
                <w:b w:val="0"/>
                <w:caps w:val="0"/>
                <w:sz w:val="22"/>
              </w:rPr>
              <w:t>blocking_conditions.json</w:t>
            </w:r>
          </w:p>
        </w:tc>
        <w:tc>
          <w:tcPr>
            <w:tcW w:type="dxa" w:w="4419"/>
          </w:tcPr>
          <w:p>
            <w:pPr>
              <w:spacing w:line="240" w:lineRule="auto"/>
            </w:pPr>
            <w:r>
              <w:rPr>
                <w:rFonts w:ascii="Times New Roman" w:hAnsi="Times New Roman" w:eastAsia="Times New Roman"/>
                <w:b w:val="0"/>
                <w:caps w:val="0"/>
                <w:sz w:val="22"/>
              </w:rPr>
              <w:t>1e0e249e67</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Riprodhimi i mësipërm i përket matjes ashtu si ishte atëherë: mostra e saj prej 30 skedarësh, ku asnjë verdikt nuk ishte përmbysur. Tri ditë më vonë ajo mostër u dyfishua, dhe pikërisht dyfishimi nxori përmbysjen e vetme që raporton Kapitulli 5. Skedari i komituar sot është ai i dytë. Pra fjalia e mësipërme thotë se hapi riprodhohet, jo se rezultati i tij nuk ndryshoi kurrë — dallim që do të humbte po të mos shkruhej këtu.</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 (Tabela 23; Figura 6).</w:t>
      </w:r>
    </w:p>
    <w:p>
      <w:pPr>
        <w:spacing w:line="240" w:lineRule="auto"/>
        <w:jc w:val="center"/>
      </w:pPr>
      <w:r>
        <w:rPr>
          <w:rFonts w:ascii="Times New Roman" w:hAnsi="Times New Roman" w:eastAsia="Times New Roman"/>
          <w:b w:val="0"/>
          <w:caps w:val="0"/>
          <w:sz w:val="22"/>
        </w:rPr>
        <w:t>Tabela 23.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24).</w:t>
      </w:r>
    </w:p>
    <w:p>
      <w:pPr>
        <w:spacing w:line="240" w:lineRule="auto"/>
        <w:jc w:val="center"/>
      </w:pPr>
      <w:r>
        <w:rPr>
          <w:rFonts w:ascii="Times New Roman" w:hAnsi="Times New Roman" w:eastAsia="Times New Roman"/>
          <w:b w:val="0"/>
          <w:caps w:val="0"/>
          <w:sz w:val="22"/>
        </w:rPr>
        <w:t>Tabela 24.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25).</w:t>
      </w:r>
    </w:p>
    <w:p>
      <w:pPr>
        <w:spacing w:line="240" w:lineRule="auto"/>
        <w:jc w:val="center"/>
      </w:pPr>
      <w:r>
        <w:rPr>
          <w:rFonts w:ascii="Times New Roman" w:hAnsi="Times New Roman" w:eastAsia="Times New Roman"/>
          <w:b w:val="0"/>
          <w:caps w:val="0"/>
          <w:sz w:val="22"/>
        </w:rPr>
        <w:t>Tabela 25.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është më i afërti dhe mat zinxhirë mesazhesh e jo qasje në të dhëna të huaja; shifra e tij raportohet për ta pasur të matur e jo të supozuar, dhe nuk është matje e Feature Envy-së. Mbulimi i pjesshëm i një mjeti të përhapur është vetë gjetje: tri nga katër erërat e MLCQ-së kanë një rregull të gatshme, e katërta jo.</w:t>
      </w:r>
    </w:p>
    <w:p>
      <w:pPr>
        <w:spacing w:line="360" w:lineRule="auto"/>
        <w:ind w:firstLine="360"/>
        <w:jc w:val="both"/>
      </w:pPr>
      <w:r>
        <w:rPr>
          <w:rFonts w:ascii="Times New Roman" w:hAnsi="Times New Roman" w:eastAsia="Times New Roman"/>
          <w:b w:val="0"/>
          <w:caps w:val="0"/>
          <w:sz w:val="24"/>
        </w:rPr>
        <w:t>Mungesa nuk është veti vetëm e PMD-së, dhe u kërkua një mjet i dytë para se të pranohej. Katalogu i rregullave të PMD-së për Java u numërua nga vetë shpërndarja e tij dhe nuk përmban asnjë rregull për Feature Envy. DesigniteJava, mjeti tjetër i lirë me përhapje krahasuese, dokumenton shtatëmbëdhjetë design smells dhe dhjetë implementation smells, dhe Feature Envy nuk është ndër to. Mjeti që e zbulon vërtet është JDeodorant, i cili ndërtohet mbi pikërisht identifikimin e mundësive për Move Method (Tsantalis &amp; Chatzigeorgiou, 2009), por ai është shtojcë e mjedisit të zhvillimit dhe varianti i tij në rresht komande nuk mban licencë, çka e përjashton nga kufizimi i varësive që ky punim ndjek.</w:t>
      </w:r>
    </w:p>
    <w:p>
      <w:pPr>
        <w:spacing w:line="360" w:lineRule="auto"/>
        <w:ind w:firstLine="360"/>
        <w:jc w:val="both"/>
      </w:pPr>
      <w:r>
        <w:rPr>
          <w:rFonts w:ascii="Times New Roman" w:hAnsi="Times New Roman" w:eastAsia="Times New Roman"/>
          <w:b w:val="0"/>
          <w:caps w:val="0"/>
          <w:sz w:val="24"/>
        </w:rPr>
        <w:t>Prandaj erës që literatura e trajton më shpesh si objektiv refaktorimi i mungon mbështetja në mjetet që një zhvillues i instalon lehtë. Kjo raportohet si gjendje e verifikuar e jo si supozim: dy katalogë u numëruan, dhe i treti u përjashtua për arsye licence e jo për mungesë aftësie.</w:t>
      </w:r>
    </w:p>
    <w:p>
      <w:pPr>
        <w:spacing w:line="360" w:lineRule="auto"/>
        <w:ind w:firstLine="360"/>
        <w:jc w:val="both"/>
      </w:pPr>
      <w:r>
        <w:rPr>
          <w:rFonts w:ascii="Times New Roman" w:hAnsi="Times New Roman" w:eastAsia="Times New Roman"/>
          <w:b w:val="0"/>
          <w:caps w:val="0"/>
          <w:sz w:val="24"/>
        </w:rPr>
        <w:t>Krahasimi e favorizon këtë punim në një drejtim të deklaruar që në Nënkapitullin 4.6: PMD analizon një skedar në një kohë dhe pa classpath të kompiluar, ndaj ATFD-në e llogarit nga sa duket brenda një skedari, ndërsa detektorët e këtij punimi e marrin projektin e plotë. Heqja e këtij handikapi do të kërkonte ndërtimin e 513 depove në commit-et e tyre historike, çka korpusi nuk e lejon (Nënkapitulli 6.4).</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26; Tabela 27).</w:t>
      </w:r>
    </w:p>
    <w:p>
      <w:pPr>
        <w:spacing w:line="240" w:lineRule="auto"/>
        <w:jc w:val="center"/>
      </w:pPr>
      <w:r>
        <w:rPr>
          <w:rFonts w:ascii="Times New Roman" w:hAnsi="Times New Roman" w:eastAsia="Times New Roman"/>
          <w:b w:val="0"/>
          <w:caps w:val="0"/>
          <w:sz w:val="22"/>
        </w:rPr>
        <w:t>Tabela 26.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Era</w:t>
            </w:r>
          </w:p>
        </w:tc>
        <w:tc>
          <w:tcPr>
            <w:tcW w:type="dxa" w:w="2946"/>
          </w:tcPr>
          <w:p>
            <w:pPr>
              <w:spacing w:line="240" w:lineRule="auto"/>
            </w:pPr>
            <w:r>
              <w:rPr>
                <w:rFonts w:ascii="Times New Roman" w:hAnsi="Times New Roman" w:eastAsia="Times New Roman"/>
                <w:b/>
                <w:caps w:val="0"/>
                <w:sz w:val="22"/>
              </w:rPr>
              <w:t>Të humbura</w:t>
            </w:r>
          </w:p>
        </w:tc>
        <w:tc>
          <w:tcPr>
            <w:tcW w:type="dxa" w:w="2946"/>
          </w:tcPr>
          <w:p>
            <w:pPr>
              <w:spacing w:line="240" w:lineRule="auto"/>
            </w:pPr>
            <w:r>
              <w:rPr>
                <w:rFonts w:ascii="Times New Roman" w:hAnsi="Times New Roman" w:eastAsia="Times New Roman"/>
                <w:b/>
                <w:caps w:val="0"/>
                <w:sz w:val="22"/>
              </w:rPr>
              <w:t>Shpërndarja</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315</w:t>
            </w:r>
          </w:p>
        </w:tc>
        <w:tc>
          <w:tcPr>
            <w:tcW w:type="dxa" w:w="2946"/>
          </w:tcPr>
          <w:p>
            <w:pPr>
              <w:spacing w:line="240" w:lineRule="auto"/>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27.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Era</w:t>
            </w:r>
          </w:p>
        </w:tc>
        <w:tc>
          <w:tcPr>
            <w:tcW w:type="dxa" w:w="2209"/>
          </w:tcPr>
          <w:p>
            <w:pPr>
              <w:spacing w:line="240" w:lineRule="auto"/>
            </w:pPr>
            <w:r>
              <w:rPr>
                <w:rFonts w:ascii="Times New Roman" w:hAnsi="Times New Roman" w:eastAsia="Times New Roman"/>
                <w:b/>
                <w:caps w:val="0"/>
                <w:sz w:val="22"/>
              </w:rPr>
              <w:t>Klauzola</w:t>
            </w:r>
          </w:p>
        </w:tc>
        <w:tc>
          <w:tcPr>
            <w:tcW w:type="dxa" w:w="2209"/>
          </w:tcPr>
          <w:p>
            <w:pPr>
              <w:spacing w:line="240" w:lineRule="auto"/>
            </w:pPr>
            <w:r>
              <w:rPr>
                <w:rFonts w:ascii="Times New Roman" w:hAnsi="Times New Roman" w:eastAsia="Times New Roman"/>
                <w:b/>
                <w:caps w:val="0"/>
                <w:sz w:val="22"/>
              </w:rPr>
              <w:t>Rastet</w:t>
            </w:r>
          </w:p>
        </w:tc>
        <w:tc>
          <w:tcPr>
            <w:tcW w:type="dxa" w:w="2209"/>
          </w:tcPr>
          <w:p>
            <w:pPr>
              <w:spacing w:line="240" w:lineRule="auto"/>
            </w:pPr>
            <w:r>
              <w:rPr>
                <w:rFonts w:ascii="Times New Roman" w:hAnsi="Times New Roman" w:eastAsia="Times New Roman"/>
                <w:b/>
                <w:caps w:val="0"/>
                <w:sz w:val="22"/>
              </w:rPr>
              <w:t>Mediana e afrisë</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0.40</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TCC, kohezioni</w:t>
            </w:r>
          </w:p>
        </w:tc>
        <w:tc>
          <w:tcPr>
            <w:tcW w:type="dxa" w:w="2209"/>
          </w:tcPr>
          <w:p>
            <w:pPr>
              <w:spacing w:line="240" w:lineRule="auto"/>
            </w:pPr>
            <w:r>
              <w:rPr>
                <w:rFonts w:ascii="Times New Roman" w:hAnsi="Times New Roman" w:eastAsia="Times New Roman"/>
                <w:b w:val="0"/>
                <w:caps w:val="0"/>
                <w:sz w:val="22"/>
              </w:rPr>
              <w:t>22</w:t>
            </w:r>
          </w:p>
        </w:tc>
        <w:tc>
          <w:tcPr>
            <w:tcW w:type="dxa" w:w="2209"/>
          </w:tcPr>
          <w:p>
            <w:pPr>
              <w:spacing w:line="240" w:lineRule="auto"/>
            </w:pPr>
            <w:r>
              <w:rPr>
                <w:rFonts w:ascii="Times New Roman" w:hAnsi="Times New Roman" w:eastAsia="Times New Roman"/>
                <w:b w:val="0"/>
                <w:caps w:val="0"/>
                <w:sz w:val="22"/>
              </w:rPr>
              <w:t>0.33</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WMC, kompleksiteti i peshuar</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0.52</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0.80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FDP, sa klasa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0.71</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LAA, qasja te të vetat</w:t>
            </w:r>
          </w:p>
        </w:tc>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Kjo analizë kufizohet te dy strategjitë që janë konjunksione të pastra. Long Method-i ka një klauzolë të vetme, ndaj pyetja ka një përgjigje të vetme dhe të parashikueshme; Data Class-i përzien konjunksion me disjunksion, ku «klauzola bllokuese» nuk përcaktohet pa vendosur se cila degë ishte më afër, dhe ai vendim do të prodhonte një numër që varet nga vetë vendimi.</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28).</w:t>
      </w:r>
    </w:p>
    <w:p>
      <w:pPr>
        <w:spacing w:line="240" w:lineRule="auto"/>
        <w:jc w:val="center"/>
      </w:pPr>
      <w:r>
        <w:rPr>
          <w:rFonts w:ascii="Times New Roman" w:hAnsi="Times New Roman" w:eastAsia="Times New Roman"/>
          <w:b w:val="0"/>
          <w:caps w:val="0"/>
          <w:sz w:val="22"/>
        </w:rPr>
        <w:t>Tabela 28.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7).</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 (Tabela 29; Figura 8).</w:t>
      </w:r>
    </w:p>
    <w:p>
      <w:pPr>
        <w:spacing w:line="240" w:lineRule="auto"/>
        <w:jc w:val="center"/>
      </w:pPr>
      <w:r>
        <w:rPr>
          <w:rFonts w:ascii="Times New Roman" w:hAnsi="Times New Roman" w:eastAsia="Times New Roman"/>
          <w:b w:val="0"/>
          <w:caps w:val="0"/>
          <w:sz w:val="22"/>
        </w:rPr>
        <w:t>Tabela 29.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30):</w:t>
      </w:r>
    </w:p>
    <w:p>
      <w:pPr>
        <w:spacing w:line="240" w:lineRule="auto"/>
        <w:jc w:val="center"/>
      </w:pPr>
      <w:r>
        <w:rPr>
          <w:rFonts w:ascii="Times New Roman" w:hAnsi="Times New Roman" w:eastAsia="Times New Roman"/>
          <w:b w:val="0"/>
          <w:caps w:val="0"/>
          <w:sz w:val="22"/>
        </w:rPr>
        <w:t>Tabela 30.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31).</w:t>
      </w:r>
    </w:p>
    <w:p>
      <w:pPr>
        <w:spacing w:line="240" w:lineRule="auto"/>
        <w:jc w:val="center"/>
      </w:pPr>
      <w:r>
        <w:rPr>
          <w:rFonts w:ascii="Times New Roman" w:hAnsi="Times New Roman" w:eastAsia="Times New Roman"/>
          <w:b w:val="0"/>
          <w:caps w:val="0"/>
          <w:sz w:val="22"/>
        </w:rPr>
        <w:t>Tabela 31.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Kapitullit 5 duhet lexuar mbi këtë sfond, dhe po ashtu çdo shifër e literaturës që raportohet pa të.</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dhe e lë të hapur pyetjen që vjen menjëherë pas saj: si duket klasa që rishikuesi e quajti blob ndërsa strategjia nuk e quajti? Përgjigjja ka vetëm dy forma, dhe të dyja kërkojnë punë të kundërt. Ose klasat e humbura u ngjajnë atyre të kapura në një përmasë që strategjia nuk e lexon fare, dhe atëherë asaj i mungon një klauzolë; ose u ngjajnë klasave që rishikuesit i quajtën të pastra në çdo përmasë të matur, dhe atëherë asnjë prag e asnjë klauzolë nuk i arrin dot (Tabela 32).</w:t>
      </w:r>
    </w:p>
    <w:p>
      <w:pPr>
        <w:spacing w:line="240" w:lineRule="auto"/>
        <w:jc w:val="center"/>
      </w:pPr>
      <w:r>
        <w:rPr>
          <w:rFonts w:ascii="Times New Roman" w:hAnsi="Times New Roman" w:eastAsia="Times New Roman"/>
          <w:b w:val="0"/>
          <w:caps w:val="0"/>
          <w:sz w:val="22"/>
        </w:rPr>
        <w:t>Tabela 32.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Metrika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Të humbura</w:t>
            </w:r>
          </w:p>
        </w:tc>
        <w:tc>
          <w:tcPr>
            <w:tcW w:type="dxa" w:w="1768"/>
          </w:tcPr>
          <w:p>
            <w:pPr>
              <w:spacing w:line="240" w:lineRule="auto"/>
            </w:pPr>
            <w:r>
              <w:rPr>
                <w:rFonts w:ascii="Times New Roman" w:hAnsi="Times New Roman" w:eastAsia="Times New Roman"/>
                <w:b/>
                <w:caps w:val="0"/>
                <w:sz w:val="22"/>
              </w:rPr>
              <w:t>Të pastra</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261–285–746</w:t>
            </w:r>
          </w:p>
        </w:tc>
        <w:tc>
          <w:tcPr>
            <w:tcW w:type="dxa" w:w="1768"/>
          </w:tcPr>
          <w:p>
            <w:pPr>
              <w:spacing w:line="240" w:lineRule="auto"/>
            </w:pPr>
            <w:r>
              <w:rPr>
                <w:rFonts w:ascii="Times New Roman" w:hAnsi="Times New Roman" w:eastAsia="Times New Roman"/>
                <w:b w:val="0"/>
                <w:caps w:val="0"/>
                <w:sz w:val="22"/>
              </w:rPr>
              <w:t>24–55–123</w:t>
            </w:r>
          </w:p>
        </w:tc>
        <w:tc>
          <w:tcPr>
            <w:tcW w:type="dxa" w:w="1768"/>
          </w:tcPr>
          <w:p>
            <w:pPr>
              <w:spacing w:line="240" w:lineRule="auto"/>
            </w:pPr>
            <w:r>
              <w:rPr>
                <w:rFonts w:ascii="Times New Roman" w:hAnsi="Times New Roman" w:eastAsia="Times New Roman"/>
                <w:b w:val="0"/>
                <w:caps w:val="0"/>
                <w:sz w:val="22"/>
              </w:rPr>
              <w:t>9–21–45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17–25–46</w:t>
            </w:r>
          </w:p>
        </w:tc>
        <w:tc>
          <w:tcPr>
            <w:tcW w:type="dxa" w:w="1768"/>
          </w:tcPr>
          <w:p>
            <w:pPr>
              <w:spacing w:line="240" w:lineRule="auto"/>
            </w:pPr>
            <w:r>
              <w:rPr>
                <w:rFonts w:ascii="Times New Roman" w:hAnsi="Times New Roman" w:eastAsia="Times New Roman"/>
                <w:b w:val="0"/>
                <w:caps w:val="0"/>
                <w:sz w:val="22"/>
              </w:rPr>
              <w:t>4–8–14</w:t>
            </w:r>
          </w:p>
        </w:tc>
        <w:tc>
          <w:tcPr>
            <w:tcW w:type="dxa" w:w="1768"/>
          </w:tcPr>
          <w:p>
            <w:pPr>
              <w:spacing w:line="240" w:lineRule="auto"/>
            </w:pPr>
            <w:r>
              <w:rPr>
                <w:rFonts w:ascii="Times New Roman" w:hAnsi="Times New Roman" w:eastAsia="Times New Roman"/>
                <w:b w:val="0"/>
                <w:caps w:val="0"/>
                <w:sz w:val="22"/>
              </w:rPr>
              <w:t>1–3–6</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55–81–156</w:t>
            </w:r>
          </w:p>
        </w:tc>
        <w:tc>
          <w:tcPr>
            <w:tcW w:type="dxa" w:w="1768"/>
          </w:tcPr>
          <w:p>
            <w:pPr>
              <w:spacing w:line="240" w:lineRule="auto"/>
            </w:pPr>
            <w:r>
              <w:rPr>
                <w:rFonts w:ascii="Times New Roman" w:hAnsi="Times New Roman" w:eastAsia="Times New Roman"/>
                <w:b w:val="0"/>
                <w:caps w:val="0"/>
                <w:sz w:val="22"/>
              </w:rPr>
              <w:t>7–15–29</w:t>
            </w:r>
          </w:p>
        </w:tc>
        <w:tc>
          <w:tcPr>
            <w:tcW w:type="dxa" w:w="1768"/>
          </w:tcPr>
          <w:p>
            <w:pPr>
              <w:spacing w:line="240" w:lineRule="auto"/>
            </w:pPr>
            <w:r>
              <w:rPr>
                <w:rFonts w:ascii="Times New Roman" w:hAnsi="Times New Roman" w:eastAsia="Times New Roman"/>
                <w:b w:val="0"/>
                <w:caps w:val="0"/>
                <w:sz w:val="22"/>
              </w:rPr>
              <w:t>3–6–11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194–276–470</w:t>
            </w:r>
          </w:p>
        </w:tc>
        <w:tc>
          <w:tcPr>
            <w:tcW w:type="dxa" w:w="1768"/>
          </w:tcPr>
          <w:p>
            <w:pPr>
              <w:spacing w:line="240" w:lineRule="auto"/>
            </w:pPr>
            <w:r>
              <w:rPr>
                <w:rFonts w:ascii="Times New Roman" w:hAnsi="Times New Roman" w:eastAsia="Times New Roman"/>
                <w:b w:val="0"/>
                <w:caps w:val="0"/>
                <w:sz w:val="22"/>
              </w:rPr>
              <w:t>22–48–81</w:t>
            </w:r>
          </w:p>
        </w:tc>
        <w:tc>
          <w:tcPr>
            <w:tcW w:type="dxa" w:w="1768"/>
          </w:tcPr>
          <w:p>
            <w:pPr>
              <w:spacing w:line="240" w:lineRule="auto"/>
            </w:pPr>
            <w:r>
              <w:rPr>
                <w:rFonts w:ascii="Times New Roman" w:hAnsi="Times New Roman" w:eastAsia="Times New Roman"/>
                <w:b w:val="0"/>
                <w:caps w:val="0"/>
                <w:sz w:val="22"/>
              </w:rPr>
              <w:t>9–19–41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15–25–35</w:t>
            </w:r>
          </w:p>
        </w:tc>
        <w:tc>
          <w:tcPr>
            <w:tcW w:type="dxa" w:w="1768"/>
          </w:tcPr>
          <w:p>
            <w:pPr>
              <w:spacing w:line="240" w:lineRule="auto"/>
            </w:pPr>
            <w:r>
              <w:rPr>
                <w:rFonts w:ascii="Times New Roman" w:hAnsi="Times New Roman" w:eastAsia="Times New Roman"/>
                <w:b w:val="0"/>
                <w:caps w:val="0"/>
                <w:sz w:val="22"/>
              </w:rPr>
              <w:t>3–7–12</w:t>
            </w:r>
          </w:p>
        </w:tc>
        <w:tc>
          <w:tcPr>
            <w:tcW w:type="dxa" w:w="1768"/>
          </w:tcPr>
          <w:p>
            <w:pPr>
              <w:spacing w:line="240" w:lineRule="auto"/>
            </w:pPr>
            <w:r>
              <w:rPr>
                <w:rFonts w:ascii="Times New Roman" w:hAnsi="Times New Roman" w:eastAsia="Times New Roman"/>
                <w:b w:val="0"/>
                <w:caps w:val="0"/>
                <w:sz w:val="22"/>
              </w:rPr>
              <w:t>1–3–5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43–62–130</w:t>
            </w:r>
          </w:p>
        </w:tc>
        <w:tc>
          <w:tcPr>
            <w:tcW w:type="dxa" w:w="1768"/>
          </w:tcPr>
          <w:p>
            <w:pPr>
              <w:spacing w:line="240" w:lineRule="auto"/>
            </w:pPr>
            <w:r>
              <w:rPr>
                <w:rFonts w:ascii="Times New Roman" w:hAnsi="Times New Roman" w:eastAsia="Times New Roman"/>
                <w:b w:val="0"/>
                <w:caps w:val="0"/>
                <w:sz w:val="22"/>
              </w:rPr>
              <w:t>6–12–21</w:t>
            </w:r>
          </w:p>
        </w:tc>
        <w:tc>
          <w:tcPr>
            <w:tcW w:type="dxa" w:w="1768"/>
          </w:tcPr>
          <w:p>
            <w:pPr>
              <w:spacing w:line="240" w:lineRule="auto"/>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gjasa që një mospërputhje e marrë rastësisht të renditet mbi një klasë të pastër të marrë rastësisht, që është statistika e Mann-Whitney-t dhe lexohet si sipërfaqja nën kurbën ROC: 0.50 do të thotë asnjë informacion, 1.00 renditje e përsosur. Më e mira nga 17 metrikat e klasës është NOF me 0.773, e cila nuk mban dot as prag as klauzolë.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krejt tjetër. Veçoritë që modeli i Qasjes B zgjodhi vetë për Blob-in, të raportuara te Nënkapitulli 5.2, ndajnë 3 nga katër vendet e para me renditjen sipas ndarjes: NOF, CLOC, NOAM. As TCC-ja dhe as WMC-ja, të dy kushtet mbi të cilat është ndërtuar strategjia e botuar, nuk hyjnë te asnjëra prej dy listave. Një statistikë renditëse dhe një model i trajnuar nuk janë e njëjta llogari, ndaj pajtimi i tyre është provë më shumë se përsëritje (Tabela 33).</w:t>
      </w:r>
    </w:p>
    <w:p>
      <w:pPr>
        <w:spacing w:line="240" w:lineRule="auto"/>
        <w:jc w:val="center"/>
      </w:pPr>
      <w:r>
        <w:rPr>
          <w:rFonts w:ascii="Times New Roman" w:hAnsi="Times New Roman" w:eastAsia="Times New Roman"/>
          <w:b w:val="0"/>
          <w:caps w:val="0"/>
          <w:sz w:val="22"/>
        </w:rPr>
        <w:t>Tabela 33.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Mbështetja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Recall</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1</w:t>
            </w:r>
          </w:p>
        </w:tc>
        <w:tc>
          <w:tcPr>
            <w:tcW w:type="dxa" w:w="1768"/>
          </w:tcPr>
          <w:p>
            <w:pPr>
              <w:spacing w:line="240" w:lineRule="auto"/>
            </w:pPr>
            <w:r>
              <w:rPr>
                <w:rFonts w:ascii="Times New Roman" w:hAnsi="Times New Roman" w:eastAsia="Times New Roman"/>
                <w:b w:val="0"/>
                <w:caps w:val="0"/>
                <w:sz w:val="22"/>
              </w:rPr>
              <w:t>0.007</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13</w:t>
            </w:r>
          </w:p>
        </w:tc>
        <w:tc>
          <w:tcPr>
            <w:tcW w:type="dxa" w:w="1768"/>
          </w:tcPr>
          <w:p>
            <w:pPr>
              <w:spacing w:line="240" w:lineRule="auto"/>
            </w:pPr>
            <w:r>
              <w:rPr>
                <w:rFonts w:ascii="Times New Roman" w:hAnsi="Times New Roman" w:eastAsia="Times New Roman"/>
                <w:b w:val="0"/>
                <w:caps w:val="0"/>
                <w:sz w:val="22"/>
              </w:rPr>
              <w:t>0.071</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0.159</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5</w:t>
            </w:r>
          </w:p>
        </w:tc>
        <w:tc>
          <w:tcPr>
            <w:tcW w:type="dxa" w:w="1768"/>
          </w:tcPr>
          <w:p>
            <w:pPr>
              <w:spacing w:line="240" w:lineRule="auto"/>
            </w:pPr>
            <w:r>
              <w:rPr>
                <w:rFonts w:ascii="Times New Roman" w:hAnsi="Times New Roman" w:eastAsia="Times New Roman"/>
                <w:b w:val="0"/>
                <w:caps w:val="0"/>
                <w:sz w:val="22"/>
              </w:rPr>
              <w:t>0.035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32</w:t>
            </w:r>
          </w:p>
        </w:tc>
        <w:tc>
          <w:tcPr>
            <w:tcW w:type="dxa" w:w="1768"/>
          </w:tcPr>
          <w:p>
            <w:pPr>
              <w:spacing w:line="240" w:lineRule="auto"/>
            </w:pPr>
            <w:r>
              <w:rPr>
                <w:rFonts w:ascii="Times New Roman" w:hAnsi="Times New Roman" w:eastAsia="Times New Roman"/>
                <w:b w:val="0"/>
                <w:caps w:val="0"/>
                <w:sz w:val="22"/>
              </w:rPr>
              <w:t>0.176</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55</w:t>
            </w:r>
          </w:p>
        </w:tc>
        <w:tc>
          <w:tcPr>
            <w:tcW w:type="dxa" w:w="1768"/>
          </w:tcPr>
          <w:p>
            <w:pPr>
              <w:spacing w:line="240" w:lineRule="auto"/>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MAX e jo mesatarja e përdorur gjetiu, dhe zgjedhja është e qëllimshme. Shumica e mostrave mbajnë vetëm dy rishikime, dhe një votë «asnjë» përballë një vote të rëndë e ul mesataren për një shkallë të tërë; te mostrat me gjashtë rishikime, ku «asnjë» është vota mediane, ulja është edhe më e madhe. Pasoja matet: nën mesatare shpërndarja e pozitivëve është minor 330, major 20, critical 0, ndërsa nën MAX është minor 143, major 182, critical 132. Skaji i rëndë i shkallës zbrazet, ndaj gradienti nuk shihet dot aty ku raportohet gjetiu ky punim.</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ka shkak krejt tjetër, dhe është e vetmja pjesë ku faji bie mbi matjen e jo mbi etiketat. TCC-ja e Bieman &amp; Kang-ut (1995) mat pjesën e çifteve të metodave publike të instancës që ndajnë një fushë. Një klasë me më pak se dy metoda të tilla nuk ka çift fare, ndaj metrika është e papërcaktuar dhe llogaritësi e zgjidh boshllëkun nga ana e «plotësisht kohezive», domethënë 1.0.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ndaj një klasë që mbart atë vlerë mbetet jashtë mundësive të strategjisë sado të zhvendosen pragjet (Tabela 34).</w:t>
      </w:r>
    </w:p>
    <w:p>
      <w:pPr>
        <w:spacing w:line="240" w:lineRule="auto"/>
        <w:jc w:val="center"/>
      </w:pPr>
      <w:r>
        <w:rPr>
          <w:rFonts w:ascii="Times New Roman" w:hAnsi="Times New Roman" w:eastAsia="Times New Roman"/>
          <w:b w:val="0"/>
          <w:caps w:val="0"/>
          <w:sz w:val="22"/>
        </w:rPr>
        <w:t>Tabela 34.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Klasa</w:t>
            </w:r>
          </w:p>
        </w:tc>
        <w:tc>
          <w:tcPr>
            <w:tcW w:type="dxa" w:w="1768"/>
          </w:tcPr>
          <w:p>
            <w:pPr>
              <w:spacing w:line="240" w:lineRule="auto"/>
            </w:pPr>
            <w:r>
              <w:rPr>
                <w:rFonts w:ascii="Times New Roman" w:hAnsi="Times New Roman" w:eastAsia="Times New Roman"/>
                <w:b/>
                <w:caps w:val="0"/>
                <w:sz w:val="22"/>
              </w:rPr>
              <w:t>CLOC</w:t>
            </w:r>
          </w:p>
        </w:tc>
        <w:tc>
          <w:tcPr>
            <w:tcW w:type="dxa" w:w="1768"/>
          </w:tcPr>
          <w:p>
            <w:pPr>
              <w:spacing w:line="240" w:lineRule="auto"/>
            </w:pPr>
            <w:r>
              <w:rPr>
                <w:rFonts w:ascii="Times New Roman" w:hAnsi="Times New Roman" w:eastAsia="Times New Roman"/>
                <w:b/>
                <w:caps w:val="0"/>
                <w:sz w:val="22"/>
              </w:rPr>
              <w:t>NOM</w:t>
            </w:r>
          </w:p>
        </w:tc>
        <w:tc>
          <w:tcPr>
            <w:tcW w:type="dxa" w:w="1768"/>
          </w:tcPr>
          <w:p>
            <w:pPr>
              <w:spacing w:line="240" w:lineRule="auto"/>
            </w:pPr>
            <w:r>
              <w:rPr>
                <w:rFonts w:ascii="Times New Roman" w:hAnsi="Times New Roman" w:eastAsia="Times New Roman"/>
                <w:b/>
                <w:caps w:val="0"/>
                <w:sz w:val="22"/>
              </w:rPr>
              <w:t>WMC</w:t>
            </w:r>
          </w:p>
        </w:tc>
        <w:tc>
          <w:tcPr>
            <w:tcW w:type="dxa" w:w="1768"/>
          </w:tcPr>
          <w:p>
            <w:pPr>
              <w:spacing w:line="240" w:lineRule="auto"/>
            </w:pPr>
            <w:r>
              <w:rPr>
                <w:rFonts w:ascii="Times New Roman" w:hAnsi="Times New Roman" w:eastAsia="Times New Roman"/>
                <w:b/>
                <w:caps w:val="0"/>
                <w:sz w:val="22"/>
              </w:rPr>
              <w:t>Metoda publike instance</w:t>
            </w:r>
          </w:p>
        </w:tc>
      </w:tr>
      <w:tr>
        <w:tc>
          <w:tcPr>
            <w:tcW w:type="dxa" w:w="1768"/>
          </w:tcPr>
          <w:p>
            <w:pPr>
              <w:spacing w:line="240" w:lineRule="auto"/>
            </w:pPr>
            <w:r>
              <w:rPr>
                <w:rFonts w:ascii="Times New Roman" w:hAnsi="Times New Roman" w:eastAsia="Times New Roman"/>
                <w:b w:val="0"/>
                <w:caps w:val="0"/>
                <w:sz w:val="22"/>
              </w:rPr>
              <w:t>FormatParser</w:t>
            </w:r>
          </w:p>
        </w:tc>
        <w:tc>
          <w:tcPr>
            <w:tcW w:type="dxa" w:w="1768"/>
          </w:tcPr>
          <w:p>
            <w:pPr>
              <w:spacing w:line="240" w:lineRule="auto"/>
            </w:pPr>
            <w:r>
              <w:rPr>
                <w:rFonts w:ascii="Times New Roman" w:hAnsi="Times New Roman" w:eastAsia="Times New Roman"/>
                <w:b w:val="0"/>
                <w:caps w:val="0"/>
                <w:sz w:val="22"/>
              </w:rPr>
              <w:t>968</w:t>
            </w:r>
          </w:p>
        </w:tc>
        <w:tc>
          <w:tcPr>
            <w:tcW w:type="dxa" w:w="1768"/>
          </w:tcPr>
          <w:p>
            <w:pPr>
              <w:spacing w:line="240" w:lineRule="auto"/>
            </w:pPr>
            <w:r>
              <w:rPr>
                <w:rFonts w:ascii="Times New Roman" w:hAnsi="Times New Roman" w:eastAsia="Times New Roman"/>
                <w:b w:val="0"/>
                <w:caps w:val="0"/>
                <w:sz w:val="22"/>
              </w:rPr>
              <w:t>22</w:t>
            </w:r>
          </w:p>
        </w:tc>
        <w:tc>
          <w:tcPr>
            <w:tcW w:type="dxa" w:w="1768"/>
          </w:tcPr>
          <w:p>
            <w:pPr>
              <w:spacing w:line="240" w:lineRule="auto"/>
            </w:pPr>
            <w:r>
              <w:rPr>
                <w:rFonts w:ascii="Times New Roman" w:hAnsi="Times New Roman" w:eastAsia="Times New Roman"/>
                <w:b w:val="0"/>
                <w:caps w:val="0"/>
                <w:sz w:val="22"/>
              </w:rPr>
              <w:t>529</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GenericsUtils</w:t>
            </w:r>
          </w:p>
        </w:tc>
        <w:tc>
          <w:tcPr>
            <w:tcW w:type="dxa" w:w="1768"/>
          </w:tcPr>
          <w:p>
            <w:pPr>
              <w:spacing w:line="240" w:lineRule="auto"/>
            </w:pPr>
            <w:r>
              <w:rPr>
                <w:rFonts w:ascii="Times New Roman" w:hAnsi="Times New Roman" w:eastAsia="Times New Roman"/>
                <w:b w:val="0"/>
                <w:caps w:val="0"/>
                <w:sz w:val="22"/>
              </w:rPr>
              <w:t>540</w:t>
            </w:r>
          </w:p>
        </w:tc>
        <w:tc>
          <w:tcPr>
            <w:tcW w:type="dxa" w:w="1768"/>
          </w:tcPr>
          <w:p>
            <w:pPr>
              <w:spacing w:line="240" w:lineRule="auto"/>
            </w:pPr>
            <w:r>
              <w:rPr>
                <w:rFonts w:ascii="Times New Roman" w:hAnsi="Times New Roman" w:eastAsia="Times New Roman"/>
                <w:b w:val="0"/>
                <w:caps w:val="0"/>
                <w:sz w:val="22"/>
              </w:rPr>
              <w:t>46</w:t>
            </w:r>
          </w:p>
        </w:tc>
        <w:tc>
          <w:tcPr>
            <w:tcW w:type="dxa" w:w="1768"/>
          </w:tcPr>
          <w:p>
            <w:pPr>
              <w:spacing w:line="240" w:lineRule="auto"/>
            </w:pPr>
            <w:r>
              <w:rPr>
                <w:rFonts w:ascii="Times New Roman" w:hAnsi="Times New Roman" w:eastAsia="Times New Roman"/>
                <w:b w:val="0"/>
                <w:caps w:val="0"/>
                <w:sz w:val="22"/>
              </w:rPr>
              <w:t>220</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PipelineOptionsFactory</w:t>
            </w:r>
          </w:p>
        </w:tc>
        <w:tc>
          <w:tcPr>
            <w:tcW w:type="dxa" w:w="1768"/>
          </w:tcPr>
          <w:p>
            <w:pPr>
              <w:spacing w:line="240" w:lineRule="auto"/>
            </w:pPr>
            <w:r>
              <w:rPr>
                <w:rFonts w:ascii="Times New Roman" w:hAnsi="Times New Roman" w:eastAsia="Times New Roman"/>
                <w:b w:val="0"/>
                <w:caps w:val="0"/>
                <w:sz w:val="22"/>
              </w:rPr>
              <w:t>1031</w:t>
            </w:r>
          </w:p>
        </w:tc>
        <w:tc>
          <w:tcPr>
            <w:tcW w:type="dxa" w:w="1768"/>
          </w:tcPr>
          <w:p>
            <w:pPr>
              <w:spacing w:line="240" w:lineRule="auto"/>
            </w:pPr>
            <w:r>
              <w:rPr>
                <w:rFonts w:ascii="Times New Roman" w:hAnsi="Times New Roman" w:eastAsia="Times New Roman"/>
                <w:b w:val="0"/>
                <w:caps w:val="0"/>
                <w:sz w:val="22"/>
              </w:rPr>
              <w:t>39</w:t>
            </w:r>
          </w:p>
        </w:tc>
        <w:tc>
          <w:tcPr>
            <w:tcW w:type="dxa" w:w="1768"/>
          </w:tcPr>
          <w:p>
            <w:pPr>
              <w:spacing w:line="240" w:lineRule="auto"/>
            </w:pPr>
            <w:r>
              <w:rPr>
                <w:rFonts w:ascii="Times New Roman" w:hAnsi="Times New Roman" w:eastAsia="Times New Roman"/>
                <w:b w:val="0"/>
                <w:caps w:val="0"/>
                <w:sz w:val="22"/>
              </w:rPr>
              <w:t>189</w:t>
            </w:r>
          </w:p>
        </w:tc>
        <w:tc>
          <w:tcPr>
            <w:tcW w:type="dxa" w:w="1768"/>
          </w:tcPr>
          <w:p>
            <w:pPr>
              <w:spacing w:line="240" w:lineRule="auto"/>
            </w:pPr>
            <w:r>
              <w:rPr>
                <w:rFonts w:ascii="Times New Roman" w:hAnsi="Times New Roman" w:eastAsia="Times New Roman"/>
                <w:b w:val="0"/>
                <w:caps w:val="0"/>
                <w:sz w:val="22"/>
              </w:rPr>
              <w:t>1</w:t>
            </w:r>
          </w:p>
        </w:tc>
      </w:tr>
      <w:tr>
        <w:tc>
          <w:tcPr>
            <w:tcW w:type="dxa" w:w="1768"/>
          </w:tcPr>
          <w:p>
            <w:pPr>
              <w:spacing w:line="240" w:lineRule="auto"/>
            </w:pPr>
            <w:r>
              <w:rPr>
                <w:rFonts w:ascii="Times New Roman" w:hAnsi="Times New Roman" w:eastAsia="Times New Roman"/>
                <w:b w:val="0"/>
                <w:caps w:val="0"/>
                <w:sz w:val="22"/>
              </w:rPr>
              <w:t>BaseScriptEvalUtil</w:t>
            </w:r>
          </w:p>
        </w:tc>
        <w:tc>
          <w:tcPr>
            <w:tcW w:type="dxa" w:w="1768"/>
          </w:tcPr>
          <w:p>
            <w:pPr>
              <w:spacing w:line="240" w:lineRule="auto"/>
            </w:pPr>
            <w:r>
              <w:rPr>
                <w:rFonts w:ascii="Times New Roman" w:hAnsi="Times New Roman" w:eastAsia="Times New Roman"/>
                <w:b w:val="0"/>
                <w:caps w:val="0"/>
                <w:sz w:val="22"/>
              </w:rPr>
              <w:t>593</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177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MetadataTableUtil</w:t>
            </w:r>
          </w:p>
        </w:tc>
        <w:tc>
          <w:tcPr>
            <w:tcW w:type="dxa" w:w="1768"/>
          </w:tcPr>
          <w:p>
            <w:pPr>
              <w:spacing w:line="240" w:lineRule="auto"/>
            </w:pPr>
            <w:r>
              <w:rPr>
                <w:rFonts w:ascii="Times New Roman" w:hAnsi="Times New Roman" w:eastAsia="Times New Roman"/>
                <w:b w:val="0"/>
                <w:caps w:val="0"/>
                <w:sz w:val="22"/>
              </w:rPr>
              <w:t>668</w:t>
            </w:r>
          </w:p>
        </w:tc>
        <w:tc>
          <w:tcPr>
            <w:tcW w:type="dxa" w:w="1768"/>
          </w:tcPr>
          <w:p>
            <w:pPr>
              <w:spacing w:line="240" w:lineRule="auto"/>
            </w:pPr>
            <w:r>
              <w:rPr>
                <w:rFonts w:ascii="Times New Roman" w:hAnsi="Times New Roman" w:eastAsia="Times New Roman"/>
                <w:b w:val="0"/>
                <w:caps w:val="0"/>
                <w:sz w:val="22"/>
              </w:rPr>
              <w:t>52</w:t>
            </w:r>
          </w:p>
        </w:tc>
        <w:tc>
          <w:tcPr>
            <w:tcW w:type="dxa" w:w="1768"/>
          </w:tcPr>
          <w:p>
            <w:pPr>
              <w:spacing w:line="240" w:lineRule="auto"/>
            </w:pPr>
            <w:r>
              <w:rPr>
                <w:rFonts w:ascii="Times New Roman" w:hAnsi="Times New Roman" w:eastAsia="Times New Roman"/>
                <w:b w:val="0"/>
                <w:caps w:val="0"/>
                <w:sz w:val="22"/>
              </w:rPr>
              <w:t>167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PhTypeUtil</w:t>
            </w:r>
          </w:p>
        </w:tc>
        <w:tc>
          <w:tcPr>
            <w:tcW w:type="dxa" w:w="1768"/>
          </w:tcPr>
          <w:p>
            <w:pPr>
              <w:spacing w:line="240" w:lineRule="auto"/>
            </w:pPr>
            <w:r>
              <w:rPr>
                <w:rFonts w:ascii="Times New Roman" w:hAnsi="Times New Roman" w:eastAsia="Times New Roman"/>
                <w:b w:val="0"/>
                <w:caps w:val="0"/>
                <w:sz w:val="22"/>
              </w:rPr>
              <w:t>452</w:t>
            </w:r>
          </w:p>
        </w:tc>
        <w:tc>
          <w:tcPr>
            <w:tcW w:type="dxa" w:w="1768"/>
          </w:tcPr>
          <w:p>
            <w:pPr>
              <w:spacing w:line="240" w:lineRule="auto"/>
            </w:pPr>
            <w:r>
              <w:rPr>
                <w:rFonts w:ascii="Times New Roman" w:hAnsi="Times New Roman" w:eastAsia="Times New Roman"/>
                <w:b w:val="0"/>
                <w:caps w:val="0"/>
                <w:sz w:val="22"/>
              </w:rPr>
              <w:t>35</w:t>
            </w:r>
          </w:p>
        </w:tc>
        <w:tc>
          <w:tcPr>
            <w:tcW w:type="dxa" w:w="1768"/>
          </w:tcPr>
          <w:p>
            <w:pPr>
              <w:spacing w:line="240" w:lineRule="auto"/>
            </w:pPr>
            <w:r>
              <w:rPr>
                <w:rFonts w:ascii="Times New Roman" w:hAnsi="Times New Roman" w:eastAsia="Times New Roman"/>
                <w:b w:val="0"/>
                <w:caps w:val="0"/>
                <w:sz w:val="22"/>
              </w:rPr>
              <w:t>142</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Strings</w:t>
            </w:r>
          </w:p>
        </w:tc>
        <w:tc>
          <w:tcPr>
            <w:tcW w:type="dxa" w:w="1768"/>
          </w:tcPr>
          <w:p>
            <w:pPr>
              <w:spacing w:line="240" w:lineRule="auto"/>
            </w:pPr>
            <w:r>
              <w:rPr>
                <w:rFonts w:ascii="Times New Roman" w:hAnsi="Times New Roman" w:eastAsia="Times New Roman"/>
                <w:b w:val="0"/>
                <w:caps w:val="0"/>
                <w:sz w:val="22"/>
              </w:rPr>
              <w:t>241</w:t>
            </w:r>
          </w:p>
        </w:tc>
        <w:tc>
          <w:tcPr>
            <w:tcW w:type="dxa" w:w="1768"/>
          </w:tcPr>
          <w:p>
            <w:pPr>
              <w:spacing w:line="240" w:lineRule="auto"/>
            </w:pPr>
            <w:r>
              <w:rPr>
                <w:rFonts w:ascii="Times New Roman" w:hAnsi="Times New Roman" w:eastAsia="Times New Roman"/>
                <w:b w:val="0"/>
                <w:caps w:val="0"/>
                <w:sz w:val="22"/>
              </w:rPr>
              <w:t>33</w:t>
            </w:r>
          </w:p>
        </w:tc>
        <w:tc>
          <w:tcPr>
            <w:tcW w:type="dxa" w:w="1768"/>
          </w:tcPr>
          <w:p>
            <w:pPr>
              <w:spacing w:line="240" w:lineRule="auto"/>
            </w:pPr>
            <w:r>
              <w:rPr>
                <w:rFonts w:ascii="Times New Roman" w:hAnsi="Times New Roman" w:eastAsia="Times New Roman"/>
                <w:b w:val="0"/>
                <w:caps w:val="0"/>
                <w:sz w:val="22"/>
              </w:rPr>
              <w:t>98</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TezClientUtils</w:t>
            </w:r>
          </w:p>
        </w:tc>
        <w:tc>
          <w:tcPr>
            <w:tcW w:type="dxa" w:w="1768"/>
          </w:tcPr>
          <w:p>
            <w:pPr>
              <w:spacing w:line="240" w:lineRule="auto"/>
            </w:pPr>
            <w:r>
              <w:rPr>
                <w:rFonts w:ascii="Times New Roman" w:hAnsi="Times New Roman" w:eastAsia="Times New Roman"/>
                <w:b w:val="0"/>
                <w:caps w:val="0"/>
                <w:sz w:val="22"/>
              </w:rPr>
              <w:t>470</w:t>
            </w:r>
          </w:p>
        </w:tc>
        <w:tc>
          <w:tcPr>
            <w:tcW w:type="dxa" w:w="1768"/>
          </w:tcPr>
          <w:p>
            <w:pPr>
              <w:spacing w:line="240" w:lineRule="auto"/>
            </w:pPr>
            <w:r>
              <w:rPr>
                <w:rFonts w:ascii="Times New Roman" w:hAnsi="Times New Roman" w:eastAsia="Times New Roman"/>
                <w:b w:val="0"/>
                <w:caps w:val="0"/>
                <w:sz w:val="22"/>
              </w:rPr>
              <w:t>16</w:t>
            </w:r>
          </w:p>
        </w:tc>
        <w:tc>
          <w:tcPr>
            <w:tcW w:type="dxa" w:w="1768"/>
          </w:tcPr>
          <w:p>
            <w:pPr>
              <w:spacing w:line="240" w:lineRule="auto"/>
            </w:pPr>
            <w:r>
              <w:rPr>
                <w:rFonts w:ascii="Times New Roman" w:hAnsi="Times New Roman" w:eastAsia="Times New Roman"/>
                <w:b w:val="0"/>
                <w:caps w:val="0"/>
                <w:sz w:val="22"/>
              </w:rPr>
              <w:t>93</w:t>
            </w:r>
          </w:p>
        </w:tc>
        <w:tc>
          <w:tcPr>
            <w:tcW w:type="dxa" w:w="1768"/>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klasa që e kalojnë klauzolën e kompleksitetit dhe ndalen vetëm te kohezioni. Prej tyre 19 u riparsuan nga korpusi dhe 17 dolën me më pak se dy metoda publike të instancës, pra me TCC të papërcaktuar e jo me kohezion të matur. Emrat e tregojnë vetë llojin: klasa ndihmëse krejt statike, ku kolona e fundit është zero. Këto janë pikërisht klasat që një rishikues i quan blob pa hezitim, dhe janë të paarritshme nga një strategji e ndërtuar mbi kohezionin mes metodave të instancës.</w:t>
      </w:r>
    </w:p>
    <w:p>
      <w:pPr>
        <w:spacing w:line="360" w:lineRule="auto"/>
        <w:ind w:firstLine="360"/>
        <w:jc w:val="both"/>
      </w:pPr>
      <w:r>
        <w:rPr>
          <w:rFonts w:ascii="Times New Roman" w:hAnsi="Times New Roman" w:eastAsia="Times New Roman"/>
          <w:b w:val="0"/>
          <w:caps w:val="0"/>
          <w:sz w:val="24"/>
        </w:rPr>
        <w:t>Numri mbetet i vogël përballë tërësisë, 19 nga 315, ndaj nuk e shpjegon recall-in e ulët dhe nuk u trajtua si defekt për t'u riparuar. Ndryshimi i TCC-së do të shkëpuste përkufizimin nga burimi i tij dhe do të detyronte rigjenerimin e çdo numri të raportuar, për një fitim që nuk e kalon 0.054 te recall-i. Kufizimi raportohet i tillë siç është te Nënkapitulli 6.4.</w:t>
      </w:r>
    </w:p>
    <w:p>
      <w:pPr>
        <w:spacing w:line="360" w:lineRule="auto"/>
        <w:ind w:firstLine="360"/>
        <w:jc w:val="both"/>
      </w:pPr>
      <w:r>
        <w:rPr>
          <w:rFonts w:ascii="Times New Roman" w:hAnsi="Times New Roman" w:eastAsia="Times New Roman"/>
          <w:b w:val="0"/>
          <w:caps w:val="0"/>
          <w:sz w:val="24"/>
        </w:rPr>
        <w:t>Përfundimi i këtij nënkapitulli është për të vërtetën bazë dhe jo për detektorin, dhe pikërisht prandaj duhet lexuar me kujdes. Ai nuk thotë se rishikuesit gabuan: një zhvillues që e njeh kodin mund ta quajë me plot të drejtë problematike një klasë të vogël, për arsye që asnjë metrikë strukturore nuk i mat. Thotë diçka më të ngushtë e më të dobishme, që recall-i i matur kundrejt MLCQ-së nuk është i njëjti krahasim që një lexues supozon: ai mat sa shpesh një strategji e madhësisë dhe e kohezionit përputhet me një gjykim njerëzor që, në shumicën e rasteve të etiketuara, nuk është marrë mbi bazën e madhësisë.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