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[PLOTËSO]: Ky paragraf përshkruan çka u ndërtua dhe si u vlerësua. Shkruhet pasi të përfundojnë eksperimentet, sepse duhet të përmbajë rezultate konkrete.</w:t>
      </w:r>
    </w:p>
    <w:p>
      <w:pPr>
        <w:spacing w:line="360" w:lineRule="auto"/>
        <w:ind w:firstLine="360"/>
        <w:jc w:val="both"/>
      </w:pPr>
      <w:r>
        <w:rPr>
          <w:rFonts w:ascii="Times New Roman" w:hAnsi="Times New Roman" w:eastAsia="Times New Roman"/>
          <w:b w:val="0"/>
          <w:caps w:val="0"/>
          <w:sz w:val="24"/>
        </w:rPr>
        <w:t>[PLOTËSO]: Ky paragraf përmbledh gjetjet kryesore dhe përfundimin.</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dhe regjistron vetëm fakte sintaksore. Mbi këtë model maten shtatëmbëdhjetë metrika klase dhe nëntë metrika metode, me një kalim të vetëm për klasë.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kappa-n e Cohen-it.</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[PLOTËSO: ekzekutimi mbi korpusin e plotë është ende në vazhdim; kjo tabelë gjenerohet automatikisht sapo të përfundojë.]</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