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spacing w:line="360" w:lineRule="auto"/>
        <w:ind w:firstLine="360"/>
        <w:jc w:val="both"/>
      </w:pPr>
      <w:r>
        <w:rPr>
          <w:rFonts w:ascii="Times New Roman" w:hAnsi="Times New Roman" w:eastAsia="Times New Roman"/>
          <w:b w:val="0"/>
          <w:caps w:val="0"/>
          <w:sz w:val="24"/>
        </w:rPr>
        <w:t>Figura 9.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Norma e transformimit sipas erës dhe ashpërsisë</w:t>
      </w:r>
    </w:p>
    <w:p>
      <w:pPr>
        <w:spacing w:line="360" w:lineRule="auto"/>
        <w:ind w:firstLine="360"/>
        <w:jc w:val="both"/>
      </w:pPr>
      <w:r>
        <w:rPr>
          <w:rFonts w:ascii="Times New Roman" w:hAnsi="Times New Roman" w:eastAsia="Times New Roman"/>
          <w:b w:val="0"/>
          <w:caps w:val="0"/>
          <w:sz w:val="24"/>
        </w:rPr>
        <w:t>Tabela 16. Përbërja e arsyeve të refuzimit brenda çdo niveli</w:t>
      </w:r>
    </w:p>
    <w:p>
      <w:pPr>
        <w:spacing w:line="360" w:lineRule="auto"/>
        <w:ind w:firstLine="360"/>
        <w:jc w:val="both"/>
      </w:pPr>
      <w:r>
        <w:rPr>
          <w:rFonts w:ascii="Times New Roman" w:hAnsi="Times New Roman" w:eastAsia="Times New Roman"/>
          <w:b w:val="0"/>
          <w:caps w:val="0"/>
          <w:sz w:val="24"/>
        </w:rPr>
        <w:t>Tabela 17. Sa lëviz MCC-ja kur zhvendoset një prag</w:t>
      </w:r>
    </w:p>
    <w:p>
      <w:pPr>
        <w:spacing w:line="360" w:lineRule="auto"/>
        <w:ind w:firstLine="360"/>
        <w:jc w:val="both"/>
      </w:pPr>
      <w:r>
        <w:rPr>
          <w:rFonts w:ascii="Times New Roman" w:hAnsi="Times New Roman" w:eastAsia="Times New Roman"/>
          <w:b w:val="0"/>
          <w:caps w:val="0"/>
          <w:sz w:val="24"/>
        </w:rPr>
        <w:t>Tabela 18.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19.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20. Intervale besimi 95% për MCC-në</w:t>
      </w:r>
    </w:p>
    <w:p>
      <w:pPr>
        <w:spacing w:line="360" w:lineRule="auto"/>
        <w:ind w:firstLine="360"/>
        <w:jc w:val="both"/>
      </w:pPr>
      <w:r>
        <w:rPr>
          <w:rFonts w:ascii="Times New Roman" w:hAnsi="Times New Roman" w:eastAsia="Times New Roman"/>
          <w:b w:val="0"/>
          <w:caps w:val="0"/>
          <w:sz w:val="24"/>
        </w:rPr>
        <w:t>Tabela 21. B − A kur rregullat marrin pragun e tyre më të mirë</w:t>
      </w:r>
    </w:p>
    <w:p>
      <w:pPr>
        <w:spacing w:line="360" w:lineRule="auto"/>
        <w:ind w:firstLine="360"/>
        <w:jc w:val="both"/>
      </w:pPr>
      <w:r>
        <w:rPr>
          <w:rFonts w:ascii="Times New Roman" w:hAnsi="Times New Roman" w:eastAsia="Times New Roman"/>
          <w:b w:val="0"/>
          <w:caps w:val="0"/>
          <w:sz w:val="24"/>
        </w:rPr>
        <w:t>Tabela 22. Sa pajtohen rishikuesit me njëri-tjetrin</w:t>
      </w:r>
    </w:p>
    <w:p>
      <w:pPr>
        <w:spacing w:line="360" w:lineRule="auto"/>
        <w:ind w:firstLine="360"/>
        <w:jc w:val="both"/>
      </w:pPr>
      <w:r>
        <w:rPr>
          <w:rFonts w:ascii="Times New Roman" w:hAnsi="Times New Roman" w:eastAsia="Times New Roman"/>
          <w:b w:val="0"/>
          <w:caps w:val="0"/>
          <w:sz w:val="24"/>
        </w:rPr>
        <w:t>Tabela 23. Krahasimi i MCC-së me Madeyski &amp; Lewowski (2023), mbi MLCQ</w:t>
      </w:r>
    </w:p>
    <w:p>
      <w:pPr>
        <w:spacing w:line="360" w:lineRule="auto"/>
        <w:ind w:firstLine="360"/>
        <w:jc w:val="both"/>
      </w:pPr>
      <w:r>
        <w:rPr>
          <w:rFonts w:ascii="Times New Roman" w:hAnsi="Times New Roman" w:eastAsia="Times New Roman"/>
          <w:b w:val="0"/>
          <w:caps w:val="0"/>
          <w:sz w:val="24"/>
        </w:rPr>
        <w:t>Tabela 24. Strategjitë e detektimit dhe burimet e tyre</w:t>
      </w:r>
    </w:p>
    <w:p>
      <w:pPr>
        <w:spacing w:line="360" w:lineRule="auto"/>
        <w:ind w:firstLine="360"/>
        <w:jc w:val="both"/>
      </w:pPr>
      <w:r>
        <w:rPr>
          <w:rFonts w:ascii="Times New Roman" w:hAnsi="Times New Roman" w:eastAsia="Times New Roman"/>
          <w:b w:val="0"/>
          <w:caps w:val="0"/>
          <w:sz w:val="24"/>
        </w:rPr>
        <w:t>Tabela 25. Kuantifikuesit e përgjithshëm</w:t>
      </w:r>
    </w:p>
    <w:p>
      <w:pPr>
        <w:spacing w:line="360" w:lineRule="auto"/>
        <w:ind w:firstLine="360"/>
        <w:jc w:val="both"/>
      </w:pPr>
      <w:r>
        <w:rPr>
          <w:rFonts w:ascii="Times New Roman" w:hAnsi="Times New Roman" w:eastAsia="Times New Roman"/>
          <w:b w:val="0"/>
          <w:caps w:val="0"/>
          <w:sz w:val="24"/>
        </w:rPr>
        <w:t>Tabela 26. Pragjet e përdorura</w:t>
      </w:r>
    </w:p>
    <w:p>
      <w:pPr>
        <w:spacing w:line="360" w:lineRule="auto"/>
        <w:ind w:firstLine="360"/>
        <w:jc w:val="both"/>
      </w:pPr>
      <w:r>
        <w:rPr>
          <w:rFonts w:ascii="Times New Roman" w:hAnsi="Times New Roman" w:eastAsia="Times New Roman"/>
          <w:b w:val="0"/>
          <w:caps w:val="0"/>
          <w:sz w:val="24"/>
        </w:rPr>
        <w:t>Tabela 27. Metrikat sipas nivelit</w:t>
      </w:r>
    </w:p>
    <w:p>
      <w:pPr>
        <w:spacing w:line="360" w:lineRule="auto"/>
        <w:ind w:firstLine="360"/>
        <w:jc w:val="both"/>
      </w:pPr>
      <w:r>
        <w:rPr>
          <w:rFonts w:ascii="Times New Roman" w:hAnsi="Times New Roman" w:eastAsia="Times New Roman"/>
          <w:b w:val="0"/>
          <w:caps w:val="0"/>
          <w:sz w:val="24"/>
        </w:rPr>
        <w:t>Tabela 28. Çka propozohet dhe çka aplikohet</w:t>
      </w:r>
    </w:p>
    <w:p>
      <w:pPr>
        <w:spacing w:line="360" w:lineRule="auto"/>
        <w:ind w:firstLine="360"/>
        <w:jc w:val="both"/>
      </w:pPr>
      <w:r>
        <w:rPr>
          <w:rFonts w:ascii="Times New Roman" w:hAnsi="Times New Roman" w:eastAsia="Times New Roman"/>
          <w:b w:val="0"/>
          <w:caps w:val="0"/>
          <w:sz w:val="24"/>
        </w:rPr>
        <w:t>Tabela 29. Arsyet e refuzimit</w:t>
      </w:r>
    </w:p>
    <w:p>
      <w:pPr>
        <w:spacing w:line="360" w:lineRule="auto"/>
        <w:ind w:firstLine="360"/>
        <w:jc w:val="both"/>
      </w:pPr>
      <w:r>
        <w:rPr>
          <w:rFonts w:ascii="Times New Roman" w:hAnsi="Times New Roman" w:eastAsia="Times New Roman"/>
          <w:b w:val="0"/>
          <w:caps w:val="0"/>
          <w:sz w:val="24"/>
        </w:rPr>
        <w:t>Tabela 30. Radha e ekzekutimit</w:t>
      </w:r>
    </w:p>
    <w:p>
      <w:pPr>
        <w:spacing w:line="360" w:lineRule="auto"/>
        <w:ind w:firstLine="360"/>
        <w:jc w:val="both"/>
      </w:pPr>
      <w:r>
        <w:rPr>
          <w:rFonts w:ascii="Times New Roman" w:hAnsi="Times New Roman" w:eastAsia="Times New Roman"/>
          <w:b w:val="0"/>
          <w:caps w:val="0"/>
          <w:sz w:val="24"/>
        </w:rPr>
        <w:t>Tabela 31. Commit-i që prodhoi çdo skedar rezultati</w:t>
      </w:r>
    </w:p>
    <w:p>
      <w:pPr>
        <w:spacing w:line="360" w:lineRule="auto"/>
        <w:ind w:firstLine="360"/>
        <w:jc w:val="both"/>
      </w:pPr>
      <w:r>
        <w:rPr>
          <w:rFonts w:ascii="Times New Roman" w:hAnsi="Times New Roman" w:eastAsia="Times New Roman"/>
          <w:b w:val="0"/>
          <w:caps w:val="0"/>
          <w:sz w:val="24"/>
        </w:rPr>
        <w:t>Tabela 32. Sa klauzola dështuan te secila mospërputhje</w:t>
      </w:r>
    </w:p>
    <w:p>
      <w:pPr>
        <w:spacing w:line="360" w:lineRule="auto"/>
        <w:ind w:firstLine="360"/>
        <w:jc w:val="both"/>
      </w:pPr>
      <w:r>
        <w:rPr>
          <w:rFonts w:ascii="Times New Roman" w:hAnsi="Times New Roman" w:eastAsia="Times New Roman"/>
          <w:b w:val="0"/>
          <w:caps w:val="0"/>
          <w:sz w:val="24"/>
        </w:rPr>
        <w:t>Tabela 33. Kur një klauzolë e vetme e ndal strategjinë</w:t>
      </w:r>
    </w:p>
    <w:p>
      <w:pPr>
        <w:spacing w:line="360" w:lineRule="auto"/>
        <w:ind w:firstLine="360"/>
        <w:jc w:val="both"/>
      </w:pPr>
      <w:r>
        <w:rPr>
          <w:rFonts w:ascii="Times New Roman" w:hAnsi="Times New Roman" w:eastAsia="Times New Roman"/>
          <w:b w:val="0"/>
          <w:caps w:val="0"/>
          <w:sz w:val="24"/>
        </w:rPr>
        <w:t>Tabela 34. Pajtimi i ashpërsisë me rishikuesit</w:t>
      </w:r>
    </w:p>
    <w:p>
      <w:pPr>
        <w:spacing w:line="360" w:lineRule="auto"/>
        <w:ind w:firstLine="360"/>
        <w:jc w:val="both"/>
      </w:pPr>
      <w:r>
        <w:rPr>
          <w:rFonts w:ascii="Times New Roman" w:hAnsi="Times New Roman" w:eastAsia="Times New Roman"/>
          <w:b w:val="0"/>
          <w:caps w:val="0"/>
          <w:sz w:val="24"/>
        </w:rPr>
        <w:t>Tabela 35.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36.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37.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i tij kryesor është një zinxhir i vetëm që i lidh tri hapa që literatura zakonisht i trajton veç e veç: detektimin e erës, rishkrimin e kodit dhe verifikimin e rishkrimit. Konkretisht, punimi sjell tri gjëra. E para, një krahasim të drejtpërdrejtë të dy qasjeve të detektimit, strategjive me metrika dhe një klasifikuesi të trajnuar mbi të njëjtat metrika, mbi të njëjtin dataset publik të etiketuar nga zhvillues profesionistë, me të njëjtën ndarje të të dhënave dhe me të njëjtën mënyrë pikëzimi. E dyta, një motor refaktorimi që nuk ndalet te njoftimi: e rishkruan kodin kur transformimi është i sigurt, dhe kur nuk është, e refuzon dhe e shënon arsyen. E treta, matjen e asaj që ndodh pas rishkrimit, pra nëse kodi kompilon ende dhe nëse era u hoq vërtet. I gjithë eksperimenti riprodhohet me komanda të dokumentuara.</w:t>
      </w:r>
    </w:p>
    <w:p>
      <w:pPr>
        <w:spacing w:line="360" w:lineRule="auto"/>
        <w:ind w:firstLine="360"/>
        <w:jc w:val="both"/>
      </w:pPr>
      <w:r>
        <w:rPr>
          <w:rFonts w:ascii="Times New Roman" w:hAnsi="Times New Roman" w:eastAsia="Times New Roman"/>
          <w:b w:val="0"/>
          <w:caps w:val="0"/>
          <w:sz w:val="24"/>
        </w:rPr>
        <w:t>Një transformim quhet këtu i sigurt kur plotëson dy kushte. Para aplikimit duhet të provohen parakushtet e tij, në kuptimin e Opdyke (1992): për shembull, Extract Method refuzohet kur nga blloku që do të nxirret del një return, break ose continue, sepse metoda e re do ta ndryshonte rrjedhën e programit. Ky kontroll bëhet mbi pemën sintaksore të kodit, jo mbi tekstin e tij. Pas aplikimit, rishkrimi kontrollohet në tri mënyra: skedari duhet të parsohet sërish, kompilatori javac nuk duhet të japë asnjë lloj të ri gabimi krahasuar me versionin para rishkrimit, dhe klasa matet sërish me të njëjtët detektorë për të parë nëse era u hoq. Siguria në këtë punim do të thotë pra se kodi mbetet i vlefshëm dhe se era hiqet. Që programi sillet njësoj edhe kur ekzekutohet është garanci më e fortë, të cilën ky punim nuk e jep (Nënkapitulli 3.4).</w:t>
      </w:r>
    </w:p>
    <w:p>
      <w:pPr>
        <w:spacing w:line="360" w:lineRule="auto"/>
        <w:ind w:firstLine="360"/>
        <w:jc w:val="both"/>
      </w:pPr>
      <w:r>
        <w:rPr>
          <w:rFonts w:ascii="Times New Roman" w:hAnsi="Times New Roman" w:eastAsia="Times New Roman"/>
          <w:b w:val="0"/>
          <w:caps w:val="0"/>
          <w:sz w:val="24"/>
        </w:rPr>
        <w:t>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ndaj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treve, dhe pikërisht kjo e dallon nga studimet e përmendura. Ndryshe nga Lanza &amp; Marinescu (2006), pragjet e strategjive nuk merren si të sakta, por maten kundrejt gjykimit të zhvilluesve profesionistë të MLCQ-së. Ndryshe nga Arcelli Fontana et al. (2016), rregullat dhe modelet vlerësohen mbi të njëjtat mostra, me të njëjtin kod pikëzimi, dhe ndarja e të dhënave bëhet sipas depos, ndaj shifra nuk fryhet nga mostra të të njëjtit projekt në trajnim dhe në testim. Ndryshe nga Madeyski &amp; Lewowski (2023), që përdorën metrikat e mjeteve të përgjithshme të analizës statike, modeli trajnohet mbi metrikat që lexojnë vetë strategjitë, dhe një ablacion me vetëm ato metrika tregon sa nga dallimi vjen nga kufiri i mësuar. Ndryshe nga Tsantalis &amp; Chatzigeorgiou (2009), që propozojnë një transformim dhe vendimin ia lënë projektuesit, këtu transformimi aplikohet, verifikohet me kompilator dhe matet nëse e hoqi erën, sepse Bavota et al. (2015)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që i shkaktoi,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Fowler-it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25 shtator 2026, kaluan 717 teste të backend-it, me mbulim 96% të kodit, dhe 165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Etiketa është mesatarja e rrumbullakosur e Nënkapitullit 4.3,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pStyle w:val="Heading2"/>
      </w:pPr>
      <w:r>
        <w:rPr>
          <w:rFonts w:ascii="Times New Roman" w:hAnsi="Times New Roman" w:eastAsia="Times New Roman"/>
          <w:b/>
          <w:caps w:val="0"/>
          <w:sz w:val="24"/>
        </w:rPr>
        <w:t>5.3 Krahasimi i dy qasjeve</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Pajtimi mes tyre matet me koeficientin kappa dhe me numrin e mostrave që shënon secila qasje, vetëm ose bashkë me tjetrën (Figura 5;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3459</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3</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tri rishkrime javac-u nuk dha verdikt, ndaj për ato dihet vetëm se rishkrimi është Java e vlefshme.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197</w:t>
            </w:r>
          </w:p>
        </w:tc>
        <w:tc>
          <w:tcPr>
            <w:tcW w:type="dxa" w:w="2946"/>
          </w:tcPr>
          <w:p>
            <w:pPr>
              <w:spacing w:line="240" w:lineRule="auto"/>
              <w:jc w:val="left"/>
            </w:pPr>
            <w:r>
              <w:rPr>
                <w:rFonts w:ascii="Times New Roman" w:hAnsi="Times New Roman" w:eastAsia="Times New Roman"/>
                <w:b w:val="0"/>
                <w:caps w:val="0"/>
                <w:sz w:val="22"/>
              </w:rPr>
              <w:t>114</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w:t>
      </w:r>
    </w:p>
    <w:p>
      <w:pPr>
        <w:spacing w:line="360" w:lineRule="auto"/>
        <w:ind w:firstLine="360"/>
        <w:jc w:val="both"/>
      </w:pPr>
      <w:r>
        <w:rPr>
          <w:rFonts w:ascii="Times New Roman" w:hAnsi="Times New Roman" w:eastAsia="Times New Roman"/>
          <w:b w:val="0"/>
          <w:caps w:val="0"/>
          <w:sz w:val="24"/>
        </w:rPr>
        <w:t>Dy nga 201 rishkrimet nuk shtonin lloj të ri gabimi kur kompiloheshin të izoluara, por shtojnë kur kompilohen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Pa verdikt mbetën 19 kompilime,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15):</w:t>
      </w:r>
    </w:p>
    <w:p>
      <w:pPr>
        <w:keepNext/>
        <w:spacing w:line="240" w:lineRule="auto"/>
        <w:jc w:val="center"/>
      </w:pPr>
      <w:r>
        <w:rPr>
          <w:rFonts w:ascii="Times New Roman" w:hAnsi="Times New Roman" w:eastAsia="Times New Roman"/>
          <w:b w:val="0"/>
          <w:caps w:val="0"/>
          <w:sz w:val="22"/>
        </w:rPr>
        <w:t>Tabela 15.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16):</w:t>
      </w:r>
    </w:p>
    <w:p>
      <w:pPr>
        <w:keepNext/>
        <w:spacing w:line="240" w:lineRule="auto"/>
        <w:jc w:val="center"/>
      </w:pPr>
      <w:r>
        <w:rPr>
          <w:rFonts w:ascii="Times New Roman" w:hAnsi="Times New Roman" w:eastAsia="Times New Roman"/>
          <w:b w:val="0"/>
          <w:caps w:val="0"/>
          <w:sz w:val="22"/>
        </w:rPr>
        <w:t>Tabela 16.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75% në 19%, ndërsa ajo për rrjedhën e kontrollit (control flow escapes)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Secili prag i strategjive u zhvendos veç me faktorët e Nënkapitullit 4.9, ndërsa të tjerët mbetën te vlerat e botuara. Rreshtat renditen sipas amplitudës, pra dallimit mes MCC-së më të lartë dhe më të ulët që jep pragu (Tabela 17; Figura 7):</w:t>
      </w:r>
    </w:p>
    <w:p>
      <w:pPr>
        <w:keepNext/>
        <w:spacing w:line="240" w:lineRule="auto"/>
        <w:jc w:val="center"/>
      </w:pPr>
      <w:r>
        <w:rPr>
          <w:rFonts w:ascii="Times New Roman" w:hAnsi="Times New Roman" w:eastAsia="Times New Roman"/>
          <w:b w:val="0"/>
          <w:caps w:val="0"/>
          <w:sz w:val="22"/>
        </w:rPr>
        <w:t>Tabela 17.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dhe Feature Envy; te Blob dhe Data Class asnjë prag nuk e lëviz MCC-në më shumë se 0.101.</w:t>
      </w:r>
    </w:p>
    <w:p>
      <w:pPr>
        <w:spacing w:line="360" w:lineRule="auto"/>
        <w:ind w:firstLine="360"/>
        <w:jc w:val="both"/>
      </w:pPr>
      <w:r>
        <w:rPr>
          <w:rFonts w:ascii="Times New Roman" w:hAnsi="Times New Roman" w:eastAsia="Times New Roman"/>
          <w:b w:val="0"/>
          <w:caps w:val="0"/>
          <w:sz w:val="24"/>
        </w:rPr>
        <w:t>Vlera me MCC-në më të lartë është long_method_loc = 15 në vend të 30 te Long Method (MCC 0.690; recall 0.440 → 0.838, precizion 0.872 → 0.653) dhe feature_envy_fdp = 10 në vend të 5 te Feature Envy (MCC 0.411; recall 0.181 → 0.306, precizion 0.520 → 0.647).</w:t>
      </w:r>
    </w:p>
    <w:p>
      <w:pPr>
        <w:spacing w:line="360" w:lineRule="auto"/>
        <w:ind w:firstLine="360"/>
        <w:jc w:val="both"/>
      </w:pPr>
      <w:r>
        <w:rPr>
          <w:rFonts w:ascii="Times New Roman" w:hAnsi="Times New Roman" w:eastAsia="Times New Roman"/>
          <w:b w:val="0"/>
          <w:caps w:val="0"/>
          <w:sz w:val="24"/>
        </w:rPr>
        <w:t>Me kalibrimin jashtë fold-it (pesë folde sipas depos, Nënkapitulli 4.9), rregullat arrijnë këto vlera; kolona e fundit jep pragun që zgjodhi secili fold dhe sa herë u zgjodh (Tabela 18):</w:t>
      </w:r>
    </w:p>
    <w:p>
      <w:pPr>
        <w:keepNext/>
        <w:spacing w:line="240" w:lineRule="auto"/>
        <w:jc w:val="center"/>
      </w:pPr>
      <w:r>
        <w:rPr>
          <w:rFonts w:ascii="Times New Roman" w:hAnsi="Times New Roman" w:eastAsia="Times New Roman"/>
          <w:b w:val="0"/>
          <w:caps w:val="0"/>
          <w:sz w:val="22"/>
        </w:rPr>
        <w:t>Tabela 18.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Feature Envy; te Blob dhe Long Method ranë dakord për pragun, por jo për vlerën; te Data Class katër folde lëvizën data_class_woc dhe një fold lëvizi data_class_wmc_low.</w:t>
      </w:r>
    </w:p>
    <w:p>
      <w:pPr>
        <w:spacing w:line="360" w:lineRule="auto"/>
        <w:ind w:firstLine="360"/>
        <w:jc w:val="both"/>
      </w:pPr>
      <w:r>
        <w:rPr>
          <w:rFonts w:ascii="Times New Roman" w:hAnsi="Times New Roman" w:eastAsia="Times New Roman"/>
          <w:b w:val="0"/>
          <w:caps w:val="0"/>
          <w:sz w:val="24"/>
        </w:rPr>
        <w:t>Recall-i u rrit te të katër erërat, precizioni vetëm te Feature Envy, dhe MCC-ja te tri nga katër erërat.</w:t>
      </w:r>
    </w:p>
    <w:p>
      <w:pPr>
        <w:spacing w:line="360" w:lineRule="auto"/>
        <w:ind w:firstLine="360"/>
        <w:jc w:val="both"/>
      </w:pPr>
      <w:r>
        <w:rPr>
          <w:rFonts w:ascii="Times New Roman" w:hAnsi="Times New Roman" w:eastAsia="Times New Roman"/>
          <w:b w:val="0"/>
          <w:caps w:val="0"/>
          <w:sz w:val="24"/>
        </w:rPr>
        <w:t>Për Long Method, vlera më e mirë e fshirjes mbi tërë korpusin është 0.690, ndërsa kalibrimi jashtë fold-it jep 0.666.</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19).</w:t>
      </w:r>
    </w:p>
    <w:p>
      <w:pPr>
        <w:keepNext/>
        <w:spacing w:line="240" w:lineRule="auto"/>
        <w:jc w:val="center"/>
      </w:pPr>
      <w:r>
        <w:rPr>
          <w:rFonts w:ascii="Times New Roman" w:hAnsi="Times New Roman" w:eastAsia="Times New Roman"/>
          <w:b w:val="0"/>
          <w:caps w:val="0"/>
          <w:sz w:val="22"/>
        </w:rPr>
        <w:t>Tabela 19.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Për Feature Envy PMD nuk ka rregull, ndaj rreshti i saj ka vetëm MCC-në e LawOfDemeter-it, rregullit më të afërt, dhe nuk ka kolonë krahasimi.</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Mostrat e atyre depove janë hequr nga të dyja kolonat e tabelës, ndaj emëruesi i saj është më i vogël se ai i Qasjes A, e cila vlerësoi 4534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Me bootstrap sipas depos (2000 rimostrime, Nënkapitulli 4.9), MCC-ja e secilës qasje dhe dallimi mes tyre kanë këto intervale besimi 95% (Tabela 20; Figura 8):</w:t>
      </w:r>
    </w:p>
    <w:p>
      <w:pPr>
        <w:keepNext/>
        <w:spacing w:line="240" w:lineRule="auto"/>
        <w:jc w:val="center"/>
      </w:pPr>
      <w:r>
        <w:rPr>
          <w:rFonts w:ascii="Times New Roman" w:hAnsi="Times New Roman" w:eastAsia="Times New Roman"/>
          <w:b w:val="0"/>
          <w:caps w:val="0"/>
          <w:sz w:val="22"/>
        </w:rPr>
        <w:t>Tabela 20.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të katër erërat. Intervali më i gjerë i dallimit është te Feature Envy, 0.281 pikë MCC.</w:t>
      </w:r>
    </w:p>
    <w:p>
      <w:pPr>
        <w:spacing w:line="360" w:lineRule="auto"/>
        <w:ind w:firstLine="360"/>
        <w:jc w:val="both"/>
      </w:pPr>
      <w:r>
        <w:rPr>
          <w:rFonts w:ascii="Times New Roman" w:hAnsi="Times New Roman" w:eastAsia="Times New Roman"/>
          <w:b w:val="0"/>
          <w:caps w:val="0"/>
          <w:sz w:val="24"/>
        </w:rPr>
        <w:t>Kur Qasja A merr pragun e saj më të mirë nga fshirja e Nënkapitullit 5.5, dallimi ka këto intervale (Tabela 21):</w:t>
      </w:r>
    </w:p>
    <w:p>
      <w:pPr>
        <w:keepNext/>
        <w:spacing w:line="240" w:lineRule="auto"/>
        <w:jc w:val="center"/>
      </w:pPr>
      <w:r>
        <w:rPr>
          <w:rFonts w:ascii="Times New Roman" w:hAnsi="Times New Roman" w:eastAsia="Times New Roman"/>
          <w:b w:val="0"/>
          <w:caps w:val="0"/>
          <w:sz w:val="22"/>
        </w:rPr>
        <w:t>Tabela 21.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Data Class dhe Feature Envy. Te Long Method intervali e përfshin zeron, dhe shenja pozitive ruhet në 97.2% të rimostrimeve.</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22):</w:t>
      </w:r>
    </w:p>
    <w:p>
      <w:pPr>
        <w:keepNext/>
        <w:spacing w:line="240" w:lineRule="auto"/>
        <w:jc w:val="center"/>
      </w:pPr>
      <w:r>
        <w:rPr>
          <w:rFonts w:ascii="Times New Roman" w:hAnsi="Times New Roman" w:eastAsia="Times New Roman"/>
          <w:b w:val="0"/>
          <w:caps w:val="0"/>
          <w:sz w:val="22"/>
        </w:rPr>
        <w:t>Tabela 22.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0.238 te asnjë erë.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dhe Data Class zhvendosja e çdo pragu mezi e lëviz MCC-në (Nënkapitulli 5.5), ndaj shifrat e tyre flasin për kodin dhe jo për pragun. Te Feature Envy dhe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sesa bie precizioni, çka sugjeron se rishikuesit e MLCQ-së e quajnë një metodë të gjatë më herët sesa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klasat-burim të jenë pak, kur relaksohet, i përmirëson njëkohësisht precizionin dhe recall-in, dhe kalibrimi jashtë fold-it e zgjedh të njëjtën vlerë në çdo fold. Një kufizim që heq pozitivë të vërtetë pa hequr të rremë nuk e ndan sinjalin nga zhurma; mbi këtë korpus, pra, ajo klauzolë nuk e bën punën për të cilën u vendos.</w:t>
      </w:r>
    </w:p>
    <w:p>
      <w:pPr>
        <w:spacing w:line="360" w:lineRule="auto"/>
        <w:ind w:firstLine="360"/>
        <w:jc w:val="both"/>
      </w:pPr>
      <w:r>
        <w:rPr>
          <w:rFonts w:ascii="Times New Roman" w:hAnsi="Times New Roman" w:eastAsia="Times New Roman"/>
          <w:b w:val="0"/>
          <w:caps w:val="0"/>
          <w:sz w:val="24"/>
        </w:rPr>
        <w:t>Te Long Method, dallimi mes fshirjes dhe kalibrimit (Nënkapitulli 5.5) është pikërisht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të katër erërat kur korpusi rimostrohet sipas depos, pra nuk është artefakt i një korpusi të veçantë. Por intervalet janë të gjera, ndaj renditja e erërave mes tyre nuk qëndron: dallimi mes Data Class-it dhe Blob-it, për shembull, humbet brenda tyre. Kur rregullit i jepet pragu i tij më i mirë, përparësia zhduket te Long Method, pikërisht aty ku rregulli punonte më mirë; ky është kufizimi i vetëm i rëndësishëm i krahasimit mes dy qasjeve.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23).</w:t>
      </w:r>
    </w:p>
    <w:p>
      <w:pPr>
        <w:keepNext/>
        <w:spacing w:line="240" w:lineRule="auto"/>
        <w:jc w:val="center"/>
      </w:pPr>
      <w:r>
        <w:rPr>
          <w:rFonts w:ascii="Times New Roman" w:hAnsi="Times New Roman" w:eastAsia="Times New Roman"/>
          <w:b w:val="0"/>
          <w:caps w:val="0"/>
          <w:sz w:val="22"/>
        </w:rPr>
        <w:t>Tabela 23.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të fiksuar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(Nënkapitulli 5.6),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(Nënkapitulli 5.7).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Ruajtja e sjelljes nuk është pjesë e PK3 dhe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kompilueshmërinë dhe për strukturën, me kosto të matur, ndërsa sjellja mbetet pyetje e hapur.</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08.09.2026.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24).</w:t>
      </w:r>
    </w:p>
    <w:p>
      <w:pPr>
        <w:keepNext/>
        <w:spacing w:line="240" w:lineRule="auto"/>
        <w:jc w:val="center"/>
      </w:pPr>
      <w:r>
        <w:rPr>
          <w:rFonts w:ascii="Times New Roman" w:hAnsi="Times New Roman" w:eastAsia="Times New Roman"/>
          <w:b w:val="0"/>
          <w:caps w:val="0"/>
          <w:sz w:val="22"/>
        </w:rPr>
        <w:t>Tabela 24.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25).</w:t>
      </w:r>
    </w:p>
    <w:p>
      <w:pPr>
        <w:keepNext/>
        <w:spacing w:line="240" w:lineRule="auto"/>
        <w:jc w:val="center"/>
      </w:pPr>
      <w:r>
        <w:rPr>
          <w:rFonts w:ascii="Times New Roman" w:hAnsi="Times New Roman" w:eastAsia="Times New Roman"/>
          <w:b w:val="0"/>
          <w:caps w:val="0"/>
          <w:sz w:val="22"/>
        </w:rPr>
        <w:t>Tabela 25.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26).</w:t>
      </w:r>
    </w:p>
    <w:p>
      <w:pPr>
        <w:keepNext/>
        <w:spacing w:line="240" w:lineRule="auto"/>
        <w:jc w:val="center"/>
      </w:pPr>
      <w:r>
        <w:rPr>
          <w:rFonts w:ascii="Times New Roman" w:hAnsi="Times New Roman" w:eastAsia="Times New Roman"/>
          <w:b w:val="0"/>
          <w:caps w:val="0"/>
          <w:sz w:val="22"/>
        </w:rPr>
        <w:t>Tabela 26.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27).</w:t>
      </w:r>
    </w:p>
    <w:p>
      <w:pPr>
        <w:keepNext/>
        <w:spacing w:line="240" w:lineRule="auto"/>
        <w:jc w:val="center"/>
      </w:pPr>
      <w:r>
        <w:rPr>
          <w:rFonts w:ascii="Times New Roman" w:hAnsi="Times New Roman" w:eastAsia="Times New Roman"/>
          <w:b w:val="0"/>
          <w:caps w:val="0"/>
          <w:sz w:val="22"/>
        </w:rPr>
        <w:t>Tabela 27.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28).</w:t>
      </w:r>
    </w:p>
    <w:p>
      <w:pPr>
        <w:keepNext/>
        <w:spacing w:line="240" w:lineRule="auto"/>
        <w:jc w:val="center"/>
      </w:pPr>
      <w:r>
        <w:rPr>
          <w:rFonts w:ascii="Times New Roman" w:hAnsi="Times New Roman" w:eastAsia="Times New Roman"/>
          <w:b w:val="0"/>
          <w:caps w:val="0"/>
          <w:sz w:val="22"/>
        </w:rPr>
        <w:t>Tabela 28.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29).</w:t>
      </w:r>
    </w:p>
    <w:p>
      <w:pPr>
        <w:keepNext/>
        <w:spacing w:line="240" w:lineRule="auto"/>
        <w:jc w:val="center"/>
      </w:pPr>
      <w:r>
        <w:rPr>
          <w:rFonts w:ascii="Times New Roman" w:hAnsi="Times New Roman" w:eastAsia="Times New Roman"/>
          <w:b w:val="0"/>
          <w:caps w:val="0"/>
          <w:sz w:val="22"/>
        </w:rPr>
        <w:t>Tabela 29.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30).</w:t>
      </w:r>
    </w:p>
    <w:p>
      <w:pPr>
        <w:keepNext/>
        <w:spacing w:line="240" w:lineRule="auto"/>
        <w:jc w:val="center"/>
      </w:pPr>
      <w:r>
        <w:rPr>
          <w:rFonts w:ascii="Times New Roman" w:hAnsi="Times New Roman" w:eastAsia="Times New Roman"/>
          <w:b w:val="0"/>
          <w:caps w:val="0"/>
          <w:sz w:val="22"/>
        </w:rPr>
        <w:t>Tabela 30.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 për të gjithë: Python 3.13.1, Windows-11-10.0.26200-SP0. Commit-i jo: eksperimentet u ekzekutuan njëri pas tjetrit, ndaj secili skedar mban commit-in e vet, dhe ai duhet përdorur për ta riprodhuar (Tabela 31).</w:t>
      </w:r>
    </w:p>
    <w:p>
      <w:pPr>
        <w:keepNext/>
        <w:spacing w:line="240" w:lineRule="auto"/>
        <w:jc w:val="center"/>
      </w:pPr>
      <w:r>
        <w:rPr>
          <w:rFonts w:ascii="Times New Roman" w:hAnsi="Times New Roman" w:eastAsia="Times New Roman"/>
          <w:b w:val="0"/>
          <w:caps w:val="0"/>
          <w:sz w:val="22"/>
        </w:rPr>
        <w:t>Tabela 31.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trajnuara,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totale: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32; Tabela 33).</w:t>
      </w:r>
    </w:p>
    <w:p>
      <w:pPr>
        <w:keepNext/>
        <w:spacing w:line="240" w:lineRule="auto"/>
        <w:jc w:val="center"/>
      </w:pPr>
      <w:r>
        <w:rPr>
          <w:rFonts w:ascii="Times New Roman" w:hAnsi="Times New Roman" w:eastAsia="Times New Roman"/>
          <w:b w:val="0"/>
          <w:caps w:val="0"/>
          <w:sz w:val="22"/>
        </w:rPr>
        <w:t>Tabela 32.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33.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 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34).</w:t>
      </w:r>
    </w:p>
    <w:p>
      <w:pPr>
        <w:keepNext/>
        <w:spacing w:line="240" w:lineRule="auto"/>
        <w:jc w:val="center"/>
      </w:pPr>
      <w:r>
        <w:rPr>
          <w:rFonts w:ascii="Times New Roman" w:hAnsi="Times New Roman" w:eastAsia="Times New Roman"/>
          <w:b w:val="0"/>
          <w:caps w:val="0"/>
          <w:sz w:val="22"/>
        </w:rPr>
        <w:t>Tabela 34.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9).</w:t>
      </w:r>
    </w:p>
    <w:p>
      <w:pPr>
        <w:keepNext/>
        <w:jc w:val="center"/>
      </w:pPr>
      <w:r>
        <w:drawing>
          <wp:inline xmlns:a="http://schemas.openxmlformats.org/drawingml/2006/main" xmlns:pic="http://schemas.openxmlformats.org/drawingml/2006/picture">
            <wp:extent cx="5120640" cy="2809061"/>
            <wp:docPr id="11" name="Picture 11"/>
            <wp:cNvGraphicFramePr>
              <a:graphicFrameLocks noChangeAspect="1"/>
            </wp:cNvGraphicFramePr>
            <a:graphic>
              <a:graphicData uri="http://schemas.openxmlformats.org/drawingml/2006/picture">
                <pic:pic>
                  <pic:nvPicPr>
                    <pic:cNvPr id="0" name="ashpersia_kundrejt_rishikuesve.png"/>
                    <pic:cNvPicPr/>
                  </pic:nvPicPr>
                  <pic:blipFill>
                    <a:blip r:embed="rId21"/>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35).</w:t>
      </w:r>
    </w:p>
    <w:p>
      <w:pPr>
        <w:keepNext/>
        <w:spacing w:line="240" w:lineRule="auto"/>
        <w:jc w:val="center"/>
      </w:pPr>
      <w:r>
        <w:rPr>
          <w:rFonts w:ascii="Times New Roman" w:hAnsi="Times New Roman" w:eastAsia="Times New Roman"/>
          <w:b w:val="0"/>
          <w:caps w:val="0"/>
          <w:sz w:val="22"/>
        </w:rPr>
        <w:t>Tabela 35.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36).</w:t>
      </w:r>
    </w:p>
    <w:p>
      <w:pPr>
        <w:keepNext/>
        <w:spacing w:line="240" w:lineRule="auto"/>
        <w:jc w:val="center"/>
      </w:pPr>
      <w:r>
        <w:rPr>
          <w:rFonts w:ascii="Times New Roman" w:hAnsi="Times New Roman" w:eastAsia="Times New Roman"/>
          <w:b w:val="0"/>
          <w:caps w:val="0"/>
          <w:sz w:val="22"/>
        </w:rPr>
        <w:t>Tabela 36.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pajtohet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37).</w:t>
      </w:r>
    </w:p>
    <w:p>
      <w:pPr>
        <w:keepNext/>
        <w:spacing w:line="240" w:lineRule="auto"/>
        <w:jc w:val="center"/>
      </w:pPr>
      <w:r>
        <w:rPr>
          <w:rFonts w:ascii="Times New Roman" w:hAnsi="Times New Roman" w:eastAsia="Times New Roman"/>
          <w:b w:val="0"/>
          <w:caps w:val="0"/>
          <w:sz w:val="22"/>
        </w:rPr>
        <w:t>Tabela 37.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