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18. Sa klauzola dështuan te secila mospërputhje</w:t>
      </w:r>
    </w:p>
    <w:p>
      <w:pPr>
        <w:spacing w:line="360" w:lineRule="auto"/>
        <w:ind w:firstLine="360"/>
        <w:jc w:val="both"/>
      </w:pPr>
      <w:r>
        <w:rPr>
          <w:rFonts w:ascii="Times New Roman" w:hAnsi="Times New Roman" w:eastAsia="Times New Roman"/>
          <w:b w:val="0"/>
          <w:caps w:val="0"/>
          <w:sz w:val="24"/>
        </w:rPr>
        <w:t>Tabela 19. Kur një klauzolë e vetme e ndal strategjinë</w:t>
      </w:r>
    </w:p>
    <w:p>
      <w:pPr>
        <w:spacing w:line="360" w:lineRule="auto"/>
        <w:ind w:firstLine="360"/>
        <w:jc w:val="both"/>
      </w:pPr>
      <w:r>
        <w:rPr>
          <w:rFonts w:ascii="Times New Roman" w:hAnsi="Times New Roman" w:eastAsia="Times New Roman"/>
          <w:b w:val="0"/>
          <w:caps w:val="0"/>
          <w:sz w:val="24"/>
        </w:rPr>
        <w:t>Tabela 20. Pajtimi i ashpërsisë me rishikuesit</w:t>
      </w:r>
    </w:p>
    <w:p>
      <w:pPr>
        <w:spacing w:line="360" w:lineRule="auto"/>
        <w:ind w:firstLine="360"/>
        <w:jc w:val="both"/>
      </w:pPr>
      <w:r>
        <w:rPr>
          <w:rFonts w:ascii="Times New Roman" w:hAnsi="Times New Roman" w:eastAsia="Times New Roman"/>
          <w:b w:val="0"/>
          <w:caps w:val="0"/>
          <w:sz w:val="24"/>
        </w:rPr>
        <w:t>Tabela 21. Intervale besimi 95% për MCC-në</w:t>
      </w:r>
    </w:p>
    <w:p>
      <w:pPr>
        <w:spacing w:line="360" w:lineRule="auto"/>
        <w:ind w:firstLine="360"/>
        <w:jc w:val="both"/>
      </w:pPr>
      <w:r>
        <w:rPr>
          <w:rFonts w:ascii="Times New Roman" w:hAnsi="Times New Roman" w:eastAsia="Times New Roman"/>
          <w:b w:val="0"/>
          <w:caps w:val="0"/>
          <w:sz w:val="24"/>
        </w:rPr>
        <w:t>Tabela 22. B − A kur rregullat marrin pragun e tyre më të mirë</w:t>
      </w:r>
    </w:p>
    <w:p>
      <w:pPr>
        <w:spacing w:line="360" w:lineRule="auto"/>
        <w:ind w:firstLine="360"/>
        <w:jc w:val="both"/>
      </w:pPr>
      <w:r>
        <w:rPr>
          <w:rFonts w:ascii="Times New Roman" w:hAnsi="Times New Roman" w:eastAsia="Times New Roman"/>
          <w:b w:val="0"/>
          <w:caps w:val="0"/>
          <w:sz w:val="24"/>
        </w:rPr>
        <w:t>Tabela 23. Sa pajtohen rishikuesit me njëri-tjetrin</w:t>
      </w:r>
    </w:p>
    <w:p>
      <w:pPr>
        <w:spacing w:line="360" w:lineRule="auto"/>
        <w:ind w:firstLine="360"/>
        <w:jc w:val="both"/>
      </w:pPr>
      <w:r>
        <w:rPr>
          <w:rFonts w:ascii="Times New Roman" w:hAnsi="Times New Roman" w:eastAsia="Times New Roman"/>
          <w:b w:val="0"/>
          <w:caps w:val="0"/>
          <w:sz w:val="24"/>
        </w:rPr>
        <w:t>Tabela 24. Strategjitë e detektimit dhe burimet e tyre</w:t>
      </w:r>
    </w:p>
    <w:p>
      <w:pPr>
        <w:spacing w:line="360" w:lineRule="auto"/>
        <w:ind w:firstLine="360"/>
        <w:jc w:val="both"/>
      </w:pPr>
      <w:r>
        <w:rPr>
          <w:rFonts w:ascii="Times New Roman" w:hAnsi="Times New Roman" w:eastAsia="Times New Roman"/>
          <w:b w:val="0"/>
          <w:caps w:val="0"/>
          <w:sz w:val="24"/>
        </w:rPr>
        <w:t>Tabela 25. Kuantifikuesit e përgjithshëm</w:t>
      </w:r>
    </w:p>
    <w:p>
      <w:pPr>
        <w:spacing w:line="360" w:lineRule="auto"/>
        <w:ind w:firstLine="360"/>
        <w:jc w:val="both"/>
      </w:pPr>
      <w:r>
        <w:rPr>
          <w:rFonts w:ascii="Times New Roman" w:hAnsi="Times New Roman" w:eastAsia="Times New Roman"/>
          <w:b w:val="0"/>
          <w:caps w:val="0"/>
          <w:sz w:val="24"/>
        </w:rPr>
        <w:t>Tabela 26. Pragjet e përdorura</w:t>
      </w:r>
    </w:p>
    <w:p>
      <w:pPr>
        <w:spacing w:line="360" w:lineRule="auto"/>
        <w:ind w:firstLine="360"/>
        <w:jc w:val="both"/>
      </w:pPr>
      <w:r>
        <w:rPr>
          <w:rFonts w:ascii="Times New Roman" w:hAnsi="Times New Roman" w:eastAsia="Times New Roman"/>
          <w:b w:val="0"/>
          <w:caps w:val="0"/>
          <w:sz w:val="24"/>
        </w:rPr>
        <w:t>Tabela 27. Metrikat sipas nivelit</w:t>
      </w:r>
    </w:p>
    <w:p>
      <w:pPr>
        <w:spacing w:line="360" w:lineRule="auto"/>
        <w:ind w:firstLine="360"/>
        <w:jc w:val="both"/>
      </w:pPr>
      <w:r>
        <w:rPr>
          <w:rFonts w:ascii="Times New Roman" w:hAnsi="Times New Roman" w:eastAsia="Times New Roman"/>
          <w:b w:val="0"/>
          <w:caps w:val="0"/>
          <w:sz w:val="24"/>
        </w:rPr>
        <w:t>Tabela 28. Çka propozohet dhe çka aplikohet</w:t>
      </w:r>
    </w:p>
    <w:p>
      <w:pPr>
        <w:spacing w:line="360" w:lineRule="auto"/>
        <w:ind w:firstLine="360"/>
        <w:jc w:val="both"/>
      </w:pPr>
      <w:r>
        <w:rPr>
          <w:rFonts w:ascii="Times New Roman" w:hAnsi="Times New Roman" w:eastAsia="Times New Roman"/>
          <w:b w:val="0"/>
          <w:caps w:val="0"/>
          <w:sz w:val="24"/>
        </w:rPr>
        <w:t>Tabela 29. Arsyet e refuzimit</w:t>
      </w:r>
    </w:p>
    <w:p>
      <w:pPr>
        <w:spacing w:line="360" w:lineRule="auto"/>
        <w:ind w:firstLine="360"/>
        <w:jc w:val="both"/>
      </w:pPr>
      <w:r>
        <w:rPr>
          <w:rFonts w:ascii="Times New Roman" w:hAnsi="Times New Roman" w:eastAsia="Times New Roman"/>
          <w:b w:val="0"/>
          <w:caps w:val="0"/>
          <w:sz w:val="24"/>
        </w:rPr>
        <w:t>Tabela 30. Radha e ekzekutimit</w:t>
      </w:r>
    </w:p>
    <w:p>
      <w:pPr>
        <w:spacing w:line="360" w:lineRule="auto"/>
        <w:ind w:firstLine="360"/>
        <w:jc w:val="both"/>
      </w:pPr>
      <w:r>
        <w:rPr>
          <w:rFonts w:ascii="Times New Roman" w:hAnsi="Times New Roman" w:eastAsia="Times New Roman"/>
          <w:b w:val="0"/>
          <w:caps w:val="0"/>
          <w:sz w:val="24"/>
        </w:rPr>
        <w:t>Tabela 31.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2</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403</w:t>
            </w:r>
          </w:p>
        </w:tc>
        <w:tc>
          <w:tcPr>
            <w:tcW w:type="dxa" w:w="2946"/>
          </w:tcPr>
          <w:p>
            <w:pPr>
              <w:spacing w:line="240" w:lineRule="auto"/>
            </w:pPr>
            <w:r>
              <w:rPr>
                <w:rFonts w:ascii="Times New Roman" w:hAnsi="Times New Roman" w:eastAsia="Times New Roman"/>
                <w:b w:val="0"/>
                <w:caps w:val="0"/>
                <w:sz w:val="22"/>
              </w:rPr>
              <w:t>343</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2 te 46 nga 405 rishkrime, pra nga 0.5%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nuk u veçua: matja mban numra të grumbulluar, ndaj identifikimi i tij kërkon një ekzekutim të synuar dhe mbetet punë e pabërë. 15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7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Nënkapitujt e mësipërm i vënë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w:t>
      </w:r>
    </w:p>
    <w:p>
      <w:pPr>
        <w:spacing w:line="240" w:lineRule="auto"/>
        <w:jc w:val="center"/>
      </w:pPr>
      <w:r>
        <w:rPr>
          <w:rFonts w:ascii="Times New Roman" w:hAnsi="Times New Roman" w:eastAsia="Times New Roman"/>
          <w:b w:val="0"/>
          <w:caps w:val="0"/>
          <w:sz w:val="22"/>
        </w:rPr>
        <w:t>Tabela 17.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është më i afërti dhe mat zinxhirë mesazhesh e jo qasje në të dhëna të huaja; shifra e tij raportohet për ta pasur të matur e jo të supozuar, dhe nuk është matje e Feature Envy-së. Mbulimi i pjesshëm i një mjeti të përhapur është vetë gjetje: tri nga katër erërat e MLCQ-së kanë një rregull të gatshme, e katërta jo.</w:t>
      </w:r>
    </w:p>
    <w:p>
      <w:pPr>
        <w:spacing w:line="360" w:lineRule="auto"/>
        <w:ind w:firstLine="360"/>
        <w:jc w:val="both"/>
      </w:pPr>
      <w:r>
        <w:rPr>
          <w:rFonts w:ascii="Times New Roman" w:hAnsi="Times New Roman" w:eastAsia="Times New Roman"/>
          <w:b w:val="0"/>
          <w:caps w:val="0"/>
          <w:sz w:val="24"/>
        </w:rPr>
        <w:t>Krahasimi e favorizon këtë punim në një drejtim të deklaruar që në Nënkapitullin 4.6: PMD analizon një skedar në një kohë dhe pa classpath të kompiluar, ndaj ATFD-në e llogarit nga sa duket brenda një skedari, ndërsa detektorët e këtij punimi e marrin projektin e plotë. Heqja e këtij handikapi do të kërkonte ndërtimin e 513 depove në commit-et e tyre historike, çka korpusi nuk e lejon (Nënkapitulli 6.3).</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5.7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w:t>
      </w:r>
    </w:p>
    <w:p>
      <w:pPr>
        <w:spacing w:line="240" w:lineRule="auto"/>
        <w:jc w:val="center"/>
      </w:pPr>
      <w:r>
        <w:rPr>
          <w:rFonts w:ascii="Times New Roman" w:hAnsi="Times New Roman" w:eastAsia="Times New Roman"/>
          <w:b w:val="0"/>
          <w:caps w:val="0"/>
          <w:sz w:val="22"/>
        </w:rPr>
        <w:t>Tabela 18.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19.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analizë kufizohet te dy strategjitë që janë konjunksione të pastra. Long Method-i ka një klauzolë të vetme, ndaj pyetja ka një përgjigje të vetme dhe të parashikueshme; Data Class-i përzien konjunksion me disjunksion, ku «klauzola bllokuese» nuk përcaktohet pa vendosur se cila degë ishte më afër, dhe ai vendim do të prodhonte një numër që varet nga vetë vendimi.</w:t>
      </w:r>
    </w:p>
    <w:p>
      <w:pPr>
        <w:pStyle w:val="Heading2"/>
      </w:pPr>
      <w:r>
        <w:rPr>
          <w:rFonts w:ascii="Times New Roman" w:hAnsi="Times New Roman" w:eastAsia="Times New Roman"/>
          <w:b/>
          <w:caps w:val="0"/>
          <w:sz w:val="24"/>
        </w:rPr>
        <w:t>5.8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20.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5.9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21.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22.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24.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25.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26.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27.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28.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29.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30.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31.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195c22ef45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