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Krahasimi i MCC-së me Madeyski &amp; Lewowski (2023), mbi MLCQ</w:t>
      </w:r>
    </w:p>
    <w:p>
      <w:pPr>
        <w:spacing w:line="360" w:lineRule="auto"/>
        <w:ind w:firstLine="360"/>
        <w:jc w:val="both"/>
      </w:pPr>
      <w:r>
        <w:rPr>
          <w:rFonts w:ascii="Times New Roman" w:hAnsi="Times New Roman" w:eastAsia="Times New Roman"/>
          <w:b w:val="0"/>
          <w:caps w:val="0"/>
          <w:sz w:val="24"/>
        </w:rPr>
        <w:t>Tabela 18. Strategjitë e detektimit dhe burimet e tyre</w:t>
      </w:r>
    </w:p>
    <w:p>
      <w:pPr>
        <w:spacing w:line="360" w:lineRule="auto"/>
        <w:ind w:firstLine="360"/>
        <w:jc w:val="both"/>
      </w:pPr>
      <w:r>
        <w:rPr>
          <w:rFonts w:ascii="Times New Roman" w:hAnsi="Times New Roman" w:eastAsia="Times New Roman"/>
          <w:b w:val="0"/>
          <w:caps w:val="0"/>
          <w:sz w:val="24"/>
        </w:rPr>
        <w:t>Tabela 19. Kuantifikuesit e përgjithshëm</w:t>
      </w:r>
    </w:p>
    <w:p>
      <w:pPr>
        <w:spacing w:line="360" w:lineRule="auto"/>
        <w:ind w:firstLine="360"/>
        <w:jc w:val="both"/>
      </w:pPr>
      <w:r>
        <w:rPr>
          <w:rFonts w:ascii="Times New Roman" w:hAnsi="Times New Roman" w:eastAsia="Times New Roman"/>
          <w:b w:val="0"/>
          <w:caps w:val="0"/>
          <w:sz w:val="24"/>
        </w:rPr>
        <w:t>Tabela 20. Pragjet e përdorura</w:t>
      </w:r>
    </w:p>
    <w:p>
      <w:pPr>
        <w:spacing w:line="360" w:lineRule="auto"/>
        <w:ind w:firstLine="360"/>
        <w:jc w:val="both"/>
      </w:pPr>
      <w:r>
        <w:rPr>
          <w:rFonts w:ascii="Times New Roman" w:hAnsi="Times New Roman" w:eastAsia="Times New Roman"/>
          <w:b w:val="0"/>
          <w:caps w:val="0"/>
          <w:sz w:val="24"/>
        </w:rPr>
        <w:t>Tabela 21. Metrikat sipas nivelit</w:t>
      </w:r>
    </w:p>
    <w:p>
      <w:pPr>
        <w:spacing w:line="360" w:lineRule="auto"/>
        <w:ind w:firstLine="360"/>
        <w:jc w:val="both"/>
      </w:pPr>
      <w:r>
        <w:rPr>
          <w:rFonts w:ascii="Times New Roman" w:hAnsi="Times New Roman" w:eastAsia="Times New Roman"/>
          <w:b w:val="0"/>
          <w:caps w:val="0"/>
          <w:sz w:val="24"/>
        </w:rPr>
        <w:t>Tabela 22. Çka propozohet dhe çka aplikohet</w:t>
      </w:r>
    </w:p>
    <w:p>
      <w:pPr>
        <w:spacing w:line="360" w:lineRule="auto"/>
        <w:ind w:firstLine="360"/>
        <w:jc w:val="both"/>
      </w:pPr>
      <w:r>
        <w:rPr>
          <w:rFonts w:ascii="Times New Roman" w:hAnsi="Times New Roman" w:eastAsia="Times New Roman"/>
          <w:b w:val="0"/>
          <w:caps w:val="0"/>
          <w:sz w:val="24"/>
        </w:rPr>
        <w:t>Tabela 23. Arsyet e refuzimit</w:t>
      </w:r>
    </w:p>
    <w:p>
      <w:pPr>
        <w:spacing w:line="360" w:lineRule="auto"/>
        <w:ind w:firstLine="360"/>
        <w:jc w:val="both"/>
      </w:pPr>
      <w:r>
        <w:rPr>
          <w:rFonts w:ascii="Times New Roman" w:hAnsi="Times New Roman" w:eastAsia="Times New Roman"/>
          <w:b w:val="0"/>
          <w:caps w:val="0"/>
          <w:sz w:val="24"/>
        </w:rPr>
        <w:t>Tabela 24. Radha e ekzekutimit</w:t>
      </w:r>
    </w:p>
    <w:p>
      <w:pPr>
        <w:spacing w:line="360" w:lineRule="auto"/>
        <w:ind w:firstLine="360"/>
        <w:jc w:val="both"/>
      </w:pPr>
      <w:r>
        <w:rPr>
          <w:rFonts w:ascii="Times New Roman" w:hAnsi="Times New Roman" w:eastAsia="Times New Roman"/>
          <w:b w:val="0"/>
          <w:caps w:val="0"/>
          <w:sz w:val="24"/>
        </w:rPr>
        <w:t>Tabela 25. Commit-i që prodhoi çdo skedar rezultati</w:t>
      </w:r>
    </w:p>
    <w:p>
      <w:pPr>
        <w:spacing w:line="360" w:lineRule="auto"/>
        <w:ind w:firstLine="360"/>
        <w:jc w:val="both"/>
      </w:pPr>
      <w:r>
        <w:rPr>
          <w:rFonts w:ascii="Times New Roman" w:hAnsi="Times New Roman" w:eastAsia="Times New Roman"/>
          <w:b w:val="0"/>
          <w:caps w:val="0"/>
          <w:sz w:val="24"/>
        </w:rPr>
        <w:t>Tabela 26. Sa lëviz MCC-ja kur zhvendoset një prag</w:t>
      </w:r>
    </w:p>
    <w:p>
      <w:pPr>
        <w:spacing w:line="360" w:lineRule="auto"/>
        <w:ind w:firstLine="360"/>
        <w:jc w:val="both"/>
      </w:pPr>
      <w:r>
        <w:rPr>
          <w:rFonts w:ascii="Times New Roman" w:hAnsi="Times New Roman" w:eastAsia="Times New Roman"/>
          <w:b w:val="0"/>
          <w:caps w:val="0"/>
          <w:sz w:val="24"/>
        </w:rPr>
        <w:t>Tabela 27.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28.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29. Sa klauzola dështuan te secila mospërputhje</w:t>
      </w:r>
    </w:p>
    <w:p>
      <w:pPr>
        <w:spacing w:line="360" w:lineRule="auto"/>
        <w:ind w:firstLine="360"/>
        <w:jc w:val="both"/>
      </w:pPr>
      <w:r>
        <w:rPr>
          <w:rFonts w:ascii="Times New Roman" w:hAnsi="Times New Roman" w:eastAsia="Times New Roman"/>
          <w:b w:val="0"/>
          <w:caps w:val="0"/>
          <w:sz w:val="24"/>
        </w:rPr>
        <w:t>Tabela 30. Kur një klauzolë e vetme e ndal strategjinë</w:t>
      </w:r>
    </w:p>
    <w:p>
      <w:pPr>
        <w:spacing w:line="360" w:lineRule="auto"/>
        <w:ind w:firstLine="360"/>
        <w:jc w:val="both"/>
      </w:pPr>
      <w:r>
        <w:rPr>
          <w:rFonts w:ascii="Times New Roman" w:hAnsi="Times New Roman" w:eastAsia="Times New Roman"/>
          <w:b w:val="0"/>
          <w:caps w:val="0"/>
          <w:sz w:val="24"/>
        </w:rPr>
        <w:t>Tabela 31. Pajtimi i ashpërsisë me rishikuesit</w:t>
      </w:r>
    </w:p>
    <w:p>
      <w:pPr>
        <w:spacing w:line="360" w:lineRule="auto"/>
        <w:ind w:firstLine="360"/>
        <w:jc w:val="both"/>
      </w:pPr>
      <w:r>
        <w:rPr>
          <w:rFonts w:ascii="Times New Roman" w:hAnsi="Times New Roman" w:eastAsia="Times New Roman"/>
          <w:b w:val="0"/>
          <w:caps w:val="0"/>
          <w:sz w:val="24"/>
        </w:rPr>
        <w:t>Tabela 32. Intervale besimi 95% për MCC-në</w:t>
      </w:r>
    </w:p>
    <w:p>
      <w:pPr>
        <w:spacing w:line="360" w:lineRule="auto"/>
        <w:ind w:firstLine="360"/>
        <w:jc w:val="both"/>
      </w:pPr>
      <w:r>
        <w:rPr>
          <w:rFonts w:ascii="Times New Roman" w:hAnsi="Times New Roman" w:eastAsia="Times New Roman"/>
          <w:b w:val="0"/>
          <w:caps w:val="0"/>
          <w:sz w:val="24"/>
        </w:rPr>
        <w:t>Tabela 33. B − A kur rregullat marrin pragun e tyre më të mirë</w:t>
      </w:r>
    </w:p>
    <w:p>
      <w:pPr>
        <w:spacing w:line="360" w:lineRule="auto"/>
        <w:ind w:firstLine="360"/>
        <w:jc w:val="both"/>
      </w:pPr>
      <w:r>
        <w:rPr>
          <w:rFonts w:ascii="Times New Roman" w:hAnsi="Times New Roman" w:eastAsia="Times New Roman"/>
          <w:b w:val="0"/>
          <w:caps w:val="0"/>
          <w:sz w:val="24"/>
        </w:rPr>
        <w:t>Tabela 34. Sa pajtohen rishikuesit me njëri-tjetrin</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Lehman (1980) e formuloi këtë si ligj: një sistem që përdoret në një mjedis real duhet të ndryshojë vazhdimisht, përndryshe bëhet gradualisht më pak i dobishëm. Prandaj sa lehtë ndryshohet kodi është kosto e përditshme për çdo ekip.</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dhe dy shqyrtues shpesh nuk pajtohen se çfarë është problem.</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Kapitulli i grupon burimet sipas temës dhe mbyllet me hendekun që adreson ky punim.</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w:t>
      </w:r>
    </w:p>
    <w:p>
      <w:pPr>
        <w:spacing w:line="360" w:lineRule="auto"/>
        <w:ind w:firstLine="360"/>
        <w:jc w:val="both"/>
      </w:pPr>
      <w:r>
        <w:rPr>
          <w:rFonts w:ascii="Times New Roman" w:hAnsi="Times New Roman" w:eastAsia="Times New Roman"/>
          <w:b w:val="0"/>
          <w:caps w:val="0"/>
          <w:sz w:val="24"/>
        </w:rPr>
        <w:t>Matja sasiore u bë e mundur me suitën e Chidamber &amp; Kemerer (1994), gjashtë metrika për sistemet e orientuara nga objektet: WMC, DIT, NOC, CBO, RFC dhe LCOM. Henderson-Sellers (1996) propozoi një variant të normalizuar të LCOM-it, ndërsa Bieman &amp; Kang (1995) prezantuan TCC-në, që e mat kohezionin me çiftet e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Kështu kapin diçka që metrikat statike nuk e shohin, por u duhet historiku i plotë i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erëra dhe raportuan performancë të lartë për të gjitha në validimin e kryqëzuar, me J48 dhe Random Forest si më të mirat.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treguan se vlerësimi i zhvilluesve për praninë e një ere është subjektiv dhe se ata shpesh nuk pajtohen.</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matet: sistemin (4.1–4.2), hapat e eksperimentit sipas radhës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Kapitulli formësohet nga kufizimet e Nënkapitullit 3.4, sidomos nga mungesa e zgjidhjes së simboleve dhe e testeve të projekteve, si dhe nga mbështetja te një dataset i vetëm.</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dhe scikit-learn ofron ndarjen e grupuar, ansamblet e pemëve dhe rëndësinë me permutim.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rishikimet e zhvilluesve profesionistë, por jo vetë kodin: çdo rresht tregon depon, commit-in dhe entitetin. Prandaj çdo depo u shkarkua në commit-in e saktë të regjistruar.</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val="0"/>
          <w:caps w:val="0"/>
          <w:sz w:val="24"/>
        </w:rPr>
        <w:t>Një mostër e MLCQ-së lidhet me entitetin përkatës sipas rangut të rreshtave, dhe lidhja verifikohet me emrin. Vetëm emri nuk mjafton si ankorim, sepse në dataset shfaqet në katër formate të ndryshme.</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Një klasë e matur veçmas do të jepte vlera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Shtojca 8.6, ndërsa tre të tjerët nuk maten dot kundrejt MLCQ-së. Të autorit janë edhe tre pragjet e ashpërsisë (Shtojca 8.9);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 ndërsa ashpërsia llogaritet nga sa larg pragut është matja, jo me dorë. Ashpërsia përdor shkallën e MLCQ-së, ndaj krahasohet drejtpërdrejt me etiketat e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val="0"/>
          <w:caps w:val="0"/>
          <w:sz w:val="24"/>
        </w:rPr>
        <w:t>Klasifikuesi i shumicës parashikon gjithmonë «pa erë» dhe shërben si model bazë. Modelet trajnohen edhe vetëm me metrikat e strategjive, që të dallohet sa nga fitimi vjen nga metrikat shtesë.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njëkohësisht në trajnim dhe në testim (Nënkapitulli 2.3).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val="0"/>
          <w:caps w:val="0"/>
          <w:sz w:val="24"/>
        </w:rPr>
        <w:t>Rëndësia e veçorive matet me permutation importance mbi fold-in e testimit, sepse rëndësia e bazuar te papastërtia favorizon veçoritë me shumë vlera të ndryshme.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Në ndërfaqe, modeli lexohet nga disku me manifestin e tij dhe pyetet vetëm kur përdoruesi e kërkon; nëse mungon, analiza me rregulla vazhdon dhe shërbimi e njofton me një kod gabimi të veçantë.</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 Te Extract Method, një analizë e rrjedhës së të dhënave kontrollon që blloku i nxjerrë të ketë një dalje të vetme, që asnjë return, break ose continue të mos dalë prej tij, dhe që çdo variabël që lexon të ketë vlerë me siguri.</w:t>
      </w:r>
    </w:p>
    <w:p>
      <w:pPr>
        <w:spacing w:line="360" w:lineRule="auto"/>
        <w:ind w:firstLine="360"/>
        <w:jc w:val="both"/>
      </w:pPr>
      <w:r>
        <w:rPr>
          <w:rFonts w:ascii="Times New Roman" w:hAnsi="Times New Roman" w:eastAsia="Times New Roman"/>
          <w:b w:val="0"/>
          <w:caps w:val="0"/>
          <w:sz w:val="24"/>
        </w:rPr>
        <w:t>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val="0"/>
          <w:caps w:val="0"/>
          <w:sz w:val="24"/>
        </w:rPr>
        <w:t>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Kompilatori thirret me argumente të fiksuara, me kufi kohe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val="0"/>
          <w:caps w:val="0"/>
          <w:sz w:val="24"/>
        </w:rPr>
        <w:t xml:space="preserve">Kompilimi mbulon vetëm gjysmën e përkufizimit të Fowler-it (2018), ruajtjen e sjelljes. Nëse struktura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mesatare e rishikuesve është mbi «none». Maksimumi, minimumi dhe unanimiteti përdoren si analizë ndjeshmërie, sepse rishikuesit e MLCQ-së nuk pajtohen në rreth një të katërtën e mostrave, dhe një shifër e vetme do ta fshihte këtë.</w:t>
      </w:r>
    </w:p>
    <w:p>
      <w:pPr>
        <w:spacing w:line="360" w:lineRule="auto"/>
        <w:ind w:firstLine="360"/>
        <w:jc w:val="both"/>
      </w:pPr>
      <w:r>
        <w:rPr>
          <w:rFonts w:ascii="Times New Roman" w:hAnsi="Times New Roman" w:eastAsia="Times New Roman"/>
          <w:b w:val="0"/>
          <w:caps w:val="0"/>
          <w:sz w:val="24"/>
        </w:rPr>
        <w:t>Mbi këtë përkufizim maten precizioni, recall-i dhe F1, si dhe koeficienti i korrelacionit i Matthews-it (Matthews, 1975), që i merr parasysh të katër qelizat e matricës konfuze. Kjo ka rëndësi kur shumica e etiketave janë negative: një detektor që nuk ndez kurrë del i papërcaktuar sipas tij, ndërsa saktësia e përgjithshme do t'i jepte shifër të lartë.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matet me intervale besimi bootstrap, ku rimostrohen depo të plota e jo mostra të veçanta, që një projekt të mos ndahet. Pajtimi mes vetë rishikuesve të MLCQ-së matet mbi çdo çift rishikimesh të së njëjtës mostër, dhe shërben si tavan për shifrat e detektorëve.</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val="0"/>
          <w:caps w:val="0"/>
          <w:sz w:val="24"/>
        </w:rPr>
        <w:t>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rregull për Feature Envy nuk ka.</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705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3460</w:t>
            </w:r>
          </w:p>
        </w:tc>
        <w:tc>
          <w:tcPr>
            <w:tcW w:type="dxa" w:w="2946"/>
          </w:tcPr>
          <w:p>
            <w:pPr>
              <w:spacing w:line="240" w:lineRule="auto"/>
              <w:jc w:val="left"/>
            </w:pPr>
            <w:r>
              <w:rPr>
                <w:rFonts w:ascii="Times New Roman" w:hAnsi="Times New Roman" w:eastAsia="Times New Roman"/>
                <w:b w:val="0"/>
                <w:caps w:val="0"/>
                <w:sz w:val="22"/>
              </w:rPr>
              <w:t>98.0%</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2</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5</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196</w:t>
            </w:r>
          </w:p>
        </w:tc>
        <w:tc>
          <w:tcPr>
            <w:tcW w:type="dxa" w:w="2946"/>
          </w:tcPr>
          <w:p>
            <w:pPr>
              <w:spacing w:line="240" w:lineRule="auto"/>
              <w:jc w:val="left"/>
            </w:pPr>
            <w:r>
              <w:rPr>
                <w:rFonts w:ascii="Times New Roman" w:hAnsi="Times New Roman" w:eastAsia="Times New Roman"/>
                <w:b w:val="0"/>
                <w:caps w:val="0"/>
                <w:sz w:val="22"/>
              </w:rPr>
              <w:t>110</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5 te 66 nga 201 rishkrime, pra nga 2.5%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Skedari i matjes mban verdiktin e jo mesazhin e kompilatorit, ndaj shkaku i tyre nuk u veçua. Kufirin kohor e kaluan 23 kompilime,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196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8.9).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17).</w:t>
      </w:r>
    </w:p>
    <w:p>
      <w:pPr>
        <w:keepNext/>
        <w:spacing w:line="240" w:lineRule="auto"/>
        <w:jc w:val="center"/>
      </w:pPr>
      <w:r>
        <w:rPr>
          <w:rFonts w:ascii="Times New Roman" w:hAnsi="Times New Roman" w:eastAsia="Times New Roman"/>
          <w:b w:val="0"/>
          <w:caps w:val="0"/>
          <w:sz w:val="22"/>
        </w:rPr>
        <w:t>Tabela 17.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(Shtojca 8.10).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8.11).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18).</w:t>
      </w:r>
    </w:p>
    <w:p>
      <w:pPr>
        <w:keepNext/>
        <w:spacing w:line="240" w:lineRule="auto"/>
        <w:jc w:val="center"/>
      </w:pPr>
      <w:r>
        <w:rPr>
          <w:rFonts w:ascii="Times New Roman" w:hAnsi="Times New Roman" w:eastAsia="Times New Roman"/>
          <w:b w:val="0"/>
          <w:caps w:val="0"/>
          <w:sz w:val="22"/>
        </w:rPr>
        <w:t>Tabela 18.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19).</w:t>
      </w:r>
    </w:p>
    <w:p>
      <w:pPr>
        <w:keepNext/>
        <w:spacing w:line="240" w:lineRule="auto"/>
        <w:jc w:val="center"/>
      </w:pPr>
      <w:r>
        <w:rPr>
          <w:rFonts w:ascii="Times New Roman" w:hAnsi="Times New Roman" w:eastAsia="Times New Roman"/>
          <w:b w:val="0"/>
          <w:caps w:val="0"/>
          <w:sz w:val="22"/>
        </w:rPr>
        <w:t>Tabela 19.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20).</w:t>
      </w:r>
    </w:p>
    <w:p>
      <w:pPr>
        <w:keepNext/>
        <w:spacing w:line="240" w:lineRule="auto"/>
        <w:jc w:val="center"/>
      </w:pPr>
      <w:r>
        <w:rPr>
          <w:rFonts w:ascii="Times New Roman" w:hAnsi="Times New Roman" w:eastAsia="Times New Roman"/>
          <w:b w:val="0"/>
          <w:caps w:val="0"/>
          <w:sz w:val="22"/>
        </w:rPr>
        <w:t>Tabela 20.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21).</w:t>
      </w:r>
    </w:p>
    <w:p>
      <w:pPr>
        <w:keepNext/>
        <w:spacing w:line="240" w:lineRule="auto"/>
        <w:jc w:val="center"/>
      </w:pPr>
      <w:r>
        <w:rPr>
          <w:rFonts w:ascii="Times New Roman" w:hAnsi="Times New Roman" w:eastAsia="Times New Roman"/>
          <w:b w:val="0"/>
          <w:caps w:val="0"/>
          <w:sz w:val="22"/>
        </w:rPr>
        <w:t>Tabela 21.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22).</w:t>
      </w:r>
    </w:p>
    <w:p>
      <w:pPr>
        <w:keepNext/>
        <w:spacing w:line="240" w:lineRule="auto"/>
        <w:jc w:val="center"/>
      </w:pPr>
      <w:r>
        <w:rPr>
          <w:rFonts w:ascii="Times New Roman" w:hAnsi="Times New Roman" w:eastAsia="Times New Roman"/>
          <w:b w:val="0"/>
          <w:caps w:val="0"/>
          <w:sz w:val="22"/>
        </w:rPr>
        <w:t>Tabela 22.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23).</w:t>
      </w:r>
    </w:p>
    <w:p>
      <w:pPr>
        <w:keepNext/>
        <w:spacing w:line="240" w:lineRule="auto"/>
        <w:jc w:val="center"/>
      </w:pPr>
      <w:r>
        <w:rPr>
          <w:rFonts w:ascii="Times New Roman" w:hAnsi="Times New Roman" w:eastAsia="Times New Roman"/>
          <w:b w:val="0"/>
          <w:caps w:val="0"/>
          <w:sz w:val="22"/>
        </w:rPr>
        <w:t>Tabela 23.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24).</w:t>
      </w:r>
    </w:p>
    <w:p>
      <w:pPr>
        <w:keepNext/>
        <w:spacing w:line="240" w:lineRule="auto"/>
        <w:jc w:val="center"/>
      </w:pPr>
      <w:r>
        <w:rPr>
          <w:rFonts w:ascii="Times New Roman" w:hAnsi="Times New Roman" w:eastAsia="Times New Roman"/>
          <w:b w:val="0"/>
          <w:caps w:val="0"/>
          <w:sz w:val="22"/>
        </w:rPr>
        <w:t>Tabela 24.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25).</w:t>
      </w:r>
    </w:p>
    <w:p>
      <w:pPr>
        <w:keepNext/>
        <w:spacing w:line="240" w:lineRule="auto"/>
        <w:jc w:val="center"/>
      </w:pPr>
      <w:r>
        <w:rPr>
          <w:rFonts w:ascii="Times New Roman" w:hAnsi="Times New Roman" w:eastAsia="Times New Roman"/>
          <w:b w:val="0"/>
          <w:caps w:val="0"/>
          <w:sz w:val="22"/>
        </w:rPr>
        <w:t>Tabela 25.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b9db342476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26; Figura 7).</w:t>
      </w:r>
    </w:p>
    <w:p>
      <w:pPr>
        <w:keepNext/>
        <w:spacing w:line="240" w:lineRule="auto"/>
        <w:jc w:val="center"/>
      </w:pPr>
      <w:r>
        <w:rPr>
          <w:rFonts w:ascii="Times New Roman" w:hAnsi="Times New Roman" w:eastAsia="Times New Roman"/>
          <w:b w:val="0"/>
          <w:caps w:val="0"/>
          <w:sz w:val="22"/>
        </w:rPr>
        <w:t>Tabela 26.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27).</w:t>
      </w:r>
    </w:p>
    <w:p>
      <w:pPr>
        <w:keepNext/>
        <w:spacing w:line="240" w:lineRule="auto"/>
        <w:jc w:val="center"/>
      </w:pPr>
      <w:r>
        <w:rPr>
          <w:rFonts w:ascii="Times New Roman" w:hAnsi="Times New Roman" w:eastAsia="Times New Roman"/>
          <w:b w:val="0"/>
          <w:caps w:val="0"/>
          <w:sz w:val="22"/>
        </w:rPr>
        <w:t>Tabela 27.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28).</w:t>
      </w:r>
    </w:p>
    <w:p>
      <w:pPr>
        <w:keepNext/>
        <w:spacing w:line="240" w:lineRule="auto"/>
        <w:jc w:val="center"/>
      </w:pPr>
      <w:r>
        <w:rPr>
          <w:rFonts w:ascii="Times New Roman" w:hAnsi="Times New Roman" w:eastAsia="Times New Roman"/>
          <w:b w:val="0"/>
          <w:caps w:val="0"/>
          <w:sz w:val="22"/>
        </w:rPr>
        <w:t>Tabela 28.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3.4).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29; Tabela 30).</w:t>
      </w:r>
    </w:p>
    <w:p>
      <w:pPr>
        <w:keepNext/>
        <w:spacing w:line="240" w:lineRule="auto"/>
        <w:jc w:val="center"/>
      </w:pPr>
      <w:r>
        <w:rPr>
          <w:rFonts w:ascii="Times New Roman" w:hAnsi="Times New Roman" w:eastAsia="Times New Roman"/>
          <w:b w:val="0"/>
          <w:caps w:val="0"/>
          <w:sz w:val="22"/>
        </w:rPr>
        <w:t>Tabela 29.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30.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31).</w:t>
      </w:r>
    </w:p>
    <w:p>
      <w:pPr>
        <w:keepNext/>
        <w:spacing w:line="240" w:lineRule="auto"/>
        <w:jc w:val="center"/>
      </w:pPr>
      <w:r>
        <w:rPr>
          <w:rFonts w:ascii="Times New Roman" w:hAnsi="Times New Roman" w:eastAsia="Times New Roman"/>
          <w:b w:val="0"/>
          <w:caps w:val="0"/>
          <w:sz w:val="22"/>
        </w:rPr>
        <w:t>Tabela 31.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keepNext/>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32; Figura 9).</w:t>
      </w:r>
    </w:p>
    <w:p>
      <w:pPr>
        <w:keepNext/>
        <w:spacing w:line="240" w:lineRule="auto"/>
        <w:jc w:val="center"/>
      </w:pPr>
      <w:r>
        <w:rPr>
          <w:rFonts w:ascii="Times New Roman" w:hAnsi="Times New Roman" w:eastAsia="Times New Roman"/>
          <w:b w:val="0"/>
          <w:caps w:val="0"/>
          <w:sz w:val="22"/>
        </w:rPr>
        <w:t>Tabela 32.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33):</w:t>
      </w:r>
    </w:p>
    <w:p>
      <w:pPr>
        <w:keepNext/>
        <w:spacing w:line="240" w:lineRule="auto"/>
        <w:jc w:val="center"/>
      </w:pPr>
      <w:r>
        <w:rPr>
          <w:rFonts w:ascii="Times New Roman" w:hAnsi="Times New Roman" w:eastAsia="Times New Roman"/>
          <w:b w:val="0"/>
          <w:caps w:val="0"/>
          <w:sz w:val="22"/>
        </w:rPr>
        <w:t>Tabela 33.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97.2%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34).</w:t>
      </w:r>
    </w:p>
    <w:p>
      <w:pPr>
        <w:keepNext/>
        <w:spacing w:line="240" w:lineRule="auto"/>
        <w:jc w:val="center"/>
      </w:pPr>
      <w:r>
        <w:rPr>
          <w:rFonts w:ascii="Times New Roman" w:hAnsi="Times New Roman" w:eastAsia="Times New Roman"/>
          <w:b w:val="0"/>
          <w:caps w:val="0"/>
          <w:sz w:val="22"/>
        </w:rPr>
        <w:t>Tabela 34.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