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refuzimi trajtohet si rezultat i saktë dhe numërohet.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Nga vendet e detektuara te erërat e hequra</w:t>
      </w:r>
    </w:p>
    <w:p>
      <w:pPr>
        <w:spacing w:line="360" w:lineRule="auto"/>
        <w:ind w:firstLine="360"/>
        <w:jc w:val="both"/>
      </w:pPr>
      <w:r>
        <w:rPr>
          <w:rFonts w:ascii="Times New Roman" w:hAnsi="Times New Roman" w:eastAsia="Times New Roman"/>
          <w:b w:val="0"/>
          <w:caps w:val="0"/>
          <w:sz w:val="24"/>
        </w:rPr>
        <w:t>Figura 8. Pranueshmëria e rishkrimeve sipas transformimit</w:t>
      </w:r>
    </w:p>
    <w:p>
      <w:pPr>
        <w:spacing w:line="360" w:lineRule="auto"/>
        <w:ind w:firstLine="360"/>
        <w:jc w:val="both"/>
      </w:pPr>
      <w:r>
        <w:rPr>
          <w:rFonts w:ascii="Times New Roman" w:hAnsi="Times New Roman" w:eastAsia="Times New Roman"/>
          <w:b w:val="0"/>
          <w:caps w:val="0"/>
          <w:sz w:val="24"/>
        </w:rPr>
        <w:t>Figura 9. Dy arsyet kryesore të refuzimit sipas nivelit të ashpërsisë</w:t>
      </w:r>
    </w:p>
    <w:p>
      <w:pPr>
        <w:spacing w:line="360" w:lineRule="auto"/>
        <w:ind w:firstLine="360"/>
        <w:jc w:val="both"/>
      </w:pPr>
      <w:r>
        <w:rPr>
          <w:rFonts w:ascii="Times New Roman" w:hAnsi="Times New Roman" w:eastAsia="Times New Roman"/>
          <w:b w:val="0"/>
          <w:caps w:val="0"/>
          <w:sz w:val="24"/>
        </w:rPr>
        <w:t>Figura 10. Ndjeshmëria e MCC-së ndaj zhvendosjes së pragjeve</w:t>
      </w:r>
    </w:p>
    <w:p>
      <w:pPr>
        <w:spacing w:line="360" w:lineRule="auto"/>
        <w:ind w:firstLine="360"/>
        <w:jc w:val="both"/>
      </w:pPr>
      <w:r>
        <w:rPr>
          <w:rFonts w:ascii="Times New Roman" w:hAnsi="Times New Roman" w:eastAsia="Times New Roman"/>
          <w:b w:val="0"/>
          <w:caps w:val="0"/>
          <w:sz w:val="24"/>
        </w:rPr>
        <w:t>Figura 11. MCC me interval besimi 95% për të dyja qasjet</w:t>
      </w:r>
    </w:p>
    <w:p>
      <w:pPr>
        <w:spacing w:line="360" w:lineRule="auto"/>
        <w:ind w:firstLine="360"/>
        <w:jc w:val="both"/>
      </w:pPr>
      <w:r>
        <w:rPr>
          <w:rFonts w:ascii="Times New Roman" w:hAnsi="Times New Roman" w:eastAsia="Times New Roman"/>
          <w:b w:val="0"/>
          <w:caps w:val="0"/>
          <w:sz w:val="24"/>
        </w:rPr>
        <w:t>Figura 12. Ashpërsia e derivuar kundrejt asaj që caktuan rishikuesit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MCC me metrikat e strategjisë dhe me të gjitha metrikat</w:t>
      </w:r>
    </w:p>
    <w:p>
      <w:pPr>
        <w:spacing w:line="360" w:lineRule="auto"/>
        <w:ind w:firstLine="360"/>
        <w:jc w:val="both"/>
      </w:pPr>
      <w:r>
        <w:rPr>
          <w:rFonts w:ascii="Times New Roman" w:hAnsi="Times New Roman" w:eastAsia="Times New Roman"/>
          <w:b w:val="0"/>
          <w:caps w:val="0"/>
          <w:sz w:val="24"/>
        </w:rPr>
        <w:t>Tabela 7. Pajtimi mes dy qasjeve</w:t>
      </w:r>
    </w:p>
    <w:p>
      <w:pPr>
        <w:spacing w:line="360" w:lineRule="auto"/>
        <w:ind w:firstLine="360"/>
        <w:jc w:val="both"/>
      </w:pPr>
      <w:r>
        <w:rPr>
          <w:rFonts w:ascii="Times New Roman" w:hAnsi="Times New Roman" w:eastAsia="Times New Roman"/>
          <w:b w:val="0"/>
          <w:caps w:val="0"/>
          <w:sz w:val="24"/>
        </w:rPr>
        <w:t>Tabela 8. Të dyja qasjet së bashku</w:t>
      </w:r>
    </w:p>
    <w:p>
      <w:pPr>
        <w:spacing w:line="360" w:lineRule="auto"/>
        <w:ind w:firstLine="360"/>
        <w:jc w:val="both"/>
      </w:pPr>
      <w:r>
        <w:rPr>
          <w:rFonts w:ascii="Times New Roman" w:hAnsi="Times New Roman" w:eastAsia="Times New Roman"/>
          <w:b w:val="0"/>
          <w:caps w:val="0"/>
          <w:sz w:val="24"/>
        </w:rPr>
        <w:t>Tabela 9. Rezultati i motorit të refaktorimit</w:t>
      </w:r>
    </w:p>
    <w:p>
      <w:pPr>
        <w:spacing w:line="360" w:lineRule="auto"/>
        <w:ind w:firstLine="360"/>
        <w:jc w:val="both"/>
      </w:pPr>
      <w:r>
        <w:rPr>
          <w:rFonts w:ascii="Times New Roman" w:hAnsi="Times New Roman" w:eastAsia="Times New Roman"/>
          <w:b w:val="0"/>
          <w:caps w:val="0"/>
          <w:sz w:val="24"/>
        </w:rPr>
        <w:t>Tabela 10. Pse u refuzuan</w:t>
      </w:r>
    </w:p>
    <w:p>
      <w:pPr>
        <w:spacing w:line="360" w:lineRule="auto"/>
        <w:ind w:firstLine="360"/>
        <w:jc w:val="both"/>
      </w:pPr>
      <w:r>
        <w:rPr>
          <w:rFonts w:ascii="Times New Roman" w:hAnsi="Times New Roman" w:eastAsia="Times New Roman"/>
          <w:b w:val="0"/>
          <w:caps w:val="0"/>
          <w:sz w:val="24"/>
        </w:rPr>
        <w:t>Tabela 11. Verifikimi i atyre që u aplikuan</w:t>
      </w:r>
    </w:p>
    <w:p>
      <w:pPr>
        <w:spacing w:line="360" w:lineRule="auto"/>
        <w:ind w:firstLine="360"/>
        <w:jc w:val="both"/>
      </w:pPr>
      <w:r>
        <w:rPr>
          <w:rFonts w:ascii="Times New Roman" w:hAnsi="Times New Roman" w:eastAsia="Times New Roman"/>
          <w:b w:val="0"/>
          <w:caps w:val="0"/>
          <w:sz w:val="24"/>
        </w:rPr>
        <w:t>Tabela 12. A u hoq era pas rishkrimit</w:t>
      </w:r>
    </w:p>
    <w:p>
      <w:pPr>
        <w:spacing w:line="360" w:lineRule="auto"/>
        <w:ind w:firstLine="360"/>
        <w:jc w:val="both"/>
      </w:pPr>
      <w:r>
        <w:rPr>
          <w:rFonts w:ascii="Times New Roman" w:hAnsi="Times New Roman" w:eastAsia="Times New Roman"/>
          <w:b w:val="0"/>
          <w:caps w:val="0"/>
          <w:sz w:val="24"/>
        </w:rPr>
        <w:t>Tabela 13. Sa lëvizi matja pas rishkrimit</w:t>
      </w:r>
    </w:p>
    <w:p>
      <w:pPr>
        <w:spacing w:line="360" w:lineRule="auto"/>
        <w:ind w:firstLine="360"/>
        <w:jc w:val="both"/>
      </w:pPr>
      <w:r>
        <w:rPr>
          <w:rFonts w:ascii="Times New Roman" w:hAnsi="Times New Roman" w:eastAsia="Times New Roman"/>
          <w:b w:val="0"/>
          <w:caps w:val="0"/>
          <w:sz w:val="24"/>
        </w:rPr>
        <w:t>Tabela 14.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15. Pranueshmëria e rishkrimeve sipas rishikuesit</w:t>
      </w:r>
    </w:p>
    <w:p>
      <w:pPr>
        <w:spacing w:line="360" w:lineRule="auto"/>
        <w:ind w:firstLine="360"/>
        <w:jc w:val="both"/>
      </w:pPr>
      <w:r>
        <w:rPr>
          <w:rFonts w:ascii="Times New Roman" w:hAnsi="Times New Roman" w:eastAsia="Times New Roman"/>
          <w:b w:val="0"/>
          <w:caps w:val="0"/>
          <w:sz w:val="24"/>
        </w:rPr>
        <w:t>Tabela 16. Norma e transformimit sipas erës dhe ashpërsisë</w:t>
      </w:r>
    </w:p>
    <w:p>
      <w:pPr>
        <w:spacing w:line="360" w:lineRule="auto"/>
        <w:ind w:firstLine="360"/>
        <w:jc w:val="both"/>
      </w:pPr>
      <w:r>
        <w:rPr>
          <w:rFonts w:ascii="Times New Roman" w:hAnsi="Times New Roman" w:eastAsia="Times New Roman"/>
          <w:b w:val="0"/>
          <w:caps w:val="0"/>
          <w:sz w:val="24"/>
        </w:rPr>
        <w:t>Tabela 17. Përbërja e arsyeve të refuzimit brenda çdo niveli</w:t>
      </w:r>
    </w:p>
    <w:p>
      <w:pPr>
        <w:spacing w:line="360" w:lineRule="auto"/>
        <w:ind w:firstLine="360"/>
        <w:jc w:val="both"/>
      </w:pPr>
      <w:r>
        <w:rPr>
          <w:rFonts w:ascii="Times New Roman" w:hAnsi="Times New Roman" w:eastAsia="Times New Roman"/>
          <w:b w:val="0"/>
          <w:caps w:val="0"/>
          <w:sz w:val="24"/>
        </w:rPr>
        <w:t>Tabela 18. Sa lëviz MCC-ja kur zhvendoset një prag</w:t>
      </w:r>
    </w:p>
    <w:p>
      <w:pPr>
        <w:spacing w:line="360" w:lineRule="auto"/>
        <w:ind w:firstLine="360"/>
        <w:jc w:val="both"/>
      </w:pPr>
      <w:r>
        <w:rPr>
          <w:rFonts w:ascii="Times New Roman" w:hAnsi="Times New Roman" w:eastAsia="Times New Roman"/>
          <w:b w:val="0"/>
          <w:caps w:val="0"/>
          <w:sz w:val="24"/>
        </w:rPr>
        <w:t>Tabela 19.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20.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21. Intervale besimi 95% për MCC-në</w:t>
      </w:r>
    </w:p>
    <w:p>
      <w:pPr>
        <w:spacing w:line="360" w:lineRule="auto"/>
        <w:ind w:firstLine="360"/>
        <w:jc w:val="both"/>
      </w:pPr>
      <w:r>
        <w:rPr>
          <w:rFonts w:ascii="Times New Roman" w:hAnsi="Times New Roman" w:eastAsia="Times New Roman"/>
          <w:b w:val="0"/>
          <w:caps w:val="0"/>
          <w:sz w:val="24"/>
        </w:rPr>
        <w:t>Tabela 22. B − A kur rregullat marrin pragun e tyre më të mirë</w:t>
      </w:r>
    </w:p>
    <w:p>
      <w:pPr>
        <w:spacing w:line="360" w:lineRule="auto"/>
        <w:ind w:firstLine="360"/>
        <w:jc w:val="both"/>
      </w:pPr>
      <w:r>
        <w:rPr>
          <w:rFonts w:ascii="Times New Roman" w:hAnsi="Times New Roman" w:eastAsia="Times New Roman"/>
          <w:b w:val="0"/>
          <w:caps w:val="0"/>
          <w:sz w:val="24"/>
        </w:rPr>
        <w:t>Tabela 23. Sa pajtohen rishikuesit me njëri-tjetrin</w:t>
      </w:r>
    </w:p>
    <w:p>
      <w:pPr>
        <w:spacing w:line="360" w:lineRule="auto"/>
        <w:ind w:firstLine="360"/>
        <w:jc w:val="both"/>
      </w:pPr>
      <w:r>
        <w:rPr>
          <w:rFonts w:ascii="Times New Roman" w:hAnsi="Times New Roman" w:eastAsia="Times New Roman"/>
          <w:b w:val="0"/>
          <w:caps w:val="0"/>
          <w:sz w:val="24"/>
        </w:rPr>
        <w:t>Tabela 24. Shifrat kryesore sipas pyetjes kërkimore</w:t>
      </w:r>
    </w:p>
    <w:p>
      <w:pPr>
        <w:spacing w:line="360" w:lineRule="auto"/>
        <w:ind w:firstLine="360"/>
        <w:jc w:val="both"/>
      </w:pPr>
      <w:r>
        <w:rPr>
          <w:rFonts w:ascii="Times New Roman" w:hAnsi="Times New Roman" w:eastAsia="Times New Roman"/>
          <w:b w:val="0"/>
          <w:caps w:val="0"/>
          <w:sz w:val="24"/>
        </w:rPr>
        <w:t>Tabela 25. Krahasimi i MCC-së me Madeyski &amp; Lewowski (2023), mbi MLCQ</w:t>
      </w:r>
    </w:p>
    <w:p>
      <w:pPr>
        <w:spacing w:line="360" w:lineRule="auto"/>
        <w:ind w:firstLine="360"/>
        <w:jc w:val="both"/>
      </w:pPr>
      <w:r>
        <w:rPr>
          <w:rFonts w:ascii="Times New Roman" w:hAnsi="Times New Roman" w:eastAsia="Times New Roman"/>
          <w:b w:val="0"/>
          <w:caps w:val="0"/>
          <w:sz w:val="24"/>
        </w:rPr>
        <w:t>Tabela 26. Gjetjet e punimit përballë literaturës</w:t>
      </w:r>
    </w:p>
    <w:p>
      <w:pPr>
        <w:spacing w:line="360" w:lineRule="auto"/>
        <w:ind w:firstLine="360"/>
        <w:jc w:val="both"/>
      </w:pPr>
      <w:r>
        <w:rPr>
          <w:rFonts w:ascii="Times New Roman" w:hAnsi="Times New Roman" w:eastAsia="Times New Roman"/>
          <w:b w:val="0"/>
          <w:caps w:val="0"/>
          <w:sz w:val="24"/>
        </w:rPr>
        <w:t>Tabela 27. Përgjigjet e shkurtra ndaj pyetjeve kërkimore</w:t>
      </w:r>
    </w:p>
    <w:p>
      <w:pPr>
        <w:spacing w:line="360" w:lineRule="auto"/>
        <w:ind w:firstLine="360"/>
        <w:jc w:val="both"/>
      </w:pPr>
      <w:r>
        <w:rPr>
          <w:rFonts w:ascii="Times New Roman" w:hAnsi="Times New Roman" w:eastAsia="Times New Roman"/>
          <w:b w:val="0"/>
          <w:caps w:val="0"/>
          <w:sz w:val="24"/>
        </w:rPr>
        <w:t>Tabela 28. Strategjitë e detektimit dhe burimet e tyre</w:t>
      </w:r>
    </w:p>
    <w:p>
      <w:pPr>
        <w:spacing w:line="360" w:lineRule="auto"/>
        <w:ind w:firstLine="360"/>
        <w:jc w:val="both"/>
      </w:pPr>
      <w:r>
        <w:rPr>
          <w:rFonts w:ascii="Times New Roman" w:hAnsi="Times New Roman" w:eastAsia="Times New Roman"/>
          <w:b w:val="0"/>
          <w:caps w:val="0"/>
          <w:sz w:val="24"/>
        </w:rPr>
        <w:t>Tabela 29. Kuantifikuesit e përgjithshëm</w:t>
      </w:r>
    </w:p>
    <w:p>
      <w:pPr>
        <w:spacing w:line="360" w:lineRule="auto"/>
        <w:ind w:firstLine="360"/>
        <w:jc w:val="both"/>
      </w:pPr>
      <w:r>
        <w:rPr>
          <w:rFonts w:ascii="Times New Roman" w:hAnsi="Times New Roman" w:eastAsia="Times New Roman"/>
          <w:b w:val="0"/>
          <w:caps w:val="0"/>
          <w:sz w:val="24"/>
        </w:rPr>
        <w:t>Tabela 30. Pragjet e përdorura</w:t>
      </w:r>
    </w:p>
    <w:p>
      <w:pPr>
        <w:spacing w:line="360" w:lineRule="auto"/>
        <w:ind w:firstLine="360"/>
        <w:jc w:val="both"/>
      </w:pPr>
      <w:r>
        <w:rPr>
          <w:rFonts w:ascii="Times New Roman" w:hAnsi="Times New Roman" w:eastAsia="Times New Roman"/>
          <w:b w:val="0"/>
          <w:caps w:val="0"/>
          <w:sz w:val="24"/>
        </w:rPr>
        <w:t>Tabela 31. Metrikat sipas nivelit</w:t>
      </w:r>
    </w:p>
    <w:p>
      <w:pPr>
        <w:spacing w:line="360" w:lineRule="auto"/>
        <w:ind w:firstLine="360"/>
        <w:jc w:val="both"/>
      </w:pPr>
      <w:r>
        <w:rPr>
          <w:rFonts w:ascii="Times New Roman" w:hAnsi="Times New Roman" w:eastAsia="Times New Roman"/>
          <w:b w:val="0"/>
          <w:caps w:val="0"/>
          <w:sz w:val="24"/>
        </w:rPr>
        <w:t>Tabela 32. Çka propozohet dhe çka aplikohet</w:t>
      </w:r>
    </w:p>
    <w:p>
      <w:pPr>
        <w:spacing w:line="360" w:lineRule="auto"/>
        <w:ind w:firstLine="360"/>
        <w:jc w:val="both"/>
      </w:pPr>
      <w:r>
        <w:rPr>
          <w:rFonts w:ascii="Times New Roman" w:hAnsi="Times New Roman" w:eastAsia="Times New Roman"/>
          <w:b w:val="0"/>
          <w:caps w:val="0"/>
          <w:sz w:val="24"/>
        </w:rPr>
        <w:t>Tabela 33. Arsyet e refuzimit</w:t>
      </w:r>
    </w:p>
    <w:p>
      <w:pPr>
        <w:spacing w:line="360" w:lineRule="auto"/>
        <w:ind w:firstLine="360"/>
        <w:jc w:val="both"/>
      </w:pPr>
      <w:r>
        <w:rPr>
          <w:rFonts w:ascii="Times New Roman" w:hAnsi="Times New Roman" w:eastAsia="Times New Roman"/>
          <w:b w:val="0"/>
          <w:caps w:val="0"/>
          <w:sz w:val="24"/>
        </w:rPr>
        <w:t>Tabela 34. Radha e ekzekutimit</w:t>
      </w:r>
    </w:p>
    <w:p>
      <w:pPr>
        <w:spacing w:line="360" w:lineRule="auto"/>
        <w:ind w:firstLine="360"/>
        <w:jc w:val="both"/>
      </w:pPr>
      <w:r>
        <w:rPr>
          <w:rFonts w:ascii="Times New Roman" w:hAnsi="Times New Roman" w:eastAsia="Times New Roman"/>
          <w:b w:val="0"/>
          <w:caps w:val="0"/>
          <w:sz w:val="24"/>
        </w:rPr>
        <w:t>Tabela 35. Commit-i që prodhoi çdo skedar rezultati</w:t>
      </w:r>
    </w:p>
    <w:p>
      <w:pPr>
        <w:spacing w:line="360" w:lineRule="auto"/>
        <w:ind w:firstLine="360"/>
        <w:jc w:val="both"/>
      </w:pPr>
      <w:r>
        <w:rPr>
          <w:rFonts w:ascii="Times New Roman" w:hAnsi="Times New Roman" w:eastAsia="Times New Roman"/>
          <w:b w:val="0"/>
          <w:caps w:val="0"/>
          <w:sz w:val="24"/>
        </w:rPr>
        <w:t>Tabela 36. Sa klauzola dështuan te secila mospërputhje</w:t>
      </w:r>
    </w:p>
    <w:p>
      <w:pPr>
        <w:spacing w:line="360" w:lineRule="auto"/>
        <w:ind w:firstLine="360"/>
        <w:jc w:val="both"/>
      </w:pPr>
      <w:r>
        <w:rPr>
          <w:rFonts w:ascii="Times New Roman" w:hAnsi="Times New Roman" w:eastAsia="Times New Roman"/>
          <w:b w:val="0"/>
          <w:caps w:val="0"/>
          <w:sz w:val="24"/>
        </w:rPr>
        <w:t>Tabela 37. Kur një klauzolë e vetme e ndal strategjinë</w:t>
      </w:r>
    </w:p>
    <w:p>
      <w:pPr>
        <w:spacing w:line="360" w:lineRule="auto"/>
        <w:ind w:firstLine="360"/>
        <w:jc w:val="both"/>
      </w:pPr>
      <w:r>
        <w:rPr>
          <w:rFonts w:ascii="Times New Roman" w:hAnsi="Times New Roman" w:eastAsia="Times New Roman"/>
          <w:b w:val="0"/>
          <w:caps w:val="0"/>
          <w:sz w:val="24"/>
        </w:rPr>
        <w:t>Tabela 38. Pajtimi i ashpërsisë me rishikuesit</w:t>
      </w:r>
    </w:p>
    <w:p>
      <w:pPr>
        <w:spacing w:line="360" w:lineRule="auto"/>
        <w:ind w:firstLine="360"/>
        <w:jc w:val="both"/>
      </w:pPr>
      <w:r>
        <w:rPr>
          <w:rFonts w:ascii="Times New Roman" w:hAnsi="Times New Roman" w:eastAsia="Times New Roman"/>
          <w:b w:val="0"/>
          <w:caps w:val="0"/>
          <w:sz w:val="24"/>
        </w:rPr>
        <w:t>Tabela 39.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40.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41.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Bootstrap – rimostrim me kthim për të vlerësuar pasigurinë e një treguesi</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Commit – një gjendje e ruajtur e kodit në historikun e git-it</w:t>
      </w:r>
    </w:p>
    <w:p>
      <w:pPr>
        <w:pStyle w:val="ListBullet"/>
        <w:spacing w:line="360" w:lineRule="auto"/>
        <w:jc w:val="both"/>
      </w:pPr>
      <w:r>
        <w:rPr>
          <w:rFonts w:ascii="Times New Roman" w:hAnsi="Times New Roman" w:eastAsia="Times New Roman"/>
          <w:b w:val="0"/>
          <w:caps w:val="0"/>
          <w:sz w:val="24"/>
        </w:rPr>
        <w:t>Dataset – bashkësi të dhënash e etiketuar</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Diff / patch – dallimi mes kodit para dhe pas një rishkrimi</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Fold – njëra nga pjesët në të cilat ndahet bashkësia për validim të kryqëzuar</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IB – interval besimi</w:t>
      </w:r>
    </w:p>
    <w:p>
      <w:pPr>
        <w:pStyle w:val="ListBullet"/>
        <w:spacing w:line="360" w:lineRule="auto"/>
        <w:jc w:val="both"/>
      </w:pPr>
      <w:r>
        <w:rPr>
          <w:rFonts w:ascii="Times New Roman" w:hAnsi="Times New Roman" w:eastAsia="Times New Roman"/>
          <w:b w:val="0"/>
          <w:caps w:val="0"/>
          <w:sz w:val="24"/>
        </w:rPr>
        <w:t>JDK – Java Development Kit, që përmban kompilatorin javac</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PK – pyetje kërkimore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Precizion – pjesa e rasteve të shënuara që janë vërtet pozitive</w:t>
      </w:r>
    </w:p>
    <w:p>
      <w:pPr>
        <w:pStyle w:val="ListBullet"/>
        <w:spacing w:line="360" w:lineRule="auto"/>
        <w:jc w:val="both"/>
      </w:pPr>
      <w:r>
        <w:rPr>
          <w:rFonts w:ascii="Times New Roman" w:hAnsi="Times New Roman" w:eastAsia="Times New Roman"/>
          <w:b w:val="0"/>
          <w:caps w:val="0"/>
          <w:sz w:val="24"/>
        </w:rPr>
        <w:t>Recall – pjesa e rasteve pozitive që detektori i gjen</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shpesh vite pasi u shkrua dhe nga njerëz që nuk e shkruan vetë. Lehman (1980) e formuloi këtë si ligj: një sistem që përdoret në një mjedis real duhet të ndryshojë vazhdimisht, përndryshe bëhet gradualisht më pak i dobishëm. Po ai vuri re se me çdo ndryshim kompleksiteti i sistemit rritet, përveç kur dikush punon qëllimisht për ta ulur. Prandaj sa lehtë ndryshohet kodi është kosto e përditshme për çdo ekip, dhe ajo kosto rritet me moshën e sistemit.</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 Studimet empirike e lidhin këtë metaforë me kosto reale, sepse kodi me erëra ka më shumë gjasë të ndryshojë dhe të përmbajë defekte (Palomba et al., 2018).</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Rishikimi i kodit e kap një erë vetëm kur dikush e sheh dhe ka kohë ta ndreqë, dy shqyrtues shpesh nuk pajtohen se çfarë është problem, dhe një rishkrim me dorë mund ta prishë programin pikërisht aty ku synonte ta përmirësonte. Problemi pra nuk është mungesa e një përkufizimi, por mungesa e një mënyre të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Kontributi i tij kryesor është një zinxhir i vetëm që i lidh tre hapa që literatura zakonisht i trajton veç e veç: detektimin e erës, rishkrimin e kodit dhe verifikimin e rishkrimit. Konkretisht, punimi sjell tri gjëra. E para, një krahasim të drejtpërdrejtë të dy qasjeve të detektimit, strategjive me metrika dhe një klasifikuesi të trajnuar mbi të njëjtat metrika, mbi të njëjtin dataset publik të etiketuar nga zhvillues profesionistë, me të njëjtën ndarje të të dhënave dhe me të njëjtën mënyrë pikëzimi. E dyta, një motor refaktorimi që nuk ndalet te njoftimi: e rishkruan kodin kur transformimi është i sigurt, dhe kur nuk është, e refuzon dhe e shënon arsyen. E treta, matjen e asaj që ndodh pas rishkrimit, pra nëse kodi kompilon ende dhe nëse era u hoq vërtet. I gjithë eksperimenti riprodhohet me komanda të dokumentuara.</w:t>
      </w:r>
    </w:p>
    <w:p>
      <w:pPr>
        <w:spacing w:line="360" w:lineRule="auto"/>
        <w:ind w:firstLine="360"/>
        <w:jc w:val="both"/>
      </w:pPr>
      <w:r>
        <w:rPr>
          <w:rFonts w:ascii="Times New Roman" w:hAnsi="Times New Roman" w:eastAsia="Times New Roman"/>
          <w:b w:val="0"/>
          <w:caps w:val="0"/>
          <w:sz w:val="24"/>
        </w:rPr>
        <w:t>Një transformim quhet këtu i sigurt kur plotëson dy kushte. Para aplikimit duhet të provohen parakushtet e tij, në kuptimin e Opdyke (1992): për shembull, Extract Method refuzohet kur nga blloku që do të nxirret del një return, break ose continue, sepse metoda e re do ta ndryshonte rrjedhën e programit. Ky kontroll bëhet mbi pemën sintaksore të kodit, jo mbi tekstin e tij. Pas aplikimit, rishkrimi kontrollohet në tri mënyra: skedari duhet të parsohet sërish, kompilatori javac nuk duhet të japë asnjë lloj të ri gabimi krahasuar me versionin para rishkrimit, dhe klasa matet sërish me të njëjtët detektorë për të parë nëse era u hoq. Siguria në këtë punim do të thotë pra se kodi mbetet i vlefshëm dhe se era hiqet. Që programi të sillet njësoj edhe kur ekzekutohet do të ishte garanci më e fortë, por ky punim nuk e jep (Nënkapitulli 3.4).</w:t>
      </w:r>
    </w:p>
    <w:p>
      <w:pPr>
        <w:spacing w:line="360" w:lineRule="auto"/>
        <w:ind w:firstLine="360"/>
        <w:jc w:val="both"/>
      </w:pPr>
      <w:r>
        <w:rPr>
          <w:rFonts w:ascii="Times New Roman" w:hAnsi="Times New Roman" w:eastAsia="Times New Roman"/>
          <w:b w:val="0"/>
          <w:caps w:val="0"/>
          <w:sz w:val="24"/>
        </w:rPr>
        <w:t>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&amp; Spinellis (2018) dhe ai i Azeem et al. (2019),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hendekun që adreson ky punim.</w:t>
      </w:r>
    </w:p>
    <w:p>
      <w:pPr>
        <w:pStyle w:val="Heading2"/>
      </w:pPr>
      <w:r>
        <w:rPr>
          <w:rFonts w:ascii="Times New Roman" w:hAnsi="Times New Roman" w:eastAsia="Times New Roman"/>
          <w:b/>
          <w:caps w:val="0"/>
          <w:sz w:val="24"/>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(2012) detektuan trembëdhjetë antimodele në 54 versione të katër sistemeve Java, ArgoUML, Eclipse, Mylyn dhe Rhino, dhe gjetën se klasat që marrin pjesë në to ndryshojnë dhe përmbajnë defekte më shpesh se klasat e tjera. Palomba et al. (2018)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(2013)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(2015) ndoqën historikun e 200 projekteve me burim të hapur për të parë kur lindin erërat. Shumica e tyre futen që kur krijohet klasa ose metoda, jo gradualisht gjatë evolucionit, dhe rreth katër të pestat mbijetojnë në sistem.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&amp; Moonen (2013)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4"/>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&amp; Kemerer (1994),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(1976),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(1996) propozoi një variant të normalizuar mes 0 dhe 1, ndërsa Bieman &amp; Kang (1995)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&amp; Marinescu (2006) i organizojnë metrikat në tri përmasa: madhësinë dhe kompleksitetin, lidhjen me klasat e tjera, dhe trashëgiminë. Ata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4"/>
        </w:rPr>
        <w:t>2.3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ndaj vlefshmëria e tyre në një korpus tjetër mbetet pyetje e hapur.</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(PMD Team, 2026),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4"/>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(2016) kryen një nga eksperimentet më të mëdha të këtij lloji: gjashtëmbëdhjetë algoritme mbi katër erëra (Data Class, Large Class, Feature Envy dhe Long Method), me 1986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&amp; Lewowski (2023)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(2007)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4"/>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ndaj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2.6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&amp; Tourwé (2004),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(2015),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4"/>
        </w:rPr>
        <w:t>2.7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dhe nëse ndreqja e heq vërtet.</w:t>
      </w:r>
    </w:p>
    <w:p>
      <w:pPr>
        <w:spacing w:line="360" w:lineRule="auto"/>
        <w:ind w:firstLine="360"/>
        <w:jc w:val="both"/>
      </w:pPr>
      <w:r>
        <w:rPr>
          <w:rFonts w:ascii="Times New Roman" w:hAnsi="Times New Roman" w:eastAsia="Times New Roman"/>
          <w:b w:val="0"/>
          <w:caps w:val="0"/>
          <w:sz w:val="24"/>
        </w:rPr>
        <w:t>Ky punim u përgjigjet të triave, dhe pikërisht kjo e dallon nga studimet e përmendura. Ndryshe nga Lanza &amp; Marinescu (2006), pragjet e strategjive nuk merren si të sakta, por maten kundrejt gjykimit të zhvilluesve profesionistë të MLCQ-së. Ndryshe nga Arcelli Fontana et al. (2016), rregullat dhe modelet vlerësohen mbi të njëjtat mostra, me të njëjtin kod pikëzimi, dhe ndarja e të dhënave bëhet sipas depos, ndaj shifra nuk fryhet nga mostra të të njëjtit projekt në trajnim dhe në testim. Ndryshe nga Madeyski &amp; Lewowski (2023), që përdorën metrikat e mjeteve të përgjithshme të analizës statike, modeli trajnohet mbi metrikat e vetë sistemit, përfshirë ato që lexojnë strategjitë, dhe një ablacion me vetëm metrikat e strategjisë tregon sa nga dallimi vjen nga kufiri i mësuar. Ndryshe nga Tsantalis &amp; Chatzigeorgiou (2009), që propozojnë një transformim dhe vendimin ia lënë projektuesit, këtu transformimi aplikohet, verifikohet me kompilator dhe matet nëse e hoqi erën, sepse Bavota et al. (2015) treguan se refaktorimi rrallë e heq erën vetvetiu.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mund të aplikohen automatikisht refaktorimet e propozuara pa shtuar gabime të reja kompilimi, dhe a e heqin ato erën për të cilën u propozuan, sipas rimatjes me të njëjtat metrika?</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prandaj, nuk është pjesë e PK3 dhe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ndaj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e sigurta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ndaj asnjëra prej tyre nuk u shkrua nga e para. FastAPI dhe Pydantic e validojnë çdo kërkesë nga tipet e deklaruara, dhe TypeScript e bën kontratën me ndërfaqen të kontrollueshme që gjatë ndërtimit. JDK 21 është versioni me mbështetje afatgjatë, ndaj javac-u i tij është kompilatori i verifikimit. PMD zgjidhet si mjet i jashtëm krahasimi, sepse zbaton dy nga strategjitë e Lanza &amp; Marinescu (2006) dhe është i lirë.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14 739 rishikime të 4770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mostër merret mesatarja e tyre,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Çdo mostër pikëzohet vetëm për erën për të cilën u rishikua, ndaj një mostër e Blob-it nuk hyn si negative në vlerësimin e Data Class-it.</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ndaj matja anon nga vlera më e ulët.</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19" w:val="center"/>
          <w:tab w:pos="8838"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19" w:val="center"/>
          <w:tab w:pos="8838"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19" w:val="center"/>
          <w:tab w:pos="8838"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Shkalla është ajo e MLCQ-së, ndaj ashpërsia e derivuar krahasohet drejtpërdrejt me atë të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akordohen: akordimi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(2012)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permutation importance mbi fold-in e testimit, me dhjetë përsëritje, sepse rëndësia e bazuar te papastërtia favorizon veçoritë me shumë vlera të ndryshme (Strobl et al., 2007).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ndaj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dëshmon vetëm se rishkrimi mbetet kod i vlefshëm. Përkufizimi i Fowler-it (2018) kërkon edhe që struktura të përmirësohet, dhe nëse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konfuze, TP janë mostrat pozitive që detektori i shënon, FP negativët që shënon, FN pozitivët që i humbet dhe TN negativët që i lë. Prej saj llogariten precizioni, recall-i dhe F1:</w:t>
      </w:r>
    </w:p>
    <w:p>
      <w:pPr>
        <w:keepLines/>
        <w:tabs>
          <w:tab w:pos="4419" w:val="center"/>
          <w:tab w:pos="8838" w:val="right"/>
        </w:tabs>
        <w:spacing w:line="360" w:lineRule="auto"/>
        <w:jc w:val="both"/>
      </w:pPr>
      <w:r>
        <w:rPr>
          <w:rFonts w:ascii="Times New Roman" w:hAnsi="Times New Roman" w:eastAsia="Times New Roman"/>
          <w:b w:val="0"/>
          <w:caps w:val="0"/>
          <w:sz w:val="24"/>
        </w:rPr>
        <w:tab/>
        <w:t>P = TP / (TP + FP)</w:t>
        <w:tab/>
        <w:t>(4)</w:t>
      </w:r>
    </w:p>
    <w:p>
      <w:pPr>
        <w:keepLines/>
        <w:tabs>
          <w:tab w:pos="4419" w:val="center"/>
          <w:tab w:pos="8838" w:val="right"/>
        </w:tabs>
        <w:spacing w:line="360" w:lineRule="auto"/>
        <w:jc w:val="both"/>
      </w:pPr>
      <w:r>
        <w:rPr>
          <w:rFonts w:ascii="Times New Roman" w:hAnsi="Times New Roman" w:eastAsia="Times New Roman"/>
          <w:b w:val="0"/>
          <w:caps w:val="0"/>
          <w:sz w:val="24"/>
        </w:rPr>
        <w:tab/>
        <w:t>R = TP / (TP + FN)</w:t>
        <w:tab/>
        <w:t>(5)</w:t>
      </w:r>
    </w:p>
    <w:p>
      <w:pPr>
        <w:keepLines/>
        <w:tabs>
          <w:tab w:pos="4419" w:val="center"/>
          <w:tab w:pos="8838"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(Matthews, 1975), që i merr parasysh të katër qelizat:</w:t>
      </w:r>
    </w:p>
    <w:p>
      <w:pPr>
        <w:keepLines/>
        <w:tabs>
          <w:tab w:pos="4419" w:val="center"/>
          <w:tab w:pos="8838"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&amp; Jurman (2020)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ku A është pjesa e mostrave ku dy qasjet japin të njëjtin verdikt dhe E pajtimi që pritet rastësisht nga shpeshtësia me të cilën ndez secila:</w:t>
      </w:r>
    </w:p>
    <w:p>
      <w:pPr>
        <w:keepLines/>
        <w:tabs>
          <w:tab w:pos="4419" w:val="center"/>
          <w:tab w:pos="8838"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Pragjet nuk hyjnë në matje, ndaj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(Efron &amp; Tibshirani, 1993).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e saj më të mirë nga fshirja.</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konfuze: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25 shtator 2026, kaluan 717 teste të backend-it, me mbulim 96% të kodit, dhe 165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4"/>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4"/>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(Wohlin et al., 2012),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akordim. Pasiguria që vjen nga korpusi matet me bootstrap sipas depos, por ajo që vjen nga ndryshimi i farës nuk matet.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Etiketa është mesatarja e rrumbullakosur e Nënkapitullit 4.3,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keepNext/>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Rezultatet kryesore ndjekin pyetjet kërkimore: 5.1 i përgjigjet PK1, 5.2 dhe 5.3 PK2, dhe 5.4 PK3. Vëzhgimet dytësore vijnë pas tyre: ndjeshmëria ndaj pragjeve (5.5), krahasimi me një mjet ekzistues (5.6), dhe intervalet e besimit bashkë me pajtimin mes rishikuesve (5.7). Analizat e tjera dytësore janë te Shtojcat 8.6 deri 8.8.</w:t>
      </w:r>
    </w:p>
    <w:p>
      <w:pPr>
        <w:spacing w:line="360" w:lineRule="auto"/>
        <w:ind w:firstLine="360"/>
        <w:jc w:val="both"/>
      </w:pPr>
      <w:r>
        <w:rPr>
          <w:rFonts w:ascii="Times New Roman" w:hAnsi="Times New Roman" w:eastAsia="Times New Roman"/>
          <w:b w:val="0"/>
          <w:caps w:val="0"/>
          <w:sz w:val="24"/>
        </w:rPr>
        <w:t>Çdo nënkapitull hapet me metodën nga e cila vijnë shifrat e tij dhe mbyllet me pyetjen kërkimore të cilës ato i shërbejnë. Tabelat dhe figurat përshkruhen këtu ashtu si dolën; çfarë nënkuptojnë, pse dolën ashtu dhe si krahasohen me literaturën trajtohet te Kapitulli 6.</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Ky nënkapitull paraqet sa pajtohen strategjitë e publikuara, të zbatuara me pragjet e Nënkapitullit 4.5, me gjykimin e rishikuesve të MLCQ-së. Treguesit janë ata të Nënkapitullit 4.9, dhe secili llogaritet mbi të gjitha mostrat e erës përkatëse.</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MCC-ja më e lartë është te Long Method (0.580) dhe më e ulëta te Blob (0.232). Varianti i Blob-it që shton kushtin e madhësisë (Nënkapitulli 4.5) e ngre recall-in nga 0.100 në 0.257 dhe MCC-në nga 0.232 në 0.340, ndërsa precizioni zbret nga 0.814 në 0.720.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spacing w:line="360" w:lineRule="auto"/>
        <w:ind w:firstLine="360"/>
        <w:jc w:val="both"/>
      </w:pPr>
      <w:r>
        <w:rPr>
          <w:rFonts w:ascii="Times New Roman" w:hAnsi="Times New Roman" w:eastAsia="Times New Roman"/>
          <w:b w:val="0"/>
          <w:caps w:val="0"/>
          <w:sz w:val="24"/>
        </w:rPr>
        <w:t>Dy tabelat e këtij nënkapitulli janë përgjigjja empirike për PK1: ato japin, erë për erë, sa shpesh strategjitë pajtohen me rishikuesit dhe sa nga rastet e shënuara prej tyre i kapin.</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Ky nënkapitull paraqet rezultatet e Qasjes B, të katër algoritmeve të Nënkapitullit 4.6, të trajnuar mbi të njëjtat mostra dhe të vlerësuar me ndarjen e grupuar sipas depos, që asnjë depo të mos dalë njëkohësisht në trajnim dhe në vlerësim.</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0.600</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0.498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0.696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0.740</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më i mirë është gradient boosting te Blob dhe Feature Envy; random forest te Data Class dhe Long Method. Ndryshe nga Qasja A, precizioni dhe recall-i i modelit janë pranë njëri-tjetrit te çdo erë: dallimi mes tyre nuk e kalon 0.051.</w:t>
      </w:r>
    </w:p>
    <w:p>
      <w:pPr>
        <w:spacing w:line="360" w:lineRule="auto"/>
        <w:ind w:firstLine="360"/>
        <w:jc w:val="both"/>
      </w:pPr>
      <w:r>
        <w:rPr>
          <w:rFonts w:ascii="Times New Roman" w:hAnsi="Times New Roman" w:eastAsia="Times New Roman"/>
          <w:b w:val="0"/>
          <w:caps w:val="0"/>
          <w:sz w:val="24"/>
        </w:rPr>
        <w:t>MCC-ja më e lartë e arritur është 0.724. Veçoritë që peshojnë më shumë te secila erë, të matura me permutim, janë këto (Figura 4):</w:t>
      </w:r>
    </w:p>
    <w:p>
      <w:pPr>
        <w:keepNext/>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Veçoria me rëndësinë më të lartë është CLOC te Blob (0.129), CLOC te Data Class (0.087), MLOC te Feature Envy (0.477) dhe MLOC te Long Method (0.422). Vlera është rënia e MCC-së kur vlerat e asaj veçorie përzihen rastësisht.</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keepNext/>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195</w:t>
            </w:r>
          </w:p>
        </w:tc>
        <w:tc>
          <w:tcPr>
            <w:tcW w:type="dxa" w:w="2209"/>
          </w:tcPr>
          <w:p>
            <w:pPr>
              <w:spacing w:line="240" w:lineRule="auto"/>
              <w:jc w:val="left"/>
            </w:pPr>
            <w:r>
              <w:rPr>
                <w:rFonts w:ascii="Times New Roman" w:hAnsi="Times New Roman" w:eastAsia="Times New Roman"/>
                <w:b w:val="0"/>
                <w:caps w:val="0"/>
                <w:sz w:val="22"/>
              </w:rPr>
              <w:t>55.9%</w:t>
            </w:r>
          </w:p>
        </w:tc>
        <w:tc>
          <w:tcPr>
            <w:tcW w:type="dxa" w:w="2209"/>
          </w:tcPr>
          <w:p>
            <w:pPr>
              <w:spacing w:line="240" w:lineRule="auto"/>
              <w:jc w:val="left"/>
            </w:pPr>
            <w:r>
              <w:rPr>
                <w:rFonts w:ascii="Times New Roman" w:hAnsi="Times New Roman" w:eastAsia="Times New Roman"/>
                <w:b w:val="0"/>
                <w:caps w:val="0"/>
                <w:sz w:val="22"/>
              </w:rPr>
              <w:t>c_CLOC (25), c_WOC (23), c_CBO (14)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72</w:t>
            </w:r>
          </w:p>
        </w:tc>
        <w:tc>
          <w:tcPr>
            <w:tcW w:type="dxa" w:w="2209"/>
          </w:tcPr>
          <w:p>
            <w:pPr>
              <w:spacing w:line="240" w:lineRule="auto"/>
              <w:jc w:val="left"/>
            </w:pPr>
            <w:r>
              <w:rPr>
                <w:rFonts w:ascii="Times New Roman" w:hAnsi="Times New Roman" w:eastAsia="Times New Roman"/>
                <w:b w:val="0"/>
                <w:caps w:val="0"/>
                <w:sz w:val="22"/>
              </w:rPr>
              <w:t>97.2%</w:t>
            </w:r>
          </w:p>
        </w:tc>
        <w:tc>
          <w:tcPr>
            <w:tcW w:type="dxa" w:w="2209"/>
          </w:tcPr>
          <w:p>
            <w:pPr>
              <w:spacing w:line="240" w:lineRule="auto"/>
              <w:jc w:val="left"/>
            </w:pPr>
            <w:r>
              <w:rPr>
                <w:rFonts w:ascii="Times New Roman" w:hAnsi="Times New Roman" w:eastAsia="Times New Roman"/>
                <w:b w:val="0"/>
                <w:caps w:val="0"/>
                <w:sz w:val="22"/>
              </w:rPr>
              <w:t>m_MLOC (68), m_NOAV (2)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93.9%</w:t>
            </w:r>
          </w:p>
        </w:tc>
        <w:tc>
          <w:tcPr>
            <w:tcW w:type="dxa" w:w="2209"/>
          </w:tcPr>
          <w:p>
            <w:pPr>
              <w:spacing w:line="240" w:lineRule="auto"/>
              <w:jc w:val="left"/>
            </w:pPr>
            <w:r>
              <w:rPr>
                <w:rFonts w:ascii="Times New Roman" w:hAnsi="Times New Roman" w:eastAsia="Times New Roman"/>
                <w:b w:val="0"/>
                <w:caps w:val="0"/>
                <w:sz w:val="22"/>
              </w:rPr>
              <w:t>m_MLOC (211), m_CC (5), m_NOAV (1)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55.9% deri në 97.2%.</w:t>
      </w:r>
    </w:p>
    <w:p>
      <w:pPr>
        <w:spacing w:line="360" w:lineRule="auto"/>
        <w:ind w:firstLine="360"/>
        <w:jc w:val="both"/>
      </w:pPr>
      <w:r>
        <w:rPr>
          <w:rFonts w:ascii="Times New Roman" w:hAnsi="Times New Roman" w:eastAsia="Times New Roman"/>
          <w:b w:val="0"/>
          <w:caps w:val="0"/>
          <w:sz w:val="24"/>
        </w:rPr>
        <w:t>Vetëm me metrikat e strategjisë, modelet arrijnë këtë MCC (Tabela 6):</w:t>
      </w:r>
    </w:p>
    <w:p>
      <w:pPr>
        <w:keepNext/>
        <w:spacing w:line="240" w:lineRule="auto"/>
        <w:jc w:val="center"/>
      </w:pPr>
      <w:r>
        <w:rPr>
          <w:rFonts w:ascii="Times New Roman" w:hAnsi="Times New Roman" w:eastAsia="Times New Roman"/>
          <w:b w:val="0"/>
          <w:caps w:val="0"/>
          <w:sz w:val="22"/>
        </w:rPr>
        <w:t>Tabela 6.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0.373</w:t>
            </w:r>
          </w:p>
        </w:tc>
        <w:tc>
          <w:tcPr>
            <w:tcW w:type="dxa" w:w="1768"/>
          </w:tcPr>
          <w:p>
            <w:pPr>
              <w:spacing w:line="240" w:lineRule="auto"/>
              <w:jc w:val="left"/>
            </w:pPr>
            <w:r>
              <w:rPr>
                <w:rFonts w:ascii="Times New Roman" w:hAnsi="Times New Roman" w:eastAsia="Times New Roman"/>
                <w:b w:val="0"/>
                <w:caps w:val="0"/>
                <w:sz w:val="22"/>
              </w:rPr>
              <w:t>0.488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0.399</w:t>
            </w:r>
          </w:p>
        </w:tc>
        <w:tc>
          <w:tcPr>
            <w:tcW w:type="dxa" w:w="1768"/>
          </w:tcPr>
          <w:p>
            <w:pPr>
              <w:spacing w:line="240" w:lineRule="auto"/>
              <w:jc w:val="left"/>
            </w:pPr>
            <w:r>
              <w:rPr>
                <w:rFonts w:ascii="Times New Roman" w:hAnsi="Times New Roman" w:eastAsia="Times New Roman"/>
                <w:b w:val="0"/>
                <w:caps w:val="0"/>
                <w:sz w:val="22"/>
              </w:rPr>
              <w:t>0.498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0.437</w:t>
            </w:r>
          </w:p>
        </w:tc>
        <w:tc>
          <w:tcPr>
            <w:tcW w:type="dxa" w:w="1768"/>
          </w:tcPr>
          <w:p>
            <w:pPr>
              <w:spacing w:line="240" w:lineRule="auto"/>
              <w:jc w:val="left"/>
            </w:pPr>
            <w:r>
              <w:rPr>
                <w:rFonts w:ascii="Times New Roman" w:hAnsi="Times New Roman" w:eastAsia="Times New Roman"/>
                <w:b w:val="0"/>
                <w:caps w:val="0"/>
                <w:sz w:val="22"/>
              </w:rPr>
              <w:t>0.696</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0.672</w:t>
            </w:r>
          </w:p>
        </w:tc>
        <w:tc>
          <w:tcPr>
            <w:tcW w:type="dxa" w:w="1768"/>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Këto shifra janë gjysma e parë e përgjigjes për PK2; gjysma tjetër, krahasimi mostër për mostër me Qasjen A, vjen në nënkapitullin pasues.</w:t>
      </w:r>
    </w:p>
    <w:p>
      <w:pPr>
        <w:pStyle w:val="Heading2"/>
      </w:pPr>
      <w:r>
        <w:rPr>
          <w:rFonts w:ascii="Times New Roman" w:hAnsi="Times New Roman" w:eastAsia="Times New Roman"/>
          <w:b/>
          <w:caps w:val="0"/>
          <w:sz w:val="24"/>
        </w:rPr>
        <w:t>5.3 Krahasimi i dy qasjeve</w:t>
      </w:r>
    </w:p>
    <w:p>
      <w:pPr>
        <w:spacing w:line="360" w:lineRule="auto"/>
        <w:ind w:firstLine="360"/>
        <w:jc w:val="both"/>
      </w:pPr>
      <w:r>
        <w:rPr>
          <w:rFonts w:ascii="Times New Roman" w:hAnsi="Times New Roman" w:eastAsia="Times New Roman"/>
          <w:b w:val="0"/>
          <w:caps w:val="0"/>
          <w:sz w:val="24"/>
        </w:rPr>
        <w:t>Ky nënkapitull i vë dy qasjet përballë mbi saktësisht të njëjtat mostra dhe me të njëjtën etiketë, siç e kërkon kriteri i PK2 te Nënkapitulli 3.3. Krahasohen MCC-ja, pajtimi mes tyre dhe dy mënyra për t'i bashkuar (Figura 5).</w:t>
      </w:r>
    </w:p>
    <w:p>
      <w:pPr>
        <w:keepNext/>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Dallimi më i vogël është te Long Method, 0.144 pikë MCC, dhe më i madhi te Feature Envy, 0.425 pikë. Pajtimi mes tyre matet me koeficientin kappa dhe me numrin e mostrave që shënon secila qasje, vetëm ose bashkë me tjetrën (Tabela 7; Figura 6).</w:t>
      </w:r>
    </w:p>
    <w:p>
      <w:pPr>
        <w:keepNext/>
        <w:spacing w:line="240" w:lineRule="auto"/>
        <w:jc w:val="center"/>
      </w:pPr>
      <w:r>
        <w:rPr>
          <w:rFonts w:ascii="Times New Roman" w:hAnsi="Times New Roman" w:eastAsia="Times New Roman"/>
          <w:b w:val="0"/>
          <w:caps w:val="0"/>
          <w:sz w:val="22"/>
        </w:rPr>
        <w:t>Tabela 7.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0.217</w:t>
            </w:r>
          </w:p>
        </w:tc>
        <w:tc>
          <w:tcPr>
            <w:tcW w:type="dxa" w:w="1473"/>
          </w:tcPr>
          <w:p>
            <w:pPr>
              <w:spacing w:line="240" w:lineRule="auto"/>
              <w:jc w:val="left"/>
            </w:pPr>
            <w:r>
              <w:rPr>
                <w:rFonts w:ascii="Times New Roman" w:hAnsi="Times New Roman" w:eastAsia="Times New Roman"/>
                <w:b w:val="0"/>
                <w:caps w:val="0"/>
                <w:sz w:val="22"/>
              </w:rPr>
              <w:t>32</w:t>
            </w:r>
          </w:p>
        </w:tc>
        <w:tc>
          <w:tcPr>
            <w:tcW w:type="dxa" w:w="1473"/>
          </w:tcPr>
          <w:p>
            <w:pPr>
              <w:spacing w:line="240" w:lineRule="auto"/>
              <w:jc w:val="left"/>
            </w:pPr>
            <w:r>
              <w:rPr>
                <w:rFonts w:ascii="Times New Roman" w:hAnsi="Times New Roman" w:eastAsia="Times New Roman"/>
                <w:b w:val="0"/>
                <w:caps w:val="0"/>
                <w:sz w:val="22"/>
              </w:rPr>
              <w:t>5</w:t>
            </w:r>
          </w:p>
        </w:tc>
        <w:tc>
          <w:tcPr>
            <w:tcW w:type="dxa" w:w="1473"/>
          </w:tcPr>
          <w:p>
            <w:pPr>
              <w:spacing w:line="240" w:lineRule="auto"/>
              <w:jc w:val="left"/>
            </w:pPr>
            <w:r>
              <w:rPr>
                <w:rFonts w:ascii="Times New Roman" w:hAnsi="Times New Roman" w:eastAsia="Times New Roman"/>
                <w:b w:val="0"/>
                <w:caps w:val="0"/>
                <w:sz w:val="22"/>
              </w:rPr>
              <w:t>163</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14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58</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11 me 58.</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8):</w:t>
      </w:r>
    </w:p>
    <w:p>
      <w:pPr>
        <w:keepNext/>
        <w:spacing w:line="240" w:lineRule="auto"/>
        <w:jc w:val="center"/>
      </w:pPr>
      <w:r>
        <w:rPr>
          <w:rFonts w:ascii="Times New Roman" w:hAnsi="Times New Roman" w:eastAsia="Times New Roman"/>
          <w:b w:val="0"/>
          <w:caps w:val="0"/>
          <w:sz w:val="22"/>
        </w:rPr>
        <w:t>Tabela 8.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0.498</w:t>
            </w:r>
          </w:p>
        </w:tc>
        <w:tc>
          <w:tcPr>
            <w:tcW w:type="dxa" w:w="1473"/>
          </w:tcPr>
          <w:p>
            <w:pPr>
              <w:spacing w:line="240" w:lineRule="auto"/>
              <w:jc w:val="left"/>
            </w:pPr>
            <w:r>
              <w:rPr>
                <w:rFonts w:ascii="Times New Roman" w:hAnsi="Times New Roman" w:eastAsia="Times New Roman"/>
                <w:b w:val="0"/>
                <w:caps w:val="0"/>
                <w:sz w:val="22"/>
              </w:rPr>
              <w:t>0.506</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0.645</w:t>
            </w:r>
          </w:p>
        </w:tc>
        <w:tc>
          <w:tcPr>
            <w:tcW w:type="dxa" w:w="1473"/>
          </w:tcPr>
          <w:p>
            <w:pPr>
              <w:spacing w:line="240" w:lineRule="auto"/>
              <w:jc w:val="left"/>
            </w:pPr>
            <w:r>
              <w:rPr>
                <w:rFonts w:ascii="Times New Roman" w:hAnsi="Times New Roman" w:eastAsia="Times New Roman"/>
                <w:b w:val="0"/>
                <w:caps w:val="0"/>
                <w:sz w:val="22"/>
              </w:rPr>
              <w:t>0.781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0.325</w:t>
            </w:r>
          </w:p>
        </w:tc>
        <w:tc>
          <w:tcPr>
            <w:tcW w:type="dxa" w:w="1473"/>
          </w:tcPr>
          <w:p>
            <w:pPr>
              <w:spacing w:line="240" w:lineRule="auto"/>
              <w:jc w:val="left"/>
            </w:pPr>
            <w:r>
              <w:rPr>
                <w:rFonts w:ascii="Times New Roman" w:hAnsi="Times New Roman" w:eastAsia="Times New Roman"/>
                <w:b w:val="0"/>
                <w:caps w:val="0"/>
                <w:sz w:val="22"/>
              </w:rPr>
              <w:t>0.750</w:t>
            </w:r>
          </w:p>
        </w:tc>
        <w:tc>
          <w:tcPr>
            <w:tcW w:type="dxa" w:w="1473"/>
          </w:tcPr>
          <w:p>
            <w:pPr>
              <w:spacing w:line="240" w:lineRule="auto"/>
              <w:jc w:val="left"/>
            </w:pPr>
            <w:r>
              <w:rPr>
                <w:rFonts w:ascii="Times New Roman" w:hAnsi="Times New Roman" w:eastAsia="Times New Roman"/>
                <w:b w:val="0"/>
                <w:caps w:val="0"/>
                <w:sz w:val="22"/>
              </w:rPr>
              <w:t>0.786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0.724</w:t>
            </w:r>
          </w:p>
        </w:tc>
        <w:tc>
          <w:tcPr>
            <w:tcW w:type="dxa" w:w="1473"/>
          </w:tcPr>
          <w:p>
            <w:pPr>
              <w:spacing w:line="240" w:lineRule="auto"/>
              <w:jc w:val="left"/>
            </w:pPr>
            <w:r>
              <w:rPr>
                <w:rFonts w:ascii="Times New Roman" w:hAnsi="Times New Roman" w:eastAsia="Times New Roman"/>
                <w:b w:val="0"/>
                <w:caps w:val="0"/>
                <w:sz w:val="22"/>
              </w:rPr>
              <w:t>0.716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(0.488 → 0.494) dhe Data Class (0.498 → 0.506), dhe bie te Feature Envy (0.696 → 0.667) dhe Long Method (0.724 → 0.716).</w:t>
      </w:r>
    </w:p>
    <w:p>
      <w:pPr>
        <w:spacing w:line="360" w:lineRule="auto"/>
        <w:ind w:firstLine="360"/>
        <w:jc w:val="both"/>
      </w:pPr>
      <w:r>
        <w:rPr>
          <w:rFonts w:ascii="Times New Roman" w:hAnsi="Times New Roman" w:eastAsia="Times New Roman"/>
          <w:b w:val="0"/>
          <w:caps w:val="0"/>
          <w:sz w:val="24"/>
        </w:rPr>
        <w:t>Te prerja, precizioni është të paktën 0.78 te çdo erë dhe arrin 0.905 te Long Method, ndërsa recall-i dhe MCC-ja janë nën ato të modelit te të katër erërat.</w:t>
      </w:r>
    </w:p>
    <w:p>
      <w:pPr>
        <w:spacing w:line="360" w:lineRule="auto"/>
        <w:ind w:firstLine="360"/>
        <w:jc w:val="both"/>
      </w:pPr>
      <w:r>
        <w:rPr>
          <w:rFonts w:ascii="Times New Roman" w:hAnsi="Times New Roman" w:eastAsia="Times New Roman"/>
          <w:b w:val="0"/>
          <w:caps w:val="0"/>
          <w:sz w:val="24"/>
        </w:rPr>
        <w:t>Me këtë mbyllen rezultatet për PK2. Sa e qëndrueshme është përparësia e njërës qasje kur korpusi rimostrohet jepet te Nënkapitulli 5.7.</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Ky nënkapitull paraqet çfarë bëri motori i Nënkapitullit 4.7 kur u ekzekutua mbi tërë korpusin: sa vende transformoi, pse refuzoi të tjerat, nëse rishkrimet kompilojnë dhe nëse era u hoq. Rendi i tabelave ndjek rendin e pyetjeve që shtron PK3.</w:t>
      </w:r>
    </w:p>
    <w:p>
      <w:pPr>
        <w:spacing w:line="360" w:lineRule="auto"/>
        <w:ind w:firstLine="360"/>
        <w:jc w:val="both"/>
      </w:pPr>
      <w:r>
        <w:rPr>
          <w:rFonts w:ascii="Times New Roman" w:hAnsi="Times New Roman" w:eastAsia="Times New Roman"/>
          <w:b w:val="0"/>
          <w:caps w:val="0"/>
          <w:sz w:val="24"/>
        </w:rPr>
        <w:t>Mbi 4409 skedarë të korpusit u detektuan 15 800 vende ku motori ka një transformim; prej tyre 3532 u transformuan (Tabela 9).</w:t>
      </w:r>
    </w:p>
    <w:p>
      <w:pPr>
        <w:keepNext/>
        <w:spacing w:line="240" w:lineRule="auto"/>
        <w:jc w:val="center"/>
      </w:pPr>
      <w:r>
        <w:rPr>
          <w:rFonts w:ascii="Times New Roman" w:hAnsi="Times New Roman" w:eastAsia="Times New Roman"/>
          <w:b w:val="0"/>
          <w:caps w:val="0"/>
          <w:sz w:val="22"/>
        </w:rPr>
        <w:t>Tabela 9.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10; Tabela 11).</w:t>
      </w:r>
    </w:p>
    <w:p>
      <w:pPr>
        <w:keepNext/>
        <w:spacing w:line="240" w:lineRule="auto"/>
        <w:jc w:val="center"/>
      </w:pPr>
      <w:r>
        <w:rPr>
          <w:rFonts w:ascii="Times New Roman" w:hAnsi="Times New Roman" w:eastAsia="Times New Roman"/>
          <w:b w:val="0"/>
          <w:caps w:val="0"/>
          <w:sz w:val="22"/>
        </w:rPr>
        <w:t>Tabela 10.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forma e kodit nuk përputhet</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rrjedha e kontrollit del nga blloku</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vlerë e pacaktuar me siguri</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më shumë se një vlerë dalëse</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mbingarkesë e paqartë</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emër i pazgjidhur</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11.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3459</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3</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Te tri rishkrime javac-u nuk dha verdikt, ndaj për ato dihet vetëm se rishkrimi është Java e vlefshme.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12).</w:t>
      </w:r>
    </w:p>
    <w:p>
      <w:pPr>
        <w:keepNext/>
        <w:spacing w:line="240" w:lineRule="auto"/>
        <w:jc w:val="center"/>
      </w:pPr>
      <w:r>
        <w:rPr>
          <w:rFonts w:ascii="Times New Roman" w:hAnsi="Times New Roman" w:eastAsia="Times New Roman"/>
          <w:b w:val="0"/>
          <w:caps w:val="0"/>
          <w:sz w:val="22"/>
        </w:rPr>
        <w:t>Tabela 12.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Era nuk ndez më te 2287 nga 3532 entitete të rishkruara dhe ndez ende te 793. Te 452 të tjera entiteti nuk u identifikua dot pa mëdyshje, sepse emri i tij nuk ishte unik, si te dy klasa me të njëjtin emër ose te një metodë e mbingarkuar; për to motori nuk jep verdikt në vend që të hamendësojë.</w:t>
      </w: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13):</w:t>
      </w:r>
    </w:p>
    <w:p>
      <w:pPr>
        <w:keepNext/>
        <w:spacing w:line="240" w:lineRule="auto"/>
        <w:jc w:val="center"/>
      </w:pPr>
      <w:r>
        <w:rPr>
          <w:rFonts w:ascii="Times New Roman" w:hAnsi="Times New Roman" w:eastAsia="Times New Roman"/>
          <w:b w:val="0"/>
          <w:caps w:val="0"/>
          <w:sz w:val="22"/>
        </w:rPr>
        <w:t>Tabela 13.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w:t>
      </w:r>
    </w:p>
    <w:p>
      <w:pPr>
        <w:spacing w:line="360" w:lineRule="auto"/>
        <w:ind w:firstLine="360"/>
        <w:jc w:val="both"/>
      </w:pPr>
      <w:r>
        <w:rPr>
          <w:rFonts w:ascii="Times New Roman" w:hAnsi="Times New Roman" w:eastAsia="Times New Roman"/>
          <w:b w:val="0"/>
          <w:caps w:val="0"/>
          <w:sz w:val="24"/>
        </w:rPr>
        <w:t>E gjithë rrjedha, nga vendi i detektuar te era e hequr, jepet në një figurë, ku çdo shirit shprehet si pjesë e vendeve të detektuara (Figura 7):</w:t>
      </w:r>
    </w:p>
    <w:p>
      <w:pPr>
        <w:keepNext/>
        <w:jc w:val="center"/>
      </w:pPr>
      <w:r>
        <w:drawing>
          <wp:inline xmlns:a="http://schemas.openxmlformats.org/drawingml/2006/main" xmlns:pic="http://schemas.openxmlformats.org/drawingml/2006/picture">
            <wp:extent cx="5120640" cy="2137703"/>
            <wp:docPr id="9" name="Picture 9"/>
            <wp:cNvGraphicFramePr>
              <a:graphicFrameLocks noChangeAspect="1"/>
            </wp:cNvGraphicFramePr>
            <a:graphic>
              <a:graphicData uri="http://schemas.openxmlformats.org/drawingml/2006/picture">
                <pic:pic>
                  <pic:nvPicPr>
                    <pic:cNvPr id="0" name="rrjedha_e_refaktorimit.png"/>
                    <pic:cNvPicPr/>
                  </pic:nvPicPr>
                  <pic:blipFill>
                    <a:blip r:embed="rId19"/>
                    <a:stretch>
                      <a:fillRect/>
                    </a:stretch>
                  </pic:blipFill>
                  <pic:spPr>
                    <a:xfrm>
                      <a:off x="0" y="0"/>
                      <a:ext cx="5120640" cy="2137703"/>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Nga vendet e detektuara te erërat e hequra</w:t>
      </w:r>
    </w:p>
    <w:p>
      <w:pPr>
        <w:spacing w:line="360" w:lineRule="auto"/>
        <w:ind w:firstLine="360"/>
        <w:jc w:val="both"/>
      </w:pPr>
      <w:r>
        <w:rPr>
          <w:rFonts w:ascii="Times New Roman" w:hAnsi="Times New Roman" w:eastAsia="Times New Roman"/>
          <w:b w:val="0"/>
          <w:caps w:val="0"/>
          <w:sz w:val="24"/>
        </w:rPr>
        <w:t>Nga 15 800 vende, 3471 (22.0%) dalin të transformuara pa gabim të ri, dhe te 2287 (14.5%) era nuk ndez më. Dy shiritat e fundit janë të dy pjesë e vendeve të transformuara, por maten veç e veç: një rishkrim mund ta heqë erën edhe kur shton një gabim, dhe anasjelltas.</w:t>
      </w:r>
    </w:p>
    <w:p>
      <w:pPr>
        <w:spacing w:line="360" w:lineRule="auto"/>
        <w:ind w:firstLine="360"/>
        <w:jc w:val="both"/>
      </w:pPr>
      <w:r>
        <w:rPr>
          <w:rFonts w:ascii="Times New Roman" w:hAnsi="Times New Roman" w:eastAsia="Times New Roman"/>
          <w:b w:val="0"/>
          <w:caps w:val="0"/>
          <w:sz w:val="24"/>
        </w:rPr>
        <w:t>Mbi mostrën e mbjellë të Nënkapitullit 4.7, prej 60 skedarësh dhe 201 rishkrimesh, i njëjti rishkrim u kompilua i vetëm dhe brenda projektit të vet (Tabela 14).</w:t>
      </w:r>
    </w:p>
    <w:p>
      <w:pPr>
        <w:keepNext/>
        <w:spacing w:line="240" w:lineRule="auto"/>
        <w:jc w:val="center"/>
      </w:pPr>
      <w:r>
        <w:rPr>
          <w:rFonts w:ascii="Times New Roman" w:hAnsi="Times New Roman" w:eastAsia="Times New Roman"/>
          <w:b w:val="0"/>
          <w:caps w:val="0"/>
          <w:sz w:val="22"/>
        </w:rPr>
        <w:t>Tabela 14.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197</w:t>
            </w:r>
          </w:p>
        </w:tc>
        <w:tc>
          <w:tcPr>
            <w:tcW w:type="dxa" w:w="2946"/>
          </w:tcPr>
          <w:p>
            <w:pPr>
              <w:spacing w:line="240" w:lineRule="auto"/>
              <w:jc w:val="left"/>
            </w:pPr>
            <w:r>
              <w:rPr>
                <w:rFonts w:ascii="Times New Roman" w:hAnsi="Times New Roman" w:eastAsia="Times New Roman"/>
                <w:b w:val="0"/>
                <w:caps w:val="0"/>
                <w:sz w:val="22"/>
              </w:rPr>
              <w:t>114</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4 te 66 nga 201 rishkrime, pra nga 2.0% në 32.8%.</w:t>
      </w:r>
    </w:p>
    <w:p>
      <w:pPr>
        <w:spacing w:line="360" w:lineRule="auto"/>
        <w:ind w:firstLine="360"/>
        <w:jc w:val="both"/>
      </w:pPr>
      <w:r>
        <w:rPr>
          <w:rFonts w:ascii="Times New Roman" w:hAnsi="Times New Roman" w:eastAsia="Times New Roman"/>
          <w:b w:val="0"/>
          <w:caps w:val="0"/>
          <w:sz w:val="24"/>
        </w:rPr>
        <w:t>Dy nga 201 rishkrimet nuk shtonin lloj të ri gabimi kur kompiloheshin të izoluara, por shtojnë kur kompilohen brenda projektit të vet. Rastet janë Extract Method mbi PlanModifierUtil.fixTopOBSchema(RelNode, Pair, List, boolean) në projektin «hive» dhe Extract Method mbi TypeHierarchyTests.testSupertypeHierarchyOnWorkingCopy() në projektin «eclipse.jdt.core». Gabimet që shtojnë janë «package ImmutableMap does not exist», «package org.eclipse.jface.text does not exist» dhe «package org.eclipse.text.edits does not exist». Pa verdikt mbetën 19 kompilime, nga kufiri kohor ose nga një javac që dështoi pa emërtuar gabim, dhe numërohen si të pakontrolluara, kurrë si sukses.</w:t>
      </w:r>
    </w:p>
    <w:p>
      <w:pPr>
        <w:spacing w:line="360" w:lineRule="auto"/>
        <w:ind w:firstLine="360"/>
        <w:jc w:val="both"/>
      </w:pPr>
      <w:r>
        <w:rPr>
          <w:rFonts w:ascii="Times New Roman" w:hAnsi="Times New Roman" w:eastAsia="Times New Roman"/>
          <w:b w:val="0"/>
          <w:caps w:val="0"/>
          <w:sz w:val="24"/>
        </w:rPr>
        <w:t>Sipas rubrikës së Nënkapitullit 4.7 u lexua një mostër e mbjellë prej 60 rishkrimesh, 20 për çdo transformim (Tabela 15; Figura 8).</w:t>
      </w:r>
    </w:p>
    <w:p>
      <w:pPr>
        <w:keepNext/>
        <w:spacing w:line="240" w:lineRule="auto"/>
        <w:jc w:val="center"/>
      </w:pPr>
      <w:r>
        <w:rPr>
          <w:rFonts w:ascii="Times New Roman" w:hAnsi="Times New Roman" w:eastAsia="Times New Roman"/>
          <w:b w:val="0"/>
          <w:caps w:val="0"/>
          <w:sz w:val="22"/>
        </w:rPr>
        <w:t>Tabela 15. Pranueshmëria e rishkrimeve sipas rishikuesit</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jc w:val="left"/>
            </w:pPr>
            <w:r>
              <w:rPr>
                <w:rFonts w:ascii="Times New Roman" w:hAnsi="Times New Roman" w:eastAsia="Times New Roman"/>
                <w:b/>
                <w:caps w:val="0"/>
                <w:sz w:val="22"/>
              </w:rPr>
              <w:t>Transformimi</w:t>
            </w:r>
          </w:p>
        </w:tc>
        <w:tc>
          <w:tcPr>
            <w:tcW w:type="dxa" w:w="1263"/>
          </w:tcPr>
          <w:p>
            <w:pPr>
              <w:spacing w:line="240" w:lineRule="auto"/>
              <w:jc w:val="left"/>
            </w:pPr>
            <w:r>
              <w:rPr>
                <w:rFonts w:ascii="Times New Roman" w:hAnsi="Times New Roman" w:eastAsia="Times New Roman"/>
                <w:b/>
                <w:caps w:val="0"/>
                <w:sz w:val="22"/>
              </w:rPr>
              <w:t>Të lexuara</w:t>
            </w:r>
          </w:p>
        </w:tc>
        <w:tc>
          <w:tcPr>
            <w:tcW w:type="dxa" w:w="1263"/>
          </w:tcPr>
          <w:p>
            <w:pPr>
              <w:spacing w:line="240" w:lineRule="auto"/>
              <w:jc w:val="left"/>
            </w:pPr>
            <w:r>
              <w:rPr>
                <w:rFonts w:ascii="Times New Roman" w:hAnsi="Times New Roman" w:eastAsia="Times New Roman"/>
                <w:b/>
                <w:caps w:val="0"/>
                <w:sz w:val="22"/>
              </w:rPr>
              <w:t>Ashtu si është</w:t>
            </w:r>
          </w:p>
        </w:tc>
        <w:tc>
          <w:tcPr>
            <w:tcW w:type="dxa" w:w="1263"/>
          </w:tcPr>
          <w:p>
            <w:pPr>
              <w:spacing w:line="240" w:lineRule="auto"/>
              <w:jc w:val="left"/>
            </w:pPr>
            <w:r>
              <w:rPr>
                <w:rFonts w:ascii="Times New Roman" w:hAnsi="Times New Roman" w:eastAsia="Times New Roman"/>
                <w:b/>
                <w:caps w:val="0"/>
                <w:sz w:val="22"/>
              </w:rPr>
              <w:t>Pas ndreqjeje</w:t>
            </w:r>
          </w:p>
        </w:tc>
        <w:tc>
          <w:tcPr>
            <w:tcW w:type="dxa" w:w="1263"/>
          </w:tcPr>
          <w:p>
            <w:pPr>
              <w:spacing w:line="240" w:lineRule="auto"/>
              <w:jc w:val="left"/>
            </w:pPr>
            <w:r>
              <w:rPr>
                <w:rFonts w:ascii="Times New Roman" w:hAnsi="Times New Roman" w:eastAsia="Times New Roman"/>
                <w:b/>
                <w:caps w:val="0"/>
                <w:sz w:val="22"/>
              </w:rPr>
              <w:t>Të refuzuara</w:t>
            </w:r>
          </w:p>
        </w:tc>
        <w:tc>
          <w:tcPr>
            <w:tcW w:type="dxa" w:w="1263"/>
          </w:tcPr>
          <w:p>
            <w:pPr>
              <w:spacing w:line="240" w:lineRule="auto"/>
              <w:jc w:val="left"/>
            </w:pPr>
            <w:r>
              <w:rPr>
                <w:rFonts w:ascii="Times New Roman" w:hAnsi="Times New Roman" w:eastAsia="Times New Roman"/>
                <w:b/>
                <w:caps w:val="0"/>
                <w:sz w:val="22"/>
              </w:rPr>
              <w:t>Të pranueshme</w:t>
            </w:r>
          </w:p>
        </w:tc>
        <w:tc>
          <w:tcPr>
            <w:tcW w:type="dxa" w:w="1263"/>
          </w:tcPr>
          <w:p>
            <w:pPr>
              <w:spacing w:line="240" w:lineRule="auto"/>
              <w:jc w:val="left"/>
            </w:pPr>
            <w:r>
              <w:rPr>
                <w:rFonts w:ascii="Times New Roman" w:hAnsi="Times New Roman" w:eastAsia="Times New Roman"/>
                <w:b/>
                <w:caps w:val="0"/>
                <w:sz w:val="22"/>
              </w:rPr>
              <w:t>IB 95%</w:t>
            </w:r>
          </w:p>
        </w:tc>
      </w:tr>
      <w:tr>
        <w:tc>
          <w:tcPr>
            <w:tcW w:type="dxa" w:w="1263"/>
          </w:tcPr>
          <w:p>
            <w:pPr>
              <w:spacing w:line="240" w:lineRule="auto"/>
              <w:jc w:val="left"/>
            </w:pPr>
            <w:r>
              <w:rPr>
                <w:rFonts w:ascii="Times New Roman" w:hAnsi="Times New Roman" w:eastAsia="Times New Roman"/>
                <w:b w:val="0"/>
                <w:caps w:val="0"/>
                <w:sz w:val="22"/>
              </w:rPr>
              <w:t>Extract Method</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13</w:t>
            </w:r>
          </w:p>
        </w:tc>
        <w:tc>
          <w:tcPr>
            <w:tcW w:type="dxa" w:w="1263"/>
          </w:tcPr>
          <w:p>
            <w:pPr>
              <w:spacing w:line="240" w:lineRule="auto"/>
              <w:jc w:val="left"/>
            </w:pPr>
            <w:r>
              <w:rPr>
                <w:rFonts w:ascii="Times New Roman" w:hAnsi="Times New Roman" w:eastAsia="Times New Roman"/>
                <w:b w:val="0"/>
                <w:caps w:val="0"/>
                <w:sz w:val="22"/>
              </w:rPr>
              <w:t>7</w:t>
            </w:r>
          </w:p>
        </w:tc>
        <w:tc>
          <w:tcPr>
            <w:tcW w:type="dxa" w:w="1263"/>
          </w:tcPr>
          <w:p>
            <w:pPr>
              <w:spacing w:line="240" w:lineRule="auto"/>
              <w:jc w:val="left"/>
            </w:pPr>
            <w:r>
              <w:rPr>
                <w:rFonts w:ascii="Times New Roman" w:hAnsi="Times New Roman" w:eastAsia="Times New Roman"/>
                <w:b w:val="0"/>
                <w:caps w:val="0"/>
                <w:sz w:val="22"/>
              </w:rPr>
              <w:t>65%</w:t>
            </w:r>
          </w:p>
        </w:tc>
        <w:tc>
          <w:tcPr>
            <w:tcW w:type="dxa" w:w="1263"/>
          </w:tcPr>
          <w:p>
            <w:pPr>
              <w:spacing w:line="240" w:lineRule="auto"/>
              <w:jc w:val="left"/>
            </w:pPr>
            <w:r>
              <w:rPr>
                <w:rFonts w:ascii="Times New Roman" w:hAnsi="Times New Roman" w:eastAsia="Times New Roman"/>
                <w:b w:val="0"/>
                <w:caps w:val="0"/>
                <w:sz w:val="22"/>
              </w:rPr>
              <w:t>[0.43, 0.82]</w:t>
            </w:r>
          </w:p>
        </w:tc>
      </w:tr>
      <w:tr>
        <w:tc>
          <w:tcPr>
            <w:tcW w:type="dxa" w:w="1263"/>
          </w:tcPr>
          <w:p>
            <w:pPr>
              <w:spacing w:line="240" w:lineRule="auto"/>
              <w:jc w:val="left"/>
            </w:pPr>
            <w:r>
              <w:rPr>
                <w:rFonts w:ascii="Times New Roman" w:hAnsi="Times New Roman" w:eastAsia="Times New Roman"/>
                <w:b w:val="0"/>
                <w:caps w:val="0"/>
                <w:sz w:val="22"/>
              </w:rPr>
              <w:t>Introduce Parameter Object</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[0.00, 0.16]</w:t>
            </w:r>
          </w:p>
        </w:tc>
      </w:tr>
      <w:tr>
        <w:tc>
          <w:tcPr>
            <w:tcW w:type="dxa" w:w="1263"/>
          </w:tcPr>
          <w:p>
            <w:pPr>
              <w:spacing w:line="240" w:lineRule="auto"/>
              <w:jc w:val="left"/>
            </w:pPr>
            <w:r>
              <w:rPr>
                <w:rFonts w:ascii="Times New Roman" w:hAnsi="Times New Roman" w:eastAsia="Times New Roman"/>
                <w:b w:val="0"/>
                <w:caps w:val="0"/>
                <w:sz w:val="22"/>
              </w:rPr>
              <w:t>Replace Nested Conditional with Guard Clauses</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3</w:t>
            </w:r>
          </w:p>
        </w:tc>
        <w:tc>
          <w:tcPr>
            <w:tcW w:type="dxa" w:w="1263"/>
          </w:tcPr>
          <w:p>
            <w:pPr>
              <w:spacing w:line="240" w:lineRule="auto"/>
              <w:jc w:val="left"/>
            </w:pPr>
            <w:r>
              <w:rPr>
                <w:rFonts w:ascii="Times New Roman" w:hAnsi="Times New Roman" w:eastAsia="Times New Roman"/>
                <w:b w:val="0"/>
                <w:caps w:val="0"/>
                <w:sz w:val="22"/>
              </w:rPr>
              <w:t>17</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100%</w:t>
            </w:r>
          </w:p>
        </w:tc>
        <w:tc>
          <w:tcPr>
            <w:tcW w:type="dxa" w:w="1263"/>
          </w:tcPr>
          <w:p>
            <w:pPr>
              <w:spacing w:line="240" w:lineRule="auto"/>
              <w:jc w:val="left"/>
            </w:pPr>
            <w:r>
              <w:rPr>
                <w:rFonts w:ascii="Times New Roman" w:hAnsi="Times New Roman" w:eastAsia="Times New Roman"/>
                <w:b w:val="0"/>
                <w:caps w:val="0"/>
                <w:sz w:val="22"/>
              </w:rPr>
              <w:t>[0.84, 1.00]</w:t>
            </w:r>
          </w:p>
        </w:tc>
      </w:tr>
    </w:tbl>
    <w:p>
      <w:pPr>
        <w:spacing w:line="240" w:lineRule="auto" w:after="0"/>
      </w:pPr>
    </w:p>
    <w:p>
      <w:pPr>
        <w:keepNext/>
        <w:jc w:val="center"/>
      </w:pPr>
      <w:r>
        <w:drawing>
          <wp:inline xmlns:a="http://schemas.openxmlformats.org/drawingml/2006/main" xmlns:pic="http://schemas.openxmlformats.org/drawingml/2006/picture">
            <wp:extent cx="5120640" cy="2254610"/>
            <wp:docPr id="10" name="Picture 10"/>
            <wp:cNvGraphicFramePr>
              <a:graphicFrameLocks noChangeAspect="1"/>
            </wp:cNvGraphicFramePr>
            <a:graphic>
              <a:graphicData uri="http://schemas.openxmlformats.org/drawingml/2006/picture">
                <pic:pic>
                  <pic:nvPicPr>
                    <pic:cNvPr id="0" name="pranueshmeria_e_rishkrimeve.png"/>
                    <pic:cNvPicPr/>
                  </pic:nvPicPr>
                  <pic:blipFill>
                    <a:blip r:embed="rId20"/>
                    <a:stretch>
                      <a:fillRect/>
                    </a:stretch>
                  </pic:blipFill>
                  <pic:spPr>
                    <a:xfrm>
                      <a:off x="0" y="0"/>
                      <a:ext cx="5120640" cy="2254610"/>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Pranueshmëria e rishkrimeve sipas transformimit</w:t>
      </w:r>
    </w:p>
    <w:p>
      <w:pPr>
        <w:spacing w:line="360" w:lineRule="auto"/>
        <w:ind w:firstLine="360"/>
        <w:jc w:val="both"/>
      </w:pPr>
      <w:r>
        <w:rPr>
          <w:rFonts w:ascii="Times New Roman" w:hAnsi="Times New Roman" w:eastAsia="Times New Roman"/>
          <w:b w:val="0"/>
          <w:caps w:val="0"/>
          <w:sz w:val="24"/>
        </w:rPr>
        <w:t>Rishkrimet e pranueshme janë te Replace Nested Conditional with Guard Clauses 20 nga 20 (3 ashtu si janë dhe 17 pas një ndreqjeje); te Extract Method 13 nga 20 (13 pas një ndreqjeje); te Introduce Parameter Object asnjë. Përfitim strukturor u gjykua te 14 nga 20 te Extract Method, 0 nga 20 te Introduce Parameter Object dhe 20 nga 20 te Replace Nested Conditional with Guard Clauses.</w:t>
      </w:r>
    </w:p>
    <w:p>
      <w:pPr>
        <w:spacing w:line="360" w:lineRule="auto"/>
        <w:ind w:firstLine="360"/>
        <w:jc w:val="both"/>
      </w:pPr>
      <w:r>
        <w:rPr>
          <w:rFonts w:ascii="Times New Roman" w:hAnsi="Times New Roman" w:eastAsia="Times New Roman"/>
          <w:b w:val="0"/>
          <w:caps w:val="0"/>
          <w:sz w:val="24"/>
        </w:rPr>
        <w:t>Një rishkrim u gjykua se e ndryshon sjelljen, çka është dështim i parakushteve dhe raportohet si i tillë. Të gjitha rishkrimet e mostrës, përfshirë këtë, e kishin kaluar kontrollin e kompilatorit.</w:t>
      </w:r>
    </w:p>
    <w:p>
      <w:pPr>
        <w:spacing w:line="360" w:lineRule="auto"/>
        <w:ind w:firstLine="360"/>
        <w:jc w:val="both"/>
      </w:pPr>
      <w:r>
        <w:rPr>
          <w:rFonts w:ascii="Times New Roman" w:hAnsi="Times New Roman" w:eastAsia="Times New Roman"/>
          <w:b w:val="0"/>
          <w:caps w:val="0"/>
          <w:sz w:val="24"/>
        </w:rPr>
        <w:t>26 rishkrime nga 60 u gjykuan pa përfitim strukturor.</w:t>
      </w:r>
    </w:p>
    <w:p>
      <w:pPr>
        <w:spacing w:line="360" w:lineRule="auto"/>
        <w:ind w:firstLine="360"/>
        <w:jc w:val="both"/>
      </w:pPr>
      <w:r>
        <w:rPr>
          <w:rFonts w:ascii="Times New Roman" w:hAnsi="Times New Roman" w:eastAsia="Times New Roman"/>
          <w:b w:val="0"/>
          <w:caps w:val="0"/>
          <w:sz w:val="24"/>
        </w:rPr>
        <w:t>E ripeshuar me madhësitë reale të shtresave, norma e pranueshmërisë mbi tërë vendet e rishkruara është 62.9%.</w:t>
      </w:r>
    </w:p>
    <w:p>
      <w:pPr>
        <w:spacing w:line="360" w:lineRule="auto"/>
        <w:ind w:firstLine="360"/>
        <w:jc w:val="both"/>
      </w:pPr>
      <w:r>
        <w:rPr>
          <w:rFonts w:ascii="Times New Roman" w:hAnsi="Times New Roman" w:eastAsia="Times New Roman"/>
          <w:b w:val="0"/>
          <w:caps w:val="0"/>
          <w:sz w:val="24"/>
        </w:rPr>
        <w:t>27 rishkrime që kaluan kontrollin e kompilatorit u refuzuan nga rishikuesi.</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16):</w:t>
      </w:r>
    </w:p>
    <w:p>
      <w:pPr>
        <w:keepNext/>
        <w:spacing w:line="240" w:lineRule="auto"/>
        <w:jc w:val="center"/>
      </w:pPr>
      <w:r>
        <w:rPr>
          <w:rFonts w:ascii="Times New Roman" w:hAnsi="Times New Roman" w:eastAsia="Times New Roman"/>
          <w:b w:val="0"/>
          <w:caps w:val="0"/>
          <w:sz w:val="22"/>
        </w:rPr>
        <w:t>Tabela 16.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25.3% kundrejt 21.7% të niveleve të tjera, renditje e kundërt me atë të erërave veç e veç (paradoksi i Simpson-it): Brain Method ka normë 30.4% dhe 45.0% vende kritike, ndërsa Deep Nesting ka 2.1% dhe 2.5%.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17; Figura 9):</w:t>
      </w:r>
    </w:p>
    <w:p>
      <w:pPr>
        <w:keepNext/>
        <w:spacing w:line="240" w:lineRule="auto"/>
        <w:jc w:val="center"/>
      </w:pPr>
      <w:r>
        <w:rPr>
          <w:rFonts w:ascii="Times New Roman" w:hAnsi="Times New Roman" w:eastAsia="Times New Roman"/>
          <w:b w:val="0"/>
          <w:caps w:val="0"/>
          <w:sz w:val="22"/>
        </w:rPr>
        <w:t>Tabela 17.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forma e kodit nuk përputhet</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rrjedha e kontrollit del nga blloku</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vlerë e pacaktuar me siguri</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më shumë se një vlerë dalëse</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mbingarkesë e paqartë</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emër i pazgjidhur</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keepNext/>
        <w:jc w:val="center"/>
      </w:pPr>
      <w:r>
        <w:drawing>
          <wp:inline xmlns:a="http://schemas.openxmlformats.org/drawingml/2006/main" xmlns:pic="http://schemas.openxmlformats.org/drawingml/2006/picture">
            <wp:extent cx="5120640" cy="2702306"/>
            <wp:docPr id="11" name="Picture 11"/>
            <wp:cNvGraphicFramePr>
              <a:graphicFrameLocks noChangeAspect="1"/>
            </wp:cNvGraphicFramePr>
            <a:graphic>
              <a:graphicData uri="http://schemas.openxmlformats.org/drawingml/2006/picture">
                <pic:pic>
                  <pic:nvPicPr>
                    <pic:cNvPr id="0" name="refuzimet_sipas_ashpersise.png"/>
                    <pic:cNvPicPr/>
                  </pic:nvPicPr>
                  <pic:blipFill>
                    <a:blip r:embed="rId21"/>
                    <a:stretch>
                      <a:fillRect/>
                    </a:stretch>
                  </pic:blipFill>
                  <pic:spPr>
                    <a:xfrm>
                      <a:off x="0" y="0"/>
                      <a:ext cx="5120640" cy="2702306"/>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Dy arsyet kryesore të refuzimit sipas nivelit të ashpërsisë</w:t>
      </w:r>
    </w:p>
    <w:p>
      <w:pPr>
        <w:spacing w:line="360" w:lineRule="auto"/>
        <w:ind w:firstLine="360"/>
        <w:jc w:val="both"/>
      </w:pPr>
      <w:r>
        <w:rPr>
          <w:rFonts w:ascii="Times New Roman" w:hAnsi="Times New Roman" w:eastAsia="Times New Roman"/>
          <w:b w:val="0"/>
          <w:caps w:val="0"/>
          <w:sz w:val="24"/>
        </w:rPr>
        <w:t>Nga niveli minor te critical, pjesa e refuzimeve për formën e kodit kalon nga 75% në 19%, ndërsa ajo për rrjedhën e kontrollit nga 19% në 69%.</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spacing w:line="360" w:lineRule="auto"/>
        <w:ind w:firstLine="360"/>
        <w:jc w:val="both"/>
      </w:pPr>
      <w:r>
        <w:rPr>
          <w:rFonts w:ascii="Times New Roman" w:hAnsi="Times New Roman" w:eastAsia="Times New Roman"/>
          <w:b w:val="0"/>
          <w:caps w:val="0"/>
          <w:sz w:val="24"/>
        </w:rPr>
        <w:t>Tabelat e këtij nënkapitulli janë dëshmia për PK3: sa shpesh motori vepron, sa shpesh rishkrimi e ruan kompilueshmërinë dhe sa shpesh e heq erën. Për sjelljen e programit pas rishkrimit ky kapitull nuk jep shifër.</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Ky është i pari nga vëzhgimet dytësore. Ai nuk i përgjigjet drejtpërdrejt një pyetjeje, por tregon sa varen shifrat e Nënkapitullit 5.1 nga pragjet e zgjedhura.</w:t>
      </w:r>
    </w:p>
    <w:p>
      <w:pPr>
        <w:spacing w:line="360" w:lineRule="auto"/>
        <w:ind w:firstLine="360"/>
        <w:jc w:val="both"/>
      </w:pPr>
      <w:r>
        <w:rPr>
          <w:rFonts w:ascii="Times New Roman" w:hAnsi="Times New Roman" w:eastAsia="Times New Roman"/>
          <w:b w:val="0"/>
          <w:caps w:val="0"/>
          <w:sz w:val="24"/>
        </w:rPr>
        <w:t>Secili prag i strategjive u zhvendos veç me faktorët e Nënkapitullit 4.9, ndërsa të tjerët mbetën te vlerat e botuara. Rreshtat renditen sipas amplitudës, pra dallimit mes MCC-së më të lartë dhe më të ulët që jep pragu (Tabela 18; Figura 10):</w:t>
      </w:r>
    </w:p>
    <w:p>
      <w:pPr>
        <w:keepNext/>
        <w:spacing w:line="240" w:lineRule="auto"/>
        <w:jc w:val="center"/>
      </w:pPr>
      <w:r>
        <w:rPr>
          <w:rFonts w:ascii="Times New Roman" w:hAnsi="Times New Roman" w:eastAsia="Times New Roman"/>
          <w:b w:val="0"/>
          <w:caps w:val="0"/>
          <w:sz w:val="22"/>
        </w:rPr>
        <w:t>Tabela 18.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12" name="Picture 12"/>
            <wp:cNvGraphicFramePr>
              <a:graphicFrameLocks noChangeAspect="1"/>
            </wp:cNvGraphicFramePr>
            <a:graphic>
              <a:graphicData uri="http://schemas.openxmlformats.org/drawingml/2006/picture">
                <pic:pic>
                  <pic:nvPicPr>
                    <pic:cNvPr id="0" name="ndjeshmeria_e_pragjeve.png"/>
                    <pic:cNvPicPr/>
                  </pic:nvPicPr>
                  <pic:blipFill>
                    <a:blip r:embed="rId22"/>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10. Ndjeshmëria e MCC-së ndaj zhvendosjes së pragjeve</w:t>
      </w:r>
    </w:p>
    <w:p>
      <w:pPr>
        <w:spacing w:line="360" w:lineRule="auto"/>
        <w:ind w:firstLine="360"/>
        <w:jc w:val="both"/>
      </w:pPr>
      <w:r>
        <w:rPr>
          <w:rFonts w:ascii="Times New Roman" w:hAnsi="Times New Roman" w:eastAsia="Times New Roman"/>
          <w:b w:val="0"/>
          <w:caps w:val="0"/>
          <w:sz w:val="24"/>
        </w:rPr>
        <w:t>Amplituda kalon 0.2 vetëm te Long Method dhe Feature Envy; te Blob dhe Data Class asnjë prag nuk e lëviz MCC-në më shumë se 0.101.</w:t>
      </w:r>
    </w:p>
    <w:p>
      <w:pPr>
        <w:spacing w:line="360" w:lineRule="auto"/>
        <w:ind w:firstLine="360"/>
        <w:jc w:val="both"/>
      </w:pPr>
      <w:r>
        <w:rPr>
          <w:rFonts w:ascii="Times New Roman" w:hAnsi="Times New Roman" w:eastAsia="Times New Roman"/>
          <w:b w:val="0"/>
          <w:caps w:val="0"/>
          <w:sz w:val="24"/>
        </w:rPr>
        <w:t>Vlera me MCC-në më të lartë është long_method_loc = 15 në vend të 30 te Long Method (MCC 0.690; recall 0.440 → 0.838, precizion 0.872 → 0.653) dhe feature_envy_fdp = 10 në vend të 5 te Feature Envy (MCC 0.411; recall 0.181 → 0.306, precizion 0.520 → 0.647).</w:t>
      </w:r>
    </w:p>
    <w:p>
      <w:pPr>
        <w:spacing w:line="360" w:lineRule="auto"/>
        <w:ind w:firstLine="360"/>
        <w:jc w:val="both"/>
      </w:pPr>
      <w:r>
        <w:rPr>
          <w:rFonts w:ascii="Times New Roman" w:hAnsi="Times New Roman" w:eastAsia="Times New Roman"/>
          <w:b w:val="0"/>
          <w:caps w:val="0"/>
          <w:sz w:val="24"/>
        </w:rPr>
        <w:t>Me kalibrimin jashtë fold-it (pesë folde sipas depos, Nënkapitulli 4.9), rregullat arrijnë këto vlera; kolona e fundit jep pragun që zgjodhi secili fold dhe sa herë u zgjodh (Tabela 19):</w:t>
      </w:r>
    </w:p>
    <w:p>
      <w:pPr>
        <w:keepNext/>
        <w:spacing w:line="240" w:lineRule="auto"/>
        <w:jc w:val="center"/>
      </w:pPr>
      <w:r>
        <w:rPr>
          <w:rFonts w:ascii="Times New Roman" w:hAnsi="Times New Roman" w:eastAsia="Times New Roman"/>
          <w:b w:val="0"/>
          <w:caps w:val="0"/>
          <w:sz w:val="22"/>
        </w:rPr>
        <w:t>Tabela 19.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Të gjitha foldet zgjodhën të njëjtën vlerë vetëm te Feature Envy; te Blob dhe Long Method ranë dakord për pragun, por jo për vlerën; te Data Class katër folde lëvizën data_class_woc dhe një fold lëvizi data_class_wmc_low.</w:t>
      </w:r>
    </w:p>
    <w:p>
      <w:pPr>
        <w:spacing w:line="360" w:lineRule="auto"/>
        <w:ind w:firstLine="360"/>
        <w:jc w:val="both"/>
      </w:pPr>
      <w:r>
        <w:rPr>
          <w:rFonts w:ascii="Times New Roman" w:hAnsi="Times New Roman" w:eastAsia="Times New Roman"/>
          <w:b w:val="0"/>
          <w:caps w:val="0"/>
          <w:sz w:val="24"/>
        </w:rPr>
        <w:t>Recall-i u rrit te të katër erërat, precizioni vetëm te Feature Envy, dhe MCC-ja te tri nga katër erërat.</w:t>
      </w:r>
    </w:p>
    <w:p>
      <w:pPr>
        <w:spacing w:line="360" w:lineRule="auto"/>
        <w:ind w:firstLine="360"/>
        <w:jc w:val="both"/>
      </w:pPr>
      <w:r>
        <w:rPr>
          <w:rFonts w:ascii="Times New Roman" w:hAnsi="Times New Roman" w:eastAsia="Times New Roman"/>
          <w:b w:val="0"/>
          <w:caps w:val="0"/>
          <w:sz w:val="24"/>
        </w:rPr>
        <w:t>Për Long Method, vlera më e mirë e fshirjes mbi tërë korpusin është 0.690, ndërsa kalibrimi jashtë fold-it jep 0.666.</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Ky nënkapitull i vë detektorët e Qasjes A përballë PMD-së, një mjeti të lirë e të përhapur që zbaton rregulla të ngjashme, mbi të njëjtat mostra dhe me të njëjtin pikëzim.</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20).</w:t>
      </w:r>
    </w:p>
    <w:p>
      <w:pPr>
        <w:keepNext/>
        <w:spacing w:line="240" w:lineRule="auto"/>
        <w:jc w:val="center"/>
      </w:pPr>
      <w:r>
        <w:rPr>
          <w:rFonts w:ascii="Times New Roman" w:hAnsi="Times New Roman" w:eastAsia="Times New Roman"/>
          <w:b w:val="0"/>
          <w:caps w:val="0"/>
          <w:sz w:val="22"/>
        </w:rPr>
        <w:t>Tabela 20.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Për Feature Envy PMD nuk ka rregull, ndaj rreshti i saj ka vetëm MCC-në e LawOfDemeter-it, rregullit më të afërt, dhe nuk ka kolonë krahasimi.</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Mostrat e atyre depove janë hequr nga të dyja kolonat e tabelës, ndaj emëruesi i saj është më i vogël se ai i Qasjes A, e cila vlerësoi 4534 mostra.</w:t>
      </w:r>
    </w:p>
    <w:p>
      <w:pPr>
        <w:pStyle w:val="Heading2"/>
      </w:pPr>
      <w:r>
        <w:rPr>
          <w:rFonts w:ascii="Times New Roman" w:hAnsi="Times New Roman" w:eastAsia="Times New Roman"/>
          <w:b/>
          <w:caps w:val="0"/>
          <w:sz w:val="24"/>
        </w:rPr>
        <w:t>5.7 Intervalet e besimit dhe pajtimi mes rishikuesve</w:t>
      </w:r>
    </w:p>
    <w:p>
      <w:pPr>
        <w:spacing w:line="360" w:lineRule="auto"/>
        <w:ind w:firstLine="360"/>
        <w:jc w:val="both"/>
      </w:pPr>
      <w:r>
        <w:rPr>
          <w:rFonts w:ascii="Times New Roman" w:hAnsi="Times New Roman" w:eastAsia="Times New Roman"/>
          <w:b w:val="0"/>
          <w:caps w:val="0"/>
          <w:sz w:val="24"/>
        </w:rPr>
        <w:t>Shifrat e nënkapitujve të mësipërm janë vlerësime të vetme mbi një korpus. Ky nënkapitull jep sa lëvizin ato kur korpusi rimostrohet, dhe sa pajtohen vetë rishikuesit, kundrejt të cilëve maten të gjitha.</w:t>
      </w:r>
    </w:p>
    <w:p>
      <w:pPr>
        <w:spacing w:line="360" w:lineRule="auto"/>
        <w:ind w:firstLine="360"/>
        <w:jc w:val="both"/>
      </w:pPr>
      <w:r>
        <w:rPr>
          <w:rFonts w:ascii="Times New Roman" w:hAnsi="Times New Roman" w:eastAsia="Times New Roman"/>
          <w:b w:val="0"/>
          <w:caps w:val="0"/>
          <w:sz w:val="24"/>
        </w:rPr>
        <w:t>Me bootstrap sipas depos (2000 rimostrime, Nënkapitulli 4.9), MCC-ja e secilës qasje dhe dallimi mes tyre kanë këto intervale besimi 95% (Tabela 21; Figura 11):</w:t>
      </w:r>
    </w:p>
    <w:p>
      <w:pPr>
        <w:keepNext/>
        <w:spacing w:line="240" w:lineRule="auto"/>
        <w:jc w:val="center"/>
      </w:pPr>
      <w:r>
        <w:rPr>
          <w:rFonts w:ascii="Times New Roman" w:hAnsi="Times New Roman" w:eastAsia="Times New Roman"/>
          <w:b w:val="0"/>
          <w:caps w:val="0"/>
          <w:sz w:val="22"/>
        </w:rPr>
        <w:t>Tabela 21.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[0.423, 0.568]</w:t>
            </w:r>
          </w:p>
        </w:tc>
        <w:tc>
          <w:tcPr>
            <w:tcW w:type="dxa" w:w="1768"/>
          </w:tcPr>
          <w:p>
            <w:pPr>
              <w:spacing w:line="240" w:lineRule="auto"/>
              <w:jc w:val="left"/>
            </w:pPr>
            <w:r>
              <w:rPr>
                <w:rFonts w:ascii="Times New Roman" w:hAnsi="Times New Roman" w:eastAsia="Times New Roman"/>
                <w:b w:val="0"/>
                <w:caps w:val="0"/>
                <w:sz w:val="22"/>
              </w:rPr>
              <w:t>[0.135, 0.312]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[0.608, 0.778]</w:t>
            </w:r>
          </w:p>
        </w:tc>
        <w:tc>
          <w:tcPr>
            <w:tcW w:type="dxa" w:w="1768"/>
          </w:tcPr>
          <w:p>
            <w:pPr>
              <w:spacing w:line="240" w:lineRule="auto"/>
              <w:jc w:val="left"/>
            </w:pPr>
            <w:r>
              <w:rPr>
                <w:rFonts w:ascii="Times New Roman" w:hAnsi="Times New Roman" w:eastAsia="Times New Roman"/>
                <w:b w:val="0"/>
                <w:caps w:val="0"/>
                <w:sz w:val="22"/>
              </w:rPr>
              <w:t>[0.288, 0.568]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[0.681, 0.766]</w:t>
            </w:r>
          </w:p>
        </w:tc>
        <w:tc>
          <w:tcPr>
            <w:tcW w:type="dxa" w:w="1768"/>
          </w:tcPr>
          <w:p>
            <w:pPr>
              <w:spacing w:line="240" w:lineRule="auto"/>
              <w:jc w:val="left"/>
            </w:pPr>
            <w:r>
              <w:rPr>
                <w:rFonts w:ascii="Times New Roman" w:hAnsi="Times New Roman" w:eastAsia="Times New Roman"/>
                <w:b w:val="0"/>
                <w:caps w:val="0"/>
                <w:sz w:val="22"/>
              </w:rPr>
              <w:t>[0.082, 0.213]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3" name="Picture 13"/>
            <wp:cNvGraphicFramePr>
              <a:graphicFrameLocks noChangeAspect="1"/>
            </wp:cNvGraphicFramePr>
            <a:graphic>
              <a:graphicData uri="http://schemas.openxmlformats.org/drawingml/2006/picture">
                <pic:pic>
                  <pic:nvPicPr>
                    <pic:cNvPr id="0" name="intervalet_e_besimit.png"/>
                    <pic:cNvPicPr/>
                  </pic:nvPicPr>
                  <pic:blipFill>
                    <a:blip r:embed="rId23"/>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11. MCC me interval besimi 95% për të dyja qasjet</w:t>
      </w:r>
    </w:p>
    <w:p>
      <w:pPr>
        <w:spacing w:line="360" w:lineRule="auto"/>
        <w:ind w:firstLine="360"/>
        <w:jc w:val="both"/>
      </w:pPr>
      <w:r>
        <w:rPr>
          <w:rFonts w:ascii="Times New Roman" w:hAnsi="Times New Roman" w:eastAsia="Times New Roman"/>
          <w:b w:val="0"/>
          <w:caps w:val="0"/>
          <w:sz w:val="24"/>
        </w:rPr>
        <w:t>Kufiri i poshtëm i dallimit B − A është mbi zero te të katër erërat. Intervali më i gjerë i dallimit është te Feature Envy, 0.281 pikë MCC.</w:t>
      </w:r>
    </w:p>
    <w:p>
      <w:pPr>
        <w:spacing w:line="360" w:lineRule="auto"/>
        <w:ind w:firstLine="360"/>
        <w:jc w:val="both"/>
      </w:pPr>
      <w:r>
        <w:rPr>
          <w:rFonts w:ascii="Times New Roman" w:hAnsi="Times New Roman" w:eastAsia="Times New Roman"/>
          <w:b w:val="0"/>
          <w:caps w:val="0"/>
          <w:sz w:val="24"/>
        </w:rPr>
        <w:t>Kur Qasja A merr pragun e saj më të mirë nga fshirja e Nënkapitullit 5.5, dallimi ka këto intervale (Tabela 22):</w:t>
      </w:r>
    </w:p>
    <w:p>
      <w:pPr>
        <w:keepNext/>
        <w:spacing w:line="240" w:lineRule="auto"/>
        <w:jc w:val="center"/>
      </w:pPr>
      <w:r>
        <w:rPr>
          <w:rFonts w:ascii="Times New Roman" w:hAnsi="Times New Roman" w:eastAsia="Times New Roman"/>
          <w:b w:val="0"/>
          <w:caps w:val="0"/>
          <w:sz w:val="22"/>
        </w:rPr>
        <w:t>Tabela 22.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[0.120, 0.297]</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[0.168, 0.400]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[-0.001, 0.068]</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97.2%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Kufiri i poshtëm mbetet mbi zero te Blob, Data Class dhe Feature Envy. Te Long Method intervali e përfshin zeron, dhe shenja pozitive ruhet në 97.2% të rimostrimeve.</w:t>
      </w:r>
    </w:p>
    <w:p>
      <w:pPr>
        <w:spacing w:line="360" w:lineRule="auto"/>
        <w:ind w:firstLine="360"/>
        <w:jc w:val="both"/>
      </w:pPr>
      <w:r>
        <w:rPr>
          <w:rFonts w:ascii="Times New Roman" w:hAnsi="Times New Roman" w:eastAsia="Times New Roman"/>
          <w:b w:val="0"/>
          <w:caps w:val="0"/>
          <w:sz w:val="24"/>
        </w:rPr>
        <w:t>Pajtimi mes vetë rishikuesve të MLCQ-së, i matur me të njëjtin tregues mbi çdo çift rishikimesh të së njëjtës mostër (Nënkapitulli 4.9), jep këto vlera (Tabela 23):</w:t>
      </w:r>
    </w:p>
    <w:p>
      <w:pPr>
        <w:keepNext/>
        <w:spacing w:line="240" w:lineRule="auto"/>
        <w:jc w:val="center"/>
      </w:pPr>
      <w:r>
        <w:rPr>
          <w:rFonts w:ascii="Times New Roman" w:hAnsi="Times New Roman" w:eastAsia="Times New Roman"/>
          <w:b w:val="0"/>
          <w:caps w:val="0"/>
          <w:sz w:val="22"/>
        </w:rPr>
        <w:t>Tabela 23.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mes rishikuesve nuk e kalon 0.238 te asnjë erë.</w:t>
      </w:r>
    </w:p>
    <w:p>
      <w:pPr>
        <w:spacing w:line="360" w:lineRule="auto"/>
        <w:ind w:firstLine="360"/>
        <w:jc w:val="both"/>
      </w:pPr>
      <w:r>
        <w:rPr>
          <w:rFonts w:ascii="Times New Roman" w:hAnsi="Times New Roman" w:eastAsia="Times New Roman"/>
          <w:b w:val="0"/>
          <w:caps w:val="0"/>
          <w:sz w:val="24"/>
        </w:rPr>
        <w:t>Me këto dy matje mbyllen vëzhgimet dytësore. Ato nuk i shtojnë përgjigje të re asnjë pyetjeje kërkimore, por i japin secilës shifër të mësipërme brezin e pasigurisë dhe tavanin kundrejt të cilit duhet lexuar.</w:t>
      </w:r>
    </w:p>
    <w:p>
      <w:pPr>
        <w:pStyle w:val="Heading2"/>
      </w:pPr>
      <w:r>
        <w:rPr>
          <w:rFonts w:ascii="Times New Roman" w:hAnsi="Times New Roman" w:eastAsia="Times New Roman"/>
          <w:b/>
          <w:caps w:val="0"/>
          <w:sz w:val="24"/>
        </w:rPr>
        <w:t>5.8 Përmbledhje e rezultateve</w:t>
      </w:r>
    </w:p>
    <w:p>
      <w:pPr>
        <w:spacing w:line="360" w:lineRule="auto"/>
        <w:ind w:firstLine="360"/>
        <w:jc w:val="both"/>
      </w:pPr>
      <w:r>
        <w:rPr>
          <w:rFonts w:ascii="Times New Roman" w:hAnsi="Times New Roman" w:eastAsia="Times New Roman"/>
          <w:b w:val="0"/>
          <w:caps w:val="0"/>
          <w:sz w:val="24"/>
        </w:rPr>
        <w:t>Tabela e fundit e kapitullit i mbledh në një vend shifrat që mbajnë përgjigjet, të renditura sipas pyetjes kërkimore. Ku shifra ndryshon sipas erës, jepet brezi nga vlera më e ulët te më e larta; kolona e fundit tregon nënkapitullin ku ajo paraqitet e plotë (Tabela 24).</w:t>
      </w:r>
    </w:p>
    <w:p>
      <w:pPr>
        <w:keepNext/>
        <w:spacing w:line="240" w:lineRule="auto"/>
        <w:jc w:val="center"/>
      </w:pPr>
      <w:r>
        <w:rPr>
          <w:rFonts w:ascii="Times New Roman" w:hAnsi="Times New Roman" w:eastAsia="Times New Roman"/>
          <w:b w:val="0"/>
          <w:caps w:val="0"/>
          <w:sz w:val="22"/>
        </w:rPr>
        <w:t>Tabela 24. Shifrat kryesore sipas pyetjes kërkimore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Pyetja</w:t>
            </w:r>
          </w:p>
        </w:tc>
        <w:tc>
          <w:tcPr>
            <w:tcW w:type="dxa" w:w="2209"/>
          </w:tcPr>
          <w:p>
            <w:pPr>
              <w:spacing w:line="240" w:lineRule="auto"/>
              <w:jc w:val="left"/>
            </w:pPr>
            <w:r>
              <w:rPr>
                <w:rFonts w:ascii="Times New Roman" w:hAnsi="Times New Roman" w:eastAsia="Times New Roman"/>
                <w:b/>
                <w:caps w:val="0"/>
                <w:sz w:val="22"/>
              </w:rPr>
              <w:t>Treguesi</w:t>
            </w:r>
          </w:p>
        </w:tc>
        <w:tc>
          <w:tcPr>
            <w:tcW w:type="dxa" w:w="2209"/>
          </w:tcPr>
          <w:p>
            <w:pPr>
              <w:spacing w:line="240" w:lineRule="auto"/>
              <w:jc w:val="left"/>
            </w:pPr>
            <w:r>
              <w:rPr>
                <w:rFonts w:ascii="Times New Roman" w:hAnsi="Times New Roman" w:eastAsia="Times New Roman"/>
                <w:b/>
                <w:caps w:val="0"/>
                <w:sz w:val="22"/>
              </w:rPr>
              <w:t>Vlera</w:t>
            </w:r>
          </w:p>
        </w:tc>
        <w:tc>
          <w:tcPr>
            <w:tcW w:type="dxa" w:w="2209"/>
          </w:tcPr>
          <w:p>
            <w:pPr>
              <w:spacing w:line="240" w:lineRule="auto"/>
              <w:jc w:val="left"/>
            </w:pPr>
            <w:r>
              <w:rPr>
                <w:rFonts w:ascii="Times New Roman" w:hAnsi="Times New Roman" w:eastAsia="Times New Roman"/>
                <w:b/>
                <w:caps w:val="0"/>
                <w:sz w:val="22"/>
              </w:rPr>
              <w:t>Nënkapitulli</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MCC e strategjive</w:t>
            </w:r>
          </w:p>
        </w:tc>
        <w:tc>
          <w:tcPr>
            <w:tcW w:type="dxa" w:w="2209"/>
          </w:tcPr>
          <w:p>
            <w:pPr>
              <w:spacing w:line="240" w:lineRule="auto"/>
              <w:jc w:val="left"/>
            </w:pPr>
            <w:r>
              <w:rPr>
                <w:rFonts w:ascii="Times New Roman" w:hAnsi="Times New Roman" w:eastAsia="Times New Roman"/>
                <w:b w:val="0"/>
                <w:caps w:val="0"/>
                <w:sz w:val="22"/>
              </w:rPr>
              <w:t>0.232 – 0.580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Precizioni i strategjive</w:t>
            </w:r>
          </w:p>
        </w:tc>
        <w:tc>
          <w:tcPr>
            <w:tcW w:type="dxa" w:w="2209"/>
          </w:tcPr>
          <w:p>
            <w:pPr>
              <w:spacing w:line="240" w:lineRule="auto"/>
              <w:jc w:val="left"/>
            </w:pPr>
            <w:r>
              <w:rPr>
                <w:rFonts w:ascii="Times New Roman" w:hAnsi="Times New Roman" w:eastAsia="Times New Roman"/>
                <w:b w:val="0"/>
                <w:caps w:val="0"/>
                <w:sz w:val="22"/>
              </w:rPr>
              <w:t>0.520 – 0.872</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Recall-i i strategjive</w:t>
            </w:r>
          </w:p>
        </w:tc>
        <w:tc>
          <w:tcPr>
            <w:tcW w:type="dxa" w:w="2209"/>
          </w:tcPr>
          <w:p>
            <w:pPr>
              <w:spacing w:line="240" w:lineRule="auto"/>
              <w:jc w:val="left"/>
            </w:pPr>
            <w:r>
              <w:rPr>
                <w:rFonts w:ascii="Times New Roman" w:hAnsi="Times New Roman" w:eastAsia="Times New Roman"/>
                <w:b w:val="0"/>
                <w:caps w:val="0"/>
                <w:sz w:val="22"/>
              </w:rPr>
              <w:t>0.100 – 0.440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MCC e modelit më të mirë</w:t>
            </w:r>
          </w:p>
        </w:tc>
        <w:tc>
          <w:tcPr>
            <w:tcW w:type="dxa" w:w="2209"/>
          </w:tcPr>
          <w:p>
            <w:pPr>
              <w:spacing w:line="240" w:lineRule="auto"/>
              <w:jc w:val="left"/>
            </w:pPr>
            <w:r>
              <w:rPr>
                <w:rFonts w:ascii="Times New Roman" w:hAnsi="Times New Roman" w:eastAsia="Times New Roman"/>
                <w:b w:val="0"/>
                <w:caps w:val="0"/>
                <w:sz w:val="22"/>
              </w:rPr>
              <w:t>0.488 – 0.724</w:t>
            </w:r>
          </w:p>
        </w:tc>
        <w:tc>
          <w:tcPr>
            <w:tcW w:type="dxa" w:w="2209"/>
          </w:tcPr>
          <w:p>
            <w:pPr>
              <w:spacing w:line="240" w:lineRule="auto"/>
              <w:jc w:val="left"/>
            </w:pPr>
            <w:r>
              <w:rPr>
                <w:rFonts w:ascii="Times New Roman" w:hAnsi="Times New Roman" w:eastAsia="Times New Roman"/>
                <w:b w:val="0"/>
                <w:caps w:val="0"/>
                <w:sz w:val="22"/>
              </w:rPr>
              <w:t>5.2</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Dallimi B − A në MCC</w:t>
            </w:r>
          </w:p>
        </w:tc>
        <w:tc>
          <w:tcPr>
            <w:tcW w:type="dxa" w:w="2209"/>
          </w:tcPr>
          <w:p>
            <w:pPr>
              <w:spacing w:line="240" w:lineRule="auto"/>
              <w:jc w:val="left"/>
            </w:pPr>
            <w:r>
              <w:rPr>
                <w:rFonts w:ascii="Times New Roman" w:hAnsi="Times New Roman" w:eastAsia="Times New Roman"/>
                <w:b w:val="0"/>
                <w:caps w:val="0"/>
                <w:sz w:val="22"/>
              </w:rPr>
              <w:t>0.144 – 0.425</w:t>
            </w:r>
          </w:p>
        </w:tc>
        <w:tc>
          <w:tcPr>
            <w:tcW w:type="dxa" w:w="2209"/>
          </w:tcPr>
          <w:p>
            <w:pPr>
              <w:spacing w:line="240" w:lineRule="auto"/>
              <w:jc w:val="left"/>
            </w:pPr>
            <w:r>
              <w:rPr>
                <w:rFonts w:ascii="Times New Roman" w:hAnsi="Times New Roman" w:eastAsia="Times New Roman"/>
                <w:b w:val="0"/>
                <w:caps w:val="0"/>
                <w:sz w:val="22"/>
              </w:rPr>
              <w:t>5.3</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Erëra me dallim mbi zero (IB 95%)</w:t>
            </w:r>
          </w:p>
        </w:tc>
        <w:tc>
          <w:tcPr>
            <w:tcW w:type="dxa" w:w="2209"/>
          </w:tcPr>
          <w:p>
            <w:pPr>
              <w:spacing w:line="240" w:lineRule="auto"/>
              <w:jc w:val="left"/>
            </w:pPr>
            <w:r>
              <w:rPr>
                <w:rFonts w:ascii="Times New Roman" w:hAnsi="Times New Roman" w:eastAsia="Times New Roman"/>
                <w:b w:val="0"/>
                <w:caps w:val="0"/>
                <w:sz w:val="22"/>
              </w:rPr>
              <w:t>4 nga 4</w:t>
            </w:r>
          </w:p>
        </w:tc>
        <w:tc>
          <w:tcPr>
            <w:tcW w:type="dxa" w:w="2209"/>
          </w:tcPr>
          <w:p>
            <w:pPr>
              <w:spacing w:line="240" w:lineRule="auto"/>
              <w:jc w:val="left"/>
            </w:pPr>
            <w:r>
              <w:rPr>
                <w:rFonts w:ascii="Times New Roman" w:hAnsi="Times New Roman" w:eastAsia="Times New Roman"/>
                <w:b w:val="0"/>
                <w:caps w:val="0"/>
                <w:sz w:val="22"/>
              </w:rPr>
              <w:t>5.7</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Vende të transformuara</w:t>
            </w:r>
          </w:p>
        </w:tc>
        <w:tc>
          <w:tcPr>
            <w:tcW w:type="dxa" w:w="2209"/>
          </w:tcPr>
          <w:p>
            <w:pPr>
              <w:spacing w:line="240" w:lineRule="auto"/>
              <w:jc w:val="left"/>
            </w:pPr>
            <w:r>
              <w:rPr>
                <w:rFonts w:ascii="Times New Roman" w:hAnsi="Times New Roman" w:eastAsia="Times New Roman"/>
                <w:b w:val="0"/>
                <w:caps w:val="0"/>
                <w:sz w:val="22"/>
              </w:rPr>
              <w:t>3532 nga 15 800 (22.4%)</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me gabim të ri</w:t>
            </w:r>
          </w:p>
        </w:tc>
        <w:tc>
          <w:tcPr>
            <w:tcW w:type="dxa" w:w="2209"/>
          </w:tcPr>
          <w:p>
            <w:pPr>
              <w:spacing w:line="240" w:lineRule="auto"/>
              <w:jc w:val="left"/>
            </w:pPr>
            <w:r>
              <w:rPr>
                <w:rFonts w:ascii="Times New Roman" w:hAnsi="Times New Roman" w:eastAsia="Times New Roman"/>
                <w:b w:val="0"/>
                <w:caps w:val="0"/>
                <w:sz w:val="22"/>
              </w:rPr>
              <w:t>58 (1.6%)</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ku era u hoq</w:t>
            </w:r>
          </w:p>
        </w:tc>
        <w:tc>
          <w:tcPr>
            <w:tcW w:type="dxa" w:w="2209"/>
          </w:tcPr>
          <w:p>
            <w:pPr>
              <w:spacing w:line="240" w:lineRule="auto"/>
              <w:jc w:val="left"/>
            </w:pPr>
            <w:r>
              <w:rPr>
                <w:rFonts w:ascii="Times New Roman" w:hAnsi="Times New Roman" w:eastAsia="Times New Roman"/>
                <w:b w:val="0"/>
                <w:caps w:val="0"/>
                <w:sz w:val="22"/>
              </w:rPr>
              <w:t>2287 (64.8%)</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Erëra të reja pas rishkrimit</w:t>
            </w:r>
          </w:p>
        </w:tc>
        <w:tc>
          <w:tcPr>
            <w:tcW w:type="dxa" w:w="2209"/>
          </w:tcPr>
          <w:p>
            <w:pPr>
              <w:spacing w:line="240" w:lineRule="auto"/>
              <w:jc w:val="left"/>
            </w:pPr>
            <w:r>
              <w:rPr>
                <w:rFonts w:ascii="Times New Roman" w:hAnsi="Times New Roman" w:eastAsia="Times New Roman"/>
                <w:b w:val="0"/>
                <w:caps w:val="0"/>
                <w:sz w:val="22"/>
              </w:rPr>
              <w:t>865</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të pranueshme për zhvilluesin (të ripeshuara)</w:t>
            </w:r>
          </w:p>
        </w:tc>
        <w:tc>
          <w:tcPr>
            <w:tcW w:type="dxa" w:w="2209"/>
          </w:tcPr>
          <w:p>
            <w:pPr>
              <w:spacing w:line="240" w:lineRule="auto"/>
              <w:jc w:val="left"/>
            </w:pPr>
            <w:r>
              <w:rPr>
                <w:rFonts w:ascii="Times New Roman" w:hAnsi="Times New Roman" w:eastAsia="Times New Roman"/>
                <w:b w:val="0"/>
                <w:caps w:val="0"/>
                <w:sz w:val="22"/>
              </w:rPr>
              <w:t>62.9%</w:t>
            </w:r>
          </w:p>
        </w:tc>
        <w:tc>
          <w:tcPr>
            <w:tcW w:type="dxa" w:w="2209"/>
          </w:tcPr>
          <w:p>
            <w:pPr>
              <w:spacing w:line="240" w:lineRule="auto"/>
              <w:jc w:val="left"/>
            </w:pPr>
            <w:r>
              <w:rPr>
                <w:rFonts w:ascii="Times New Roman" w:hAnsi="Times New Roman" w:eastAsia="Times New Roman"/>
                <w:b w:val="0"/>
                <w:caps w:val="0"/>
                <w:sz w:val="22"/>
              </w:rPr>
              <w:t>5.4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6 i merr këto shifra me radhë: i interpreton, i krahason me literaturën dhe prej tyre formulon përgjigjen për secilën pyetje.</w:t>
      </w:r>
    </w:p>
    <w:p>
      <w:pPr>
        <w:pStyle w:val="Heading1"/>
        <w:pageBreakBefore/>
      </w:pPr>
      <w:r>
        <w:rPr>
          <w:rFonts w:ascii="Times New Roman" w:hAnsi="Times New Roman" w:eastAsia="Times New Roman"/>
          <w:b/>
          <w:caps/>
          <w:sz w:val="28"/>
        </w:rPr>
        <w:t>6 Diskutime dhe përfundime</w:t>
      </w:r>
    </w:p>
    <w:p>
      <w:pPr>
        <w:spacing w:line="360" w:lineRule="auto"/>
        <w:ind w:firstLine="360"/>
        <w:jc w:val="both"/>
      </w:pPr>
      <w:r>
        <w:rPr>
          <w:rFonts w:ascii="Times New Roman" w:hAnsi="Times New Roman" w:eastAsia="Times New Roman"/>
          <w:b w:val="0"/>
          <w:caps w:val="0"/>
          <w:sz w:val="24"/>
        </w:rPr>
        <w:t>Kapitulli 5 i dha rezultatet ashtu si dolën. Ky kapitull i shpjegon: çfarë nënkupton secili rezultat (6.1), çfarë funksionoi dhe çfarë jo (6.2), si krahasohen gjetjet me ato të literaturës (6.3) dhe si përgjigjet secila pyetje kërkimore (6.4). Pas tyre vijnë implikimet (6.5), kufizimet që e ngushtojnë vlefshmërinë e përfundimeve (6.6), drejtimet për punë të mëtejshme (6.7) dhe përfundimi i punimit (6.8).</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val="0"/>
          <w:caps w:val="0"/>
          <w:sz w:val="24"/>
        </w:rPr>
        <w:t>Sa varet ky përfundim nga pragjet? Te Blob dhe Data Class zhvendosja e çdo pragu mezi e lëviz MCC-në (Nënkapitulli 5.5), ndaj shifrat e tyre flasin për kodin dhe jo për pragun. Te Feature Envy dhe Long Method amplituda është e madhe, pra shifra e raportuar flet po aq për pragun sa për kodin. Kjo vlen sa herë krahasohen mjete detektimi që përdorin pragje të ndryshme: dallimi mes tyre mund të jetë dallim pragjesh e jo metodash.</w:t>
      </w:r>
    </w:p>
    <w:p>
      <w:pPr>
        <w:spacing w:line="360" w:lineRule="auto"/>
        <w:ind w:firstLine="360"/>
        <w:jc w:val="both"/>
      </w:pPr>
      <w:r>
        <w:rPr>
          <w:rFonts w:ascii="Times New Roman" w:hAnsi="Times New Roman" w:eastAsia="Times New Roman"/>
          <w:b w:val="0"/>
          <w:caps w:val="0"/>
          <w:sz w:val="24"/>
        </w:rPr>
        <w:t>Te Long Method, pragu i botuar del konservativ për këtë korpus: me një prag më të ulët recall-i rritet shumë më tepër sesa bie precizioni, çka sugjeron se rishikuesit e MLCQ-së e quajnë një metodë të gjatë më herët sesa e vendos pragu. Fitimi megjithatë paguhet me precizion, dhe foldet e kalibrimit nuk bien dakord për vlerën.</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klasat-burim të jenë pak, kur relaksohet, i përmirëson njëkohësisht precizionin dhe recall-in, dhe kalibrimi jashtë fold-it e zgjedh të njëjtën vlerë në çdo fold. Një kufizim që heq pozitivë të vërtetë pa hequr të rremë nuk e ndan sinjalin nga zhurma; mbi këtë korpus, pra, ajo klauzolë nuk e bën punën për të cilën u vendos.</w:t>
      </w:r>
    </w:p>
    <w:p>
      <w:pPr>
        <w:spacing w:line="360" w:lineRule="auto"/>
        <w:ind w:firstLine="360"/>
        <w:jc w:val="both"/>
      </w:pPr>
      <w:r>
        <w:rPr>
          <w:rFonts w:ascii="Times New Roman" w:hAnsi="Times New Roman" w:eastAsia="Times New Roman"/>
          <w:b w:val="0"/>
          <w:caps w:val="0"/>
          <w:sz w:val="24"/>
        </w:rPr>
        <w:t>Te Long Method, dallimi mes fshirjes dhe kalibrimit (Nënkapitulli 5.5) është pikërisht ajo që fitohet kur zgjedhjes i lejohet ta shohë bashkësinë mbi të cilën do të raportohet, dhe arsyeja pse u raportua shifra e kalibruar.</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të katër erërat, me 0.093 deri në 0.166. Metrikat e tjera shtojnë edhe 0.052 deri në 0.259, më së shumti te Feature Envy. Strategjive u mungojnë pra të dyja: kufiri i duhur dhe një pjesë e informacionit.</w:t>
      </w:r>
    </w:p>
    <w:p>
      <w:pPr>
        <w:spacing w:line="360" w:lineRule="auto"/>
        <w:ind w:firstLine="360"/>
        <w:jc w:val="both"/>
      </w:pPr>
      <w:r>
        <w:rPr>
          <w:rFonts w:ascii="Times New Roman" w:hAnsi="Times New Roman" w:eastAsia="Times New Roman"/>
          <w:b w:val="0"/>
          <w:caps w:val="0"/>
          <w:sz w:val="24"/>
        </w:rPr>
        <w:t>Intervalet e besimit e forcojnë këtë lexim (Nënkapitulli 5.7). Përparësia e modelit mbetet mbi zero te të katër erërat kur korpusi rimostrohet sipas depos, pra nuk është artefakt i një korpusi të veçantë. Por intervalet janë të gjera, ndaj renditja e erërave mes tyre nuk qëndron: dallimi mes Data Class-it dhe Blob-it, për shembull, humbet brenda tyre. Kur rregullit i jepet pragu i tij më i mirë, përparësia zhduket te Long Method, pikërisht aty ku rregulli punonte më mirë; ky është kufizimi i vetëm i rëndësishëm i krahasimit mes dy qasjeve.</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56% deri në 97%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197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Leximi i rishkrimeve (Nënkapitulli 5.4) e përmbys këtë renditje. Transformimi që e heq erën me ndërtim, Introduce Parameter Object, nuk u pranua asnjëherë: klasa e re merr emrin e metodës, mban të gjithë parametrat dhe shpaketohet në rreshtat e parë, ndaj lista e gjatë kalon nga metoda te konstruktori dhe thirrjet nuk lexohen më mirë. Era zhduket sipas matjes, jo sipas lexuesit. Fowler-i e propozon këtë transformim për parametra që udhëtojnë bashkë si një koncept, jo për çdo listë që kalon një prag, dhe ky dallim nuk matet me numrin e parametrave. Guard Clauses, përkundrazi, u pranua te 20 nga 20 rishkrimet e lexuara, zakonisht pas një ndreqjeje të vogël: motori e shkruan kushtin si mohim të plotë, !(raw != null), aty ku një zhvillues do të shkruante raw == null.</w:t>
      </w:r>
    </w:p>
    <w:p>
      <w:pPr>
        <w:spacing w:line="360" w:lineRule="auto"/>
        <w:ind w:firstLine="360"/>
        <w:jc w:val="both"/>
      </w:pPr>
      <w:r>
        <w:rPr>
          <w:rFonts w:ascii="Times New Roman" w:hAnsi="Times New Roman" w:eastAsia="Times New Roman"/>
          <w:b w:val="0"/>
          <w:caps w:val="0"/>
          <w:sz w:val="24"/>
        </w:rPr>
        <w:t>Extract Method u pranua te 13 nga 20 rishkrime, kur blloku i nxjerrë kishte një përgjegjësi të qartë, dhe gjithmonë pas ndreqjes së emrit «extracted», të cilin një motor determinist nuk e zgjedh dot. U refuzua kur nxirrte vetëm një nga shumë blloqe paralele, kur zhvendoste gjithë trupin e metodës, ose kur prekte kod të gjeneruar nga një mjet. Kufiri i tij nuk është pra sintaksor: blloku që motori di ta nxjerrë pa rrezik nuk është gjithmonë blloku që ia vlen të nxirret.</w:t>
      </w:r>
    </w:p>
    <w:p>
      <w:pPr>
        <w:spacing w:line="360" w:lineRule="auto"/>
        <w:ind w:firstLine="360"/>
        <w:jc w:val="both"/>
      </w:pPr>
      <w:r>
        <w:rPr>
          <w:rFonts w:ascii="Times New Roman" w:hAnsi="Times New Roman" w:eastAsia="Times New Roman"/>
          <w:b w:val="0"/>
          <w:caps w:val="0"/>
          <w:sz w:val="24"/>
        </w:rPr>
        <w:t>Leximi gjeti edhe një rishkrim që nuk kompilon dhe që kontrolli i kompilatorit e kishte lënë të kalonte. Extract Method nxori një bllok që cakton një variabël vetëm brenda një if-i, por nuk ia kaloi metodës së re as variablën, as vlerën e saj të mëparshme. Gabimi «cannot find symbol» që shtonte ishte i të njëjtit lloj si qindra të tjerë që skedari i izoluar kishte tashmë, ndaj toleranca «pa lloj të ri gabimi» nuk e dalloi. Është defekt i analizës së daljeve në motor dhe provë konkrete e kufirit të asaj tolerance.</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val="0"/>
          <w:caps w:val="0"/>
          <w:sz w:val="24"/>
        </w:rPr>
        <w:t>Edhe disa rezultate e mbajtën premtimin e tyre. Modeli e kaloi rregullin te çdo erë, dhe shumica e verdikteve të tij, nga 56% deri në 97%, u shpjeguan me një matje të vetme, ndaj fitimi nuk erdhi në kurriz të shpjegueshmërisë. Kur dy qasjet pajtohen, precizioni nuk bie nën 0.78, çka i jep zhvilluesit një sinjal të fortë. Te refaktorimi, vetëm 1.6% e rishkrimeve shtuan gabim të ri, dhe rojet e Guard Clauses u gjykuan të pranueshme te 20 nga 20 rishkrimet e lexuara.</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8.6).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8.7).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(Nënkapitulli 5.5).</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dhe Introduce Parameter Object, ashtu si e zbaton motori, e heq erën nga matja pa e hequr nga kodi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25).</w:t>
      </w:r>
    </w:p>
    <w:p>
      <w:pPr>
        <w:keepNext/>
        <w:spacing w:line="240" w:lineRule="auto"/>
        <w:jc w:val="center"/>
      </w:pPr>
      <w:r>
        <w:rPr>
          <w:rFonts w:ascii="Times New Roman" w:hAnsi="Times New Roman" w:eastAsia="Times New Roman"/>
          <w:b w:val="0"/>
          <w:caps w:val="0"/>
          <w:sz w:val="22"/>
        </w:rPr>
        <w:t>Tabela 25.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0.498</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0.696</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0.724</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të fiksuar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0.70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0.77,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2.3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(Nënkapitulli 5.6),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spacing w:line="360" w:lineRule="auto"/>
        <w:ind w:firstLine="360"/>
        <w:jc w:val="both"/>
      </w:pPr>
      <w:r>
        <w:rPr>
          <w:rFonts w:ascii="Times New Roman" w:hAnsi="Times New Roman" w:eastAsia="Times New Roman"/>
          <w:b w:val="0"/>
          <w:caps w:val="0"/>
          <w:sz w:val="24"/>
        </w:rPr>
        <w:t>Dy gjetje të tjera lidhen me literaturën për ndikimin e erërave. Roli i madhësisë te Blob-i, i diskutuar te Nënkapitulli 6.2, ka një paralel te Sjøberg et al. (2013): edhe atje madhësia e kodit peshonte më shumë se erërat vetë në përpjekjen e mirëmbajtjes. Te refaktorimi, Bavota et al. (2015) gjetën se vetëm 7% e refaktorimeve të zhvilluesve e heqin erën nga klasa; motori i këtij punimi e heq atë te 64.8% e rishkrimeve që aplikon. Krahasimi nuk është i drejtpërdrejtë, sepse zhvilluesit shpesh refaktorojnë për arsye që nuk kanë lidhje me një erë (Silva et al., 2016), por tregon vlerën e një transformimi që zgjidhet për erën e gjetur dhe matet pas aplikimit.</w:t>
      </w:r>
    </w:p>
    <w:p>
      <w:pPr>
        <w:spacing w:line="360" w:lineRule="auto"/>
        <w:ind w:firstLine="360"/>
        <w:jc w:val="both"/>
      </w:pPr>
      <w:r>
        <w:rPr>
          <w:rFonts w:ascii="Times New Roman" w:hAnsi="Times New Roman" w:eastAsia="Times New Roman"/>
          <w:b w:val="0"/>
          <w:caps w:val="0"/>
          <w:sz w:val="24"/>
        </w:rPr>
        <w:t>Krahasimet e mësipërme përmblidhen në tabelën e mëposhtme. Kolona e fundit thotë nëse gjetja e këtij punimi e mbështet atë të burimit, e kundërshton apo nuk krahasohet dot drejtpërdrejt me të (Tabela 26).</w:t>
      </w:r>
    </w:p>
    <w:p>
      <w:pPr>
        <w:keepNext/>
        <w:spacing w:line="240" w:lineRule="auto"/>
        <w:jc w:val="center"/>
      </w:pPr>
      <w:r>
        <w:rPr>
          <w:rFonts w:ascii="Times New Roman" w:hAnsi="Times New Roman" w:eastAsia="Times New Roman"/>
          <w:b w:val="0"/>
          <w:caps w:val="0"/>
          <w:sz w:val="22"/>
        </w:rPr>
        <w:t>Tabela 26. Gjetjet e punimit përballë literaturës</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Burimi</w:t>
            </w:r>
          </w:p>
        </w:tc>
        <w:tc>
          <w:tcPr>
            <w:tcW w:type="dxa" w:w="2209"/>
          </w:tcPr>
          <w:p>
            <w:pPr>
              <w:spacing w:line="240" w:lineRule="auto"/>
              <w:jc w:val="left"/>
            </w:pPr>
            <w:r>
              <w:rPr>
                <w:rFonts w:ascii="Times New Roman" w:hAnsi="Times New Roman" w:eastAsia="Times New Roman"/>
                <w:b/>
                <w:caps w:val="0"/>
                <w:sz w:val="22"/>
              </w:rPr>
              <w:t>Gjetja e burimit</w:t>
            </w:r>
          </w:p>
        </w:tc>
        <w:tc>
          <w:tcPr>
            <w:tcW w:type="dxa" w:w="2209"/>
          </w:tcPr>
          <w:p>
            <w:pPr>
              <w:spacing w:line="240" w:lineRule="auto"/>
              <w:jc w:val="left"/>
            </w:pPr>
            <w:r>
              <w:rPr>
                <w:rFonts w:ascii="Times New Roman" w:hAnsi="Times New Roman" w:eastAsia="Times New Roman"/>
                <w:b/>
                <w:caps w:val="0"/>
                <w:sz w:val="22"/>
              </w:rPr>
              <w:t>Gjetja këtu</w:t>
            </w:r>
          </w:p>
        </w:tc>
        <w:tc>
          <w:tcPr>
            <w:tcW w:type="dxa" w:w="2209"/>
          </w:tcPr>
          <w:p>
            <w:pPr>
              <w:spacing w:line="240" w:lineRule="auto"/>
              <w:jc w:val="left"/>
            </w:pPr>
            <w:r>
              <w:rPr>
                <w:rFonts w:ascii="Times New Roman" w:hAnsi="Times New Roman" w:eastAsia="Times New Roman"/>
                <w:b/>
                <w:caps w:val="0"/>
                <w:sz w:val="22"/>
              </w:rPr>
              <w:t>Raporti</w:t>
            </w:r>
          </w:p>
        </w:tc>
      </w:tr>
      <w:tr>
        <w:tc>
          <w:tcPr>
            <w:tcW w:type="dxa" w:w="2209"/>
          </w:tcPr>
          <w:p>
            <w:pPr>
              <w:spacing w:line="240" w:lineRule="auto"/>
              <w:jc w:val="left"/>
            </w:pPr>
            <w:r>
              <w:rPr>
                <w:rFonts w:ascii="Times New Roman" w:hAnsi="Times New Roman" w:eastAsia="Times New Roman"/>
                <w:b w:val="0"/>
                <w:caps w:val="0"/>
                <w:sz w:val="22"/>
              </w:rPr>
              <w:t>Lanza &amp; Marinescu (2006)</w:t>
            </w:r>
          </w:p>
        </w:tc>
        <w:tc>
          <w:tcPr>
            <w:tcW w:type="dxa" w:w="2209"/>
          </w:tcPr>
          <w:p>
            <w:pPr>
              <w:spacing w:line="240" w:lineRule="auto"/>
              <w:jc w:val="left"/>
            </w:pPr>
            <w:r>
              <w:rPr>
                <w:rFonts w:ascii="Times New Roman" w:hAnsi="Times New Roman" w:eastAsia="Times New Roman"/>
                <w:b w:val="0"/>
                <w:caps w:val="0"/>
                <w:sz w:val="22"/>
              </w:rPr>
              <w:t>strategji me pragje nga statistikat e 45 sistemeve</w:t>
            </w:r>
          </w:p>
        </w:tc>
        <w:tc>
          <w:tcPr>
            <w:tcW w:type="dxa" w:w="2209"/>
          </w:tcPr>
          <w:p>
            <w:pPr>
              <w:spacing w:line="240" w:lineRule="auto"/>
              <w:jc w:val="left"/>
            </w:pPr>
            <w:r>
              <w:rPr>
                <w:rFonts w:ascii="Times New Roman" w:hAnsi="Times New Roman" w:eastAsia="Times New Roman"/>
                <w:b w:val="0"/>
                <w:caps w:val="0"/>
                <w:sz w:val="22"/>
              </w:rPr>
              <w:t>precizion 0.52–0.87, recall 0.10–0.44</w:t>
            </w:r>
          </w:p>
        </w:tc>
        <w:tc>
          <w:tcPr>
            <w:tcW w:type="dxa" w:w="2209"/>
          </w:tcPr>
          <w:p>
            <w:pPr>
              <w:spacing w:line="240" w:lineRule="auto"/>
              <w:jc w:val="left"/>
            </w:pPr>
            <w:r>
              <w:rPr>
                <w:rFonts w:ascii="Times New Roman" w:hAnsi="Times New Roman" w:eastAsia="Times New Roman"/>
                <w:b w:val="0"/>
                <w:caps w:val="0"/>
                <w:sz w:val="22"/>
              </w:rPr>
              <w:t>pjesërisht</w:t>
            </w:r>
          </w:p>
        </w:tc>
      </w:tr>
      <w:tr>
        <w:tc>
          <w:tcPr>
            <w:tcW w:type="dxa" w:w="2209"/>
          </w:tcPr>
          <w:p>
            <w:pPr>
              <w:spacing w:line="240" w:lineRule="auto"/>
              <w:jc w:val="left"/>
            </w:pPr>
            <w:r>
              <w:rPr>
                <w:rFonts w:ascii="Times New Roman" w:hAnsi="Times New Roman" w:eastAsia="Times New Roman"/>
                <w:b w:val="0"/>
                <w:caps w:val="0"/>
                <w:sz w:val="22"/>
              </w:rPr>
              <w:t>Arcelli Fontana et al. (2016)</w:t>
            </w:r>
          </w:p>
        </w:tc>
        <w:tc>
          <w:tcPr>
            <w:tcW w:type="dxa" w:w="2209"/>
          </w:tcPr>
          <w:p>
            <w:pPr>
              <w:spacing w:line="240" w:lineRule="auto"/>
              <w:jc w:val="left"/>
            </w:pPr>
            <w:r>
              <w:rPr>
                <w:rFonts w:ascii="Times New Roman" w:hAnsi="Times New Roman" w:eastAsia="Times New Roman"/>
                <w:b w:val="0"/>
                <w:caps w:val="0"/>
                <w:sz w:val="22"/>
              </w:rPr>
              <w:t>saktësi dhe F-measure mbi 95%</w:t>
            </w:r>
          </w:p>
        </w:tc>
        <w:tc>
          <w:tcPr>
            <w:tcW w:type="dxa" w:w="2209"/>
          </w:tcPr>
          <w:p>
            <w:pPr>
              <w:spacing w:line="240" w:lineRule="auto"/>
              <w:jc w:val="left"/>
            </w:pPr>
            <w:r>
              <w:rPr>
                <w:rFonts w:ascii="Times New Roman" w:hAnsi="Times New Roman" w:eastAsia="Times New Roman"/>
                <w:b w:val="0"/>
                <w:caps w:val="0"/>
                <w:sz w:val="22"/>
              </w:rPr>
              <w:t>F1 0.61–0.77</w:t>
            </w:r>
          </w:p>
        </w:tc>
        <w:tc>
          <w:tcPr>
            <w:tcW w:type="dxa" w:w="2209"/>
          </w:tcPr>
          <w:p>
            <w:pPr>
              <w:spacing w:line="240" w:lineRule="auto"/>
              <w:jc w:val="left"/>
            </w:pPr>
            <w:r>
              <w:rPr>
                <w:rFonts w:ascii="Times New Roman" w:hAnsi="Times New Roman" w:eastAsia="Times New Roman"/>
                <w:b w:val="0"/>
                <w:caps w:val="0"/>
                <w:sz w:val="22"/>
              </w:rPr>
              <w:t>nuk konfirmohet</w:t>
            </w:r>
          </w:p>
        </w:tc>
      </w:tr>
      <w:tr>
        <w:tc>
          <w:tcPr>
            <w:tcW w:type="dxa" w:w="2209"/>
          </w:tcPr>
          <w:p>
            <w:pPr>
              <w:spacing w:line="240" w:lineRule="auto"/>
              <w:jc w:val="left"/>
            </w:pPr>
            <w:r>
              <w:rPr>
                <w:rFonts w:ascii="Times New Roman" w:hAnsi="Times New Roman" w:eastAsia="Times New Roman"/>
                <w:b w:val="0"/>
                <w:caps w:val="0"/>
                <w:sz w:val="22"/>
              </w:rPr>
              <w:t>Di Nucci et al. (2018)</w:t>
            </w:r>
          </w:p>
        </w:tc>
        <w:tc>
          <w:tcPr>
            <w:tcW w:type="dxa" w:w="2209"/>
          </w:tcPr>
          <w:p>
            <w:pPr>
              <w:spacing w:line="240" w:lineRule="auto"/>
              <w:jc w:val="left"/>
            </w:pPr>
            <w:r>
              <w:rPr>
                <w:rFonts w:ascii="Times New Roman" w:hAnsi="Times New Roman" w:eastAsia="Times New Roman"/>
                <w:b w:val="0"/>
                <w:caps w:val="0"/>
                <w:sz w:val="22"/>
              </w:rPr>
              <w:t>me të dhëna realiste performanca bie ndjeshëm</w:t>
            </w:r>
          </w:p>
        </w:tc>
        <w:tc>
          <w:tcPr>
            <w:tcW w:type="dxa" w:w="2209"/>
          </w:tcPr>
          <w:p>
            <w:pPr>
              <w:spacing w:line="240" w:lineRule="auto"/>
              <w:jc w:val="left"/>
            </w:pPr>
            <w:r>
              <w:rPr>
                <w:rFonts w:ascii="Times New Roman" w:hAnsi="Times New Roman" w:eastAsia="Times New Roman"/>
                <w:b w:val="0"/>
                <w:caps w:val="0"/>
                <w:sz w:val="22"/>
              </w:rPr>
              <w:t>F1 0.61–0.77 mbi MLCQ</w:t>
            </w:r>
          </w:p>
        </w:tc>
        <w:tc>
          <w:tcPr>
            <w:tcW w:type="dxa" w:w="2209"/>
          </w:tcPr>
          <w:p>
            <w:pPr>
              <w:spacing w:line="240" w:lineRule="auto"/>
              <w:jc w:val="left"/>
            </w:pPr>
            <w:r>
              <w:rPr>
                <w:rFonts w:ascii="Times New Roman" w:hAnsi="Times New Roman" w:eastAsia="Times New Roman"/>
                <w:b w:val="0"/>
                <w:caps w:val="0"/>
                <w:sz w:val="22"/>
              </w:rPr>
              <w:t>konfirmohet</w:t>
            </w:r>
          </w:p>
        </w:tc>
      </w:tr>
      <w:tr>
        <w:tc>
          <w:tcPr>
            <w:tcW w:type="dxa" w:w="2209"/>
          </w:tcPr>
          <w:p>
            <w:pPr>
              <w:spacing w:line="240" w:lineRule="auto"/>
              <w:jc w:val="left"/>
            </w:pPr>
            <w:r>
              <w:rPr>
                <w:rFonts w:ascii="Times New Roman" w:hAnsi="Times New Roman" w:eastAsia="Times New Roman"/>
                <w:b w:val="0"/>
                <w:caps w:val="0"/>
                <w:sz w:val="22"/>
              </w:rPr>
              <w:t>Madeyski &amp; Lewowski (2023)</w:t>
            </w:r>
          </w:p>
        </w:tc>
        <w:tc>
          <w:tcPr>
            <w:tcW w:type="dxa" w:w="2209"/>
          </w:tcPr>
          <w:p>
            <w:pPr>
              <w:spacing w:line="240" w:lineRule="auto"/>
              <w:jc w:val="left"/>
            </w:pPr>
            <w:r>
              <w:rPr>
                <w:rFonts w:ascii="Times New Roman" w:hAnsi="Times New Roman" w:eastAsia="Times New Roman"/>
                <w:b w:val="0"/>
                <w:caps w:val="0"/>
                <w:sz w:val="22"/>
              </w:rPr>
              <w:t>MCC 0.51 te Blob, 0.57 te Data Class, 0.31 te Feature Envy</w:t>
            </w:r>
          </w:p>
        </w:tc>
        <w:tc>
          <w:tcPr>
            <w:tcW w:type="dxa" w:w="2209"/>
          </w:tcPr>
          <w:p>
            <w:pPr>
              <w:spacing w:line="240" w:lineRule="auto"/>
              <w:jc w:val="left"/>
            </w:pPr>
            <w:r>
              <w:rPr>
                <w:rFonts w:ascii="Times New Roman" w:hAnsi="Times New Roman" w:eastAsia="Times New Roman"/>
                <w:b w:val="0"/>
                <w:caps w:val="0"/>
                <w:sz w:val="22"/>
              </w:rPr>
              <w:t>MCC 0.49–0.72; 0.70 te Feature Envy</w:t>
            </w:r>
          </w:p>
        </w:tc>
        <w:tc>
          <w:tcPr>
            <w:tcW w:type="dxa" w:w="2209"/>
          </w:tcPr>
          <w:p>
            <w:pPr>
              <w:spacing w:line="240" w:lineRule="auto"/>
              <w:jc w:val="left"/>
            </w:pPr>
            <w:r>
              <w:rPr>
                <w:rFonts w:ascii="Times New Roman" w:hAnsi="Times New Roman" w:eastAsia="Times New Roman"/>
                <w:b w:val="0"/>
                <w:caps w:val="0"/>
                <w:sz w:val="22"/>
              </w:rPr>
              <w:t>i njëjti brez, Feature Envy më lart</w:t>
            </w:r>
          </w:p>
        </w:tc>
      </w:tr>
      <w:tr>
        <w:tc>
          <w:tcPr>
            <w:tcW w:type="dxa" w:w="2209"/>
          </w:tcPr>
          <w:p>
            <w:pPr>
              <w:spacing w:line="240" w:lineRule="auto"/>
              <w:jc w:val="left"/>
            </w:pPr>
            <w:r>
              <w:rPr>
                <w:rFonts w:ascii="Times New Roman" w:hAnsi="Times New Roman" w:eastAsia="Times New Roman"/>
                <w:b w:val="0"/>
                <w:caps w:val="0"/>
                <w:sz w:val="22"/>
              </w:rPr>
              <w:t>Mäntylä &amp; Lassenius (2006)</w:t>
            </w:r>
          </w:p>
        </w:tc>
        <w:tc>
          <w:tcPr>
            <w:tcW w:type="dxa" w:w="2209"/>
          </w:tcPr>
          <w:p>
            <w:pPr>
              <w:spacing w:line="240" w:lineRule="auto"/>
              <w:jc w:val="left"/>
            </w:pPr>
            <w:r>
              <w:rPr>
                <w:rFonts w:ascii="Times New Roman" w:hAnsi="Times New Roman" w:eastAsia="Times New Roman"/>
                <w:b w:val="0"/>
                <w:caps w:val="0"/>
                <w:sz w:val="22"/>
              </w:rPr>
              <w:t>gjykimi i erërave nga zhvilluesit është subjektiv</w:t>
            </w:r>
          </w:p>
        </w:tc>
        <w:tc>
          <w:tcPr>
            <w:tcW w:type="dxa" w:w="2209"/>
          </w:tcPr>
          <w:p>
            <w:pPr>
              <w:spacing w:line="240" w:lineRule="auto"/>
              <w:jc w:val="left"/>
            </w:pPr>
            <w:r>
              <w:rPr>
                <w:rFonts w:ascii="Times New Roman" w:hAnsi="Times New Roman" w:eastAsia="Times New Roman"/>
                <w:b w:val="0"/>
                <w:caps w:val="0"/>
                <w:sz w:val="22"/>
              </w:rPr>
              <w:t>MCC mes rishikuesve 0.02–0.24</w:t>
            </w:r>
          </w:p>
        </w:tc>
        <w:tc>
          <w:tcPr>
            <w:tcW w:type="dxa" w:w="2209"/>
          </w:tcPr>
          <w:p>
            <w:pPr>
              <w:spacing w:line="240" w:lineRule="auto"/>
              <w:jc w:val="left"/>
            </w:pPr>
            <w:r>
              <w:rPr>
                <w:rFonts w:ascii="Times New Roman" w:hAnsi="Times New Roman" w:eastAsia="Times New Roman"/>
                <w:b w:val="0"/>
                <w:caps w:val="0"/>
                <w:sz w:val="22"/>
              </w:rPr>
              <w:t>konfirmohet</w:t>
            </w:r>
          </w:p>
        </w:tc>
      </w:tr>
      <w:tr>
        <w:tc>
          <w:tcPr>
            <w:tcW w:type="dxa" w:w="2209"/>
          </w:tcPr>
          <w:p>
            <w:pPr>
              <w:spacing w:line="240" w:lineRule="auto"/>
              <w:jc w:val="left"/>
            </w:pPr>
            <w:r>
              <w:rPr>
                <w:rFonts w:ascii="Times New Roman" w:hAnsi="Times New Roman" w:eastAsia="Times New Roman"/>
                <w:b w:val="0"/>
                <w:caps w:val="0"/>
                <w:sz w:val="22"/>
              </w:rPr>
              <w:t>Sjøberg et al. (2013)</w:t>
            </w:r>
          </w:p>
        </w:tc>
        <w:tc>
          <w:tcPr>
            <w:tcW w:type="dxa" w:w="2209"/>
          </w:tcPr>
          <w:p>
            <w:pPr>
              <w:spacing w:line="240" w:lineRule="auto"/>
              <w:jc w:val="left"/>
            </w:pPr>
            <w:r>
              <w:rPr>
                <w:rFonts w:ascii="Times New Roman" w:hAnsi="Times New Roman" w:eastAsia="Times New Roman"/>
                <w:b w:val="0"/>
                <w:caps w:val="0"/>
                <w:sz w:val="22"/>
              </w:rPr>
              <w:t>madhësia peshon më shumë se erërat në mirëmbajtje</w:t>
            </w:r>
          </w:p>
        </w:tc>
        <w:tc>
          <w:tcPr>
            <w:tcW w:type="dxa" w:w="2209"/>
          </w:tcPr>
          <w:p>
            <w:pPr>
              <w:spacing w:line="240" w:lineRule="auto"/>
              <w:jc w:val="left"/>
            </w:pPr>
            <w:r>
              <w:rPr>
                <w:rFonts w:ascii="Times New Roman" w:hAnsi="Times New Roman" w:eastAsia="Times New Roman"/>
                <w:b w:val="0"/>
                <w:caps w:val="0"/>
                <w:sz w:val="22"/>
              </w:rPr>
              <w:t>te Blob veçoria kryesore është CLOC</w:t>
            </w:r>
          </w:p>
        </w:tc>
        <w:tc>
          <w:tcPr>
            <w:tcW w:type="dxa" w:w="2209"/>
          </w:tcPr>
          <w:p>
            <w:pPr>
              <w:spacing w:line="240" w:lineRule="auto"/>
              <w:jc w:val="left"/>
            </w:pPr>
            <w:r>
              <w:rPr>
                <w:rFonts w:ascii="Times New Roman" w:hAnsi="Times New Roman" w:eastAsia="Times New Roman"/>
                <w:b w:val="0"/>
                <w:caps w:val="0"/>
                <w:sz w:val="22"/>
              </w:rPr>
              <w:t>përputhet</w:t>
            </w:r>
          </w:p>
        </w:tc>
      </w:tr>
      <w:tr>
        <w:tc>
          <w:tcPr>
            <w:tcW w:type="dxa" w:w="2209"/>
          </w:tcPr>
          <w:p>
            <w:pPr>
              <w:spacing w:line="240" w:lineRule="auto"/>
              <w:jc w:val="left"/>
            </w:pPr>
            <w:r>
              <w:rPr>
                <w:rFonts w:ascii="Times New Roman" w:hAnsi="Times New Roman" w:eastAsia="Times New Roman"/>
                <w:b w:val="0"/>
                <w:caps w:val="0"/>
                <w:sz w:val="22"/>
              </w:rPr>
              <w:t>Bavota et al. (2015)</w:t>
            </w:r>
          </w:p>
        </w:tc>
        <w:tc>
          <w:tcPr>
            <w:tcW w:type="dxa" w:w="2209"/>
          </w:tcPr>
          <w:p>
            <w:pPr>
              <w:spacing w:line="240" w:lineRule="auto"/>
              <w:jc w:val="left"/>
            </w:pPr>
            <w:r>
              <w:rPr>
                <w:rFonts w:ascii="Times New Roman" w:hAnsi="Times New Roman" w:eastAsia="Times New Roman"/>
                <w:b w:val="0"/>
                <w:caps w:val="0"/>
                <w:sz w:val="22"/>
              </w:rPr>
              <w:t>7% e refaktorimeve të zhvilluesve e heqin erën</w:t>
            </w:r>
          </w:p>
        </w:tc>
        <w:tc>
          <w:tcPr>
            <w:tcW w:type="dxa" w:w="2209"/>
          </w:tcPr>
          <w:p>
            <w:pPr>
              <w:spacing w:line="240" w:lineRule="auto"/>
              <w:jc w:val="left"/>
            </w:pPr>
            <w:r>
              <w:rPr>
                <w:rFonts w:ascii="Times New Roman" w:hAnsi="Times New Roman" w:eastAsia="Times New Roman"/>
                <w:b w:val="0"/>
                <w:caps w:val="0"/>
                <w:sz w:val="22"/>
              </w:rPr>
              <w:t>era u hoq te 64.8% e rishkrimeve</w:t>
            </w:r>
          </w:p>
        </w:tc>
        <w:tc>
          <w:tcPr>
            <w:tcW w:type="dxa" w:w="2209"/>
          </w:tcPr>
          <w:p>
            <w:pPr>
              <w:spacing w:line="240" w:lineRule="auto"/>
              <w:jc w:val="left"/>
            </w:pPr>
            <w:r>
              <w:rPr>
                <w:rFonts w:ascii="Times New Roman" w:hAnsi="Times New Roman" w:eastAsia="Times New Roman"/>
                <w:b w:val="0"/>
                <w:caps w:val="0"/>
                <w:sz w:val="22"/>
              </w:rPr>
              <w:t>kontekst tjetër</w:t>
            </w:r>
          </w:p>
        </w:tc>
      </w:tr>
      <w:tr>
        <w:tc>
          <w:tcPr>
            <w:tcW w:type="dxa" w:w="2209"/>
          </w:tcPr>
          <w:p>
            <w:pPr>
              <w:spacing w:line="240" w:lineRule="auto"/>
              <w:jc w:val="left"/>
            </w:pPr>
            <w:r>
              <w:rPr>
                <w:rFonts w:ascii="Times New Roman" w:hAnsi="Times New Roman" w:eastAsia="Times New Roman"/>
                <w:b w:val="0"/>
                <w:caps w:val="0"/>
                <w:sz w:val="22"/>
              </w:rPr>
              <w:t>Opdyke (1992)</w:t>
            </w:r>
          </w:p>
        </w:tc>
        <w:tc>
          <w:tcPr>
            <w:tcW w:type="dxa" w:w="2209"/>
          </w:tcPr>
          <w:p>
            <w:pPr>
              <w:spacing w:line="240" w:lineRule="auto"/>
              <w:jc w:val="left"/>
            </w:pPr>
            <w:r>
              <w:rPr>
                <w:rFonts w:ascii="Times New Roman" w:hAnsi="Times New Roman" w:eastAsia="Times New Roman"/>
                <w:b w:val="0"/>
                <w:caps w:val="0"/>
                <w:sz w:val="22"/>
              </w:rPr>
              <w:t>refaktorim vetëm kur parakushtet provohen</w:t>
            </w:r>
          </w:p>
        </w:tc>
        <w:tc>
          <w:tcPr>
            <w:tcW w:type="dxa" w:w="2209"/>
          </w:tcPr>
          <w:p>
            <w:pPr>
              <w:spacing w:line="240" w:lineRule="auto"/>
              <w:jc w:val="left"/>
            </w:pPr>
            <w:r>
              <w:rPr>
                <w:rFonts w:ascii="Times New Roman" w:hAnsi="Times New Roman" w:eastAsia="Times New Roman"/>
                <w:b w:val="0"/>
                <w:caps w:val="0"/>
                <w:sz w:val="22"/>
              </w:rPr>
              <w:t>gabim i ri te 1.6% e rishkrimeve</w:t>
            </w:r>
          </w:p>
        </w:tc>
        <w:tc>
          <w:tcPr>
            <w:tcW w:type="dxa" w:w="2209"/>
          </w:tcPr>
          <w:p>
            <w:pPr>
              <w:spacing w:line="240" w:lineRule="auto"/>
              <w:jc w:val="left"/>
            </w:pPr>
            <w:r>
              <w:rPr>
                <w:rFonts w:ascii="Times New Roman" w:hAnsi="Times New Roman" w:eastAsia="Times New Roman"/>
                <w:b w:val="0"/>
                <w:caps w:val="0"/>
                <w:sz w:val="22"/>
              </w:rPr>
              <w:t>përputhet</w:t>
            </w:r>
          </w:p>
        </w:tc>
      </w:tr>
    </w:tbl>
    <w:p>
      <w:pPr>
        <w:spacing w:line="240" w:lineRule="auto" w:after="0"/>
      </w:pP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metrikat e sistemit e ngre MCC-në te të katër erërat: brezi kalon nga 0.232–0.580 në 0.488–0.724, dhe intervalet bootstrap sipas depos e vendosin këtë përparësi mbi zero pa përjashtim. Fitimi vjen kryesisht nga recall-i, që rritet te çdo erë. Një rezervë e vetme: kur rregullit i jepet pragu i tij më i mirë nga fshirja, dallimi te Long Method nuk ndahet më nga zeroja (Nënkapitulli 5.7). Fitimi mbetet, më i vogël, edhe kur modeli sheh vetëm metrikat e strategjisë, ndaj nuk vjen vetëm nga metrikat shtesë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Leximi i 60 rishkrimeve e kufizon pretendimin për strukturën: të ripeshuara sipas transformimit, 62.9% janë të pranueshme për një zhvillues, por te Introduce Parameter Object asnjë. Ruajtja e sjelljes nuk është pjesë e PK3 dhe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kompilueshmërinë dhe, te dy nga tri transformimet, për strukturën, me kosto të matur, ndërsa sjellja mbetet pyetje e hapur.</w:t>
      </w:r>
    </w:p>
    <w:p>
      <w:pPr>
        <w:spacing w:line="360" w:lineRule="auto"/>
        <w:ind w:firstLine="360"/>
        <w:jc w:val="both"/>
      </w:pPr>
      <w:r>
        <w:rPr>
          <w:rFonts w:ascii="Times New Roman" w:hAnsi="Times New Roman" w:eastAsia="Times New Roman"/>
          <w:b w:val="0"/>
          <w:caps w:val="0"/>
          <w:sz w:val="24"/>
        </w:rPr>
        <w:t>Të treja përgjigjet, në formë të shkurtër dhe me shifrën që i mban, janë këto (Tabela 27):</w:t>
      </w:r>
    </w:p>
    <w:p>
      <w:pPr>
        <w:keepNext/>
        <w:spacing w:line="240" w:lineRule="auto"/>
        <w:jc w:val="center"/>
      </w:pPr>
      <w:r>
        <w:rPr>
          <w:rFonts w:ascii="Times New Roman" w:hAnsi="Times New Roman" w:eastAsia="Times New Roman"/>
          <w:b w:val="0"/>
          <w:caps w:val="0"/>
          <w:sz w:val="22"/>
        </w:rPr>
        <w:t>Tabela 27. Përgjigjet e shkurtra ndaj pyetjeve kërkimore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Pyetja</w:t>
            </w:r>
          </w:p>
        </w:tc>
        <w:tc>
          <w:tcPr>
            <w:tcW w:type="dxa" w:w="2209"/>
          </w:tcPr>
          <w:p>
            <w:pPr>
              <w:spacing w:line="240" w:lineRule="auto"/>
              <w:jc w:val="left"/>
            </w:pPr>
            <w:r>
              <w:rPr>
                <w:rFonts w:ascii="Times New Roman" w:hAnsi="Times New Roman" w:eastAsia="Times New Roman"/>
                <w:b/>
                <w:caps w:val="0"/>
                <w:sz w:val="22"/>
              </w:rPr>
              <w:t>Përgjigjja</w:t>
            </w:r>
          </w:p>
        </w:tc>
        <w:tc>
          <w:tcPr>
            <w:tcW w:type="dxa" w:w="2209"/>
          </w:tcPr>
          <w:p>
            <w:pPr>
              <w:spacing w:line="240" w:lineRule="auto"/>
              <w:jc w:val="left"/>
            </w:pPr>
            <w:r>
              <w:rPr>
                <w:rFonts w:ascii="Times New Roman" w:hAnsi="Times New Roman" w:eastAsia="Times New Roman"/>
                <w:b/>
                <w:caps w:val="0"/>
                <w:sz w:val="22"/>
              </w:rPr>
              <w:t>Dëshmia kryesore</w:t>
            </w:r>
          </w:p>
        </w:tc>
        <w:tc>
          <w:tcPr>
            <w:tcW w:type="dxa" w:w="2209"/>
          </w:tcPr>
          <w:p>
            <w:pPr>
              <w:spacing w:line="240" w:lineRule="auto"/>
              <w:jc w:val="left"/>
            </w:pPr>
            <w:r>
              <w:rPr>
                <w:rFonts w:ascii="Times New Roman" w:hAnsi="Times New Roman" w:eastAsia="Times New Roman"/>
                <w:b/>
                <w:caps w:val="0"/>
                <w:sz w:val="22"/>
              </w:rPr>
              <w:t>Nënkapitulli</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Pjesërisht: precizion i lartë, recall i ulët</w:t>
            </w:r>
          </w:p>
        </w:tc>
        <w:tc>
          <w:tcPr>
            <w:tcW w:type="dxa" w:w="2209"/>
          </w:tcPr>
          <w:p>
            <w:pPr>
              <w:spacing w:line="240" w:lineRule="auto"/>
              <w:jc w:val="left"/>
            </w:pPr>
            <w:r>
              <w:rPr>
                <w:rFonts w:ascii="Times New Roman" w:hAnsi="Times New Roman" w:eastAsia="Times New Roman"/>
                <w:b w:val="0"/>
                <w:caps w:val="0"/>
                <w:sz w:val="22"/>
              </w:rPr>
              <w:t>MCC 0.232–0.580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Po, te të katër erërat</w:t>
            </w:r>
          </w:p>
        </w:tc>
        <w:tc>
          <w:tcPr>
            <w:tcW w:type="dxa" w:w="2209"/>
          </w:tcPr>
          <w:p>
            <w:pPr>
              <w:spacing w:line="240" w:lineRule="auto"/>
              <w:jc w:val="left"/>
            </w:pPr>
            <w:r>
              <w:rPr>
                <w:rFonts w:ascii="Times New Roman" w:hAnsi="Times New Roman" w:eastAsia="Times New Roman"/>
                <w:b w:val="0"/>
                <w:caps w:val="0"/>
                <w:sz w:val="22"/>
              </w:rPr>
              <w:t>MCC 0.488–0.724</w:t>
            </w:r>
          </w:p>
        </w:tc>
        <w:tc>
          <w:tcPr>
            <w:tcW w:type="dxa" w:w="2209"/>
          </w:tcPr>
          <w:p>
            <w:pPr>
              <w:spacing w:line="240" w:lineRule="auto"/>
              <w:jc w:val="left"/>
            </w:pPr>
            <w:r>
              <w:rPr>
                <w:rFonts w:ascii="Times New Roman" w:hAnsi="Times New Roman" w:eastAsia="Times New Roman"/>
                <w:b w:val="0"/>
                <w:caps w:val="0"/>
                <w:sz w:val="22"/>
              </w:rPr>
              <w:t>5.2, 5.3, 5.7</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Po për kompilueshmërinë; për strukturën te dy nga tri transformimet; sjellja nuk u mat</w:t>
            </w:r>
          </w:p>
        </w:tc>
        <w:tc>
          <w:tcPr>
            <w:tcW w:type="dxa" w:w="2209"/>
          </w:tcPr>
          <w:p>
            <w:pPr>
              <w:spacing w:line="240" w:lineRule="auto"/>
              <w:jc w:val="left"/>
            </w:pPr>
            <w:r>
              <w:rPr>
                <w:rFonts w:ascii="Times New Roman" w:hAnsi="Times New Roman" w:eastAsia="Times New Roman"/>
                <w:b w:val="0"/>
                <w:caps w:val="0"/>
                <w:sz w:val="22"/>
              </w:rPr>
              <w:t>22.4% e vendeve të transformuara; 62.9% e rishkrimeve të pranueshme</w:t>
            </w:r>
          </w:p>
        </w:tc>
        <w:tc>
          <w:tcPr>
            <w:tcW w:type="dxa" w:w="2209"/>
          </w:tcPr>
          <w:p>
            <w:pPr>
              <w:spacing w:line="240" w:lineRule="auto"/>
              <w:jc w:val="left"/>
            </w:pPr>
            <w:r>
              <w:rPr>
                <w:rFonts w:ascii="Times New Roman" w:hAnsi="Times New Roman" w:eastAsia="Times New Roman"/>
                <w:b w:val="0"/>
                <w:caps w:val="0"/>
                <w:sz w:val="22"/>
              </w:rPr>
              <w:t>5.4</w:t>
            </w:r>
          </w:p>
        </w:tc>
      </w:tr>
    </w:tbl>
    <w:p>
      <w:pPr>
        <w:spacing w:line="240" w:lineRule="auto" w:after="0"/>
      </w:pP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katër vende, me kusht që ai të refuzojë çdo gjë që nuk e provon dhe ta masë atë që ndodh pas rishkrimit.</w:t>
      </w:r>
    </w:p>
    <w:p>
      <w:pPr>
        <w:spacing w:line="360" w:lineRule="auto"/>
        <w:ind w:firstLine="360"/>
        <w:jc w:val="both"/>
      </w:pPr>
      <w:r>
        <w:rPr>
          <w:rFonts w:ascii="Times New Roman" w:hAnsi="Times New Roman" w:eastAsia="Times New Roman"/>
          <w:b w:val="0"/>
          <w:caps w:val="0"/>
          <w:sz w:val="24"/>
        </w:rPr>
        <w:t>Meqë shumica e erërave lindin bashkë me kodin (Tufano et al., 2015), mjeti ka më shumë vlerë kur vepron herët, si portë në integrimin e vazhdueshëm, sesa si auditim i rrallë mbi një sistem të pjekur. Për Feature Envy, erën që literatura e trajton më shpesh si objektiv refaktorimi, mjetet e lira të përhapura ofrojnë pak: PMD nuk ka rregull për të, DesigniteJava nuk e përfshin mes erërave që dokumenton, dhe JDeodorant, që e gjen përmes mundësive për Move Method (Tsantalis &amp; Chatzigeorgiou, 2009), punon si shtojcë e mjedisit të zhvillimit, ndërsa varianti i tij në rresht komande nuk mban licencë. Një detektor i lirë që punon nga rreshti i komandës e mbush pjesërisht këtë boshllëk.</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Jo çdo detektor i sistemit u vlerësua kundrejt njerëzve. MLCQ mbulon katër erëra, ndaj Brain Method, Deep Nesting dhe Long Parameter List nuk kanë të vërtetë bazë dhe saktësia e tyre nuk u mat; ato hyjnë në rezultate vetëm si burim vendesh për motorin e refaktorimit. Large Class matet vetëm tërthorazi, si kusht shtesë i Blob-it.</w:t>
      </w:r>
    </w:p>
    <w:p>
      <w:pPr>
        <w:spacing w:line="360" w:lineRule="auto"/>
        <w:ind w:firstLine="360"/>
        <w:jc w:val="both"/>
      </w:pPr>
      <w:r>
        <w:rPr>
          <w:rFonts w:ascii="Times New Roman" w:hAnsi="Times New Roman" w:eastAsia="Times New Roman"/>
          <w:b w:val="0"/>
          <w:caps w:val="0"/>
          <w:sz w:val="24"/>
        </w:rPr>
        <w:t>Recall-i i Blob-it ka dy tavane që nuk varen nga pragjet (Shtojca 8.8).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Introduce Parameter Object që grupon vetëm parametrat që udhëtojnë bashkë në disa thirrje dhe i jep klasës një emër koncepti, jo emrin e metodës; Extract Method që nuk nxjerr një bllok të vetëm nga blloqe paralele dhe nuk prek kodin e gjeneruar.</w:t>
      </w:r>
    </w:p>
    <w:p>
      <w:pPr>
        <w:pStyle w:val="ListBullet"/>
        <w:spacing w:line="360" w:lineRule="auto"/>
        <w:jc w:val="both"/>
      </w:pPr>
      <w:r>
        <w:rPr>
          <w:rFonts w:ascii="Times New Roman" w:hAnsi="Times New Roman" w:eastAsia="Times New Roman"/>
          <w:b w:val="0"/>
          <w:caps w:val="0"/>
          <w:sz w:val="24"/>
        </w:rPr>
        <w:t>Ndreqja e analizës së daljeve te Extract Method, që një variabël e caktuar vetëm me kusht të hyjë si parametër, dhe kushte rojesh pa mohim të dyfishtë.</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spacing w:line="360" w:lineRule="auto"/>
        <w:ind w:firstLine="360"/>
        <w:jc w:val="both"/>
      </w:pPr>
      <w:r>
        <w:rPr>
          <w:rFonts w:ascii="Times New Roman" w:hAnsi="Times New Roman" w:eastAsia="Times New Roman"/>
          <w:b w:val="0"/>
          <w:caps w:val="0"/>
          <w:sz w:val="24"/>
        </w:rPr>
        <w:t>Kontributi i punimit është i trefishtë. I pari është një krahasim i ndershëm i rregullave dhe i mësimit të makinës mbi të njëjtat mostra të MLCQ-së, me ndarje sipas depos dhe me intervale besimi. I dyti është një motor refaktorimi që refuzon kur nuk provon dot, i matur mbi kod real me 3532 rishkrime të verifikuara. I treti është vetë mjeti, i hapur dhe i riprodhueshëm, me ndërfaqe web dhe me një mënyrë të thjeshtë për lexuesin pa formim teknik.</w:t>
      </w:r>
    </w:p>
    <w:p>
      <w:pPr>
        <w:spacing w:line="360" w:lineRule="auto"/>
        <w:ind w:firstLine="360"/>
        <w:jc w:val="both"/>
      </w:pPr>
      <w:r>
        <w:rPr>
          <w:rFonts w:ascii="Times New Roman" w:hAnsi="Times New Roman" w:eastAsia="Times New Roman"/>
          <w:b w:val="0"/>
          <w:caps w:val="0"/>
          <w:sz w:val="24"/>
        </w:rPr>
        <w:t>Për praktikuesit rekomandimi është i qartë: pragjet e botuara të përdoren si pikënisje dhe jo si vendim, një model i mësuar të përdoret aty ku ka të dhëna të etiketuara, dhe rishkrimi automatik të pranohet vetëm kur mjeti e verifikon dhe e mat. Për kërkuesit, hapi i radhës është ai që ky punim nuk e bëri dot: të provohet se rishkrimi e ruan sjelljen e programit.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Bavota, G., De Lucia, A., Di Penta, M., Oliveto, R. &amp; Palomba, F. 2015. “An experimental investigation on the innate relationship between quality and refactoring.” Journal of Systems and Software, 107, pp. 1-14.</w:t>
      </w:r>
    </w:p>
    <w:p>
      <w:pPr>
        <w:spacing w:line="360" w:lineRule="auto"/>
        <w:ind w:left="720" w:hanging="720"/>
        <w:jc w:val="both"/>
      </w:pPr>
      <w:r>
        <w:rPr>
          <w:rFonts w:ascii="Times New Roman" w:hAnsi="Times New Roman" w:eastAsia="Times New Roman"/>
          <w:b w:val="0"/>
          <w:caps w:val="0"/>
          <w:sz w:val="24"/>
        </w:rPr>
        <w:t>[4]</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[5]</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[6]</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[7]</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[8]</w:t>
        <w:tab/>
        <w:t>Chicco, D. &amp; Jurman, G. 2020. “The advantages of the Matthews correlation coefficient (MCC) over F1 score and accuracy in binary classification evaluation.” BMC Genomics, 21, 6.</w:t>
      </w:r>
    </w:p>
    <w:p>
      <w:pPr>
        <w:spacing w:line="360" w:lineRule="auto"/>
        <w:ind w:left="720" w:hanging="720"/>
        <w:jc w:val="both"/>
      </w:pPr>
      <w:r>
        <w:rPr>
          <w:rFonts w:ascii="Times New Roman" w:hAnsi="Times New Roman" w:eastAsia="Times New Roman"/>
          <w:b w:val="0"/>
          <w:caps w:val="0"/>
          <w:sz w:val="24"/>
        </w:rPr>
        <w:t>[9]</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[10]</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[11]</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[12]</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[13]</w:t>
        <w:tab/>
        <w:t>Efron, B. &amp; Tibshirani, R. J. 1993. An Introduction to the Bootstrap. New York: Chapman &amp; Hall.</w:t>
      </w:r>
    </w:p>
    <w:p>
      <w:pPr>
        <w:spacing w:line="360" w:lineRule="auto"/>
        <w:ind w:left="720" w:hanging="720"/>
        <w:jc w:val="both"/>
      </w:pPr>
      <w:r>
        <w:rPr>
          <w:rFonts w:ascii="Times New Roman" w:hAnsi="Times New Roman" w:eastAsia="Times New Roman"/>
          <w:b w:val="0"/>
          <w:caps w:val="0"/>
          <w:sz w:val="24"/>
        </w:rPr>
        <w:t>[14]</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[15]</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[16]</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[17]</w:t>
        <w:tab/>
        <w:t>Kaufman, S., Rosset, S., Perlich, C. &amp; Stitelman, O. 2012. “Leakage in Data Mining: Formulation, Detection, and Avoidance.” ACM Transactions on Knowledge Discovery from Data, 6(4), 15.</w:t>
      </w:r>
    </w:p>
    <w:p>
      <w:pPr>
        <w:spacing w:line="360" w:lineRule="auto"/>
        <w:ind w:left="720" w:hanging="720"/>
        <w:jc w:val="both"/>
      </w:pPr>
      <w:r>
        <w:rPr>
          <w:rFonts w:ascii="Times New Roman" w:hAnsi="Times New Roman" w:eastAsia="Times New Roman"/>
          <w:b w:val="0"/>
          <w:caps w:val="0"/>
          <w:sz w:val="24"/>
        </w:rPr>
        <w:t>[18]</w:t>
        <w:tab/>
        <w:t>Khomh, F., Di Penta, M., Guéhéneuc, Y.-G. &amp; Antoniol, G. 2012. “An exploratory study of the impact of antipatterns on class change- and fault-proneness.” Empirical Software Engineering, 17(3), pp. 243-275.</w:t>
      </w:r>
    </w:p>
    <w:p>
      <w:pPr>
        <w:spacing w:line="360" w:lineRule="auto"/>
        <w:ind w:left="720" w:hanging="720"/>
        <w:jc w:val="both"/>
      </w:pPr>
      <w:r>
        <w:rPr>
          <w:rFonts w:ascii="Times New Roman" w:hAnsi="Times New Roman" w:eastAsia="Times New Roman"/>
          <w:b w:val="0"/>
          <w:caps w:val="0"/>
          <w:sz w:val="24"/>
        </w:rPr>
        <w:t>[19]</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[20]</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[21]</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[22]</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[23]</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[24]</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[25]</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[26]</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[27]</w:t>
        <w:tab/>
        <w:t>Mens, T. &amp; Tourwé, T. 2004. “A Survey of Software Refactoring.” IEEE Transactions on Software Engineering, 30(2), pp. 126-139.</w:t>
      </w:r>
    </w:p>
    <w:p>
      <w:pPr>
        <w:spacing w:line="360" w:lineRule="auto"/>
        <w:ind w:left="720" w:hanging="720"/>
        <w:jc w:val="both"/>
      </w:pPr>
      <w:r>
        <w:rPr>
          <w:rFonts w:ascii="Times New Roman" w:hAnsi="Times New Roman" w:eastAsia="Times New Roman"/>
          <w:b w:val="0"/>
          <w:caps w:val="0"/>
          <w:sz w:val="24"/>
        </w:rPr>
        <w:t>[28]</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[29]</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[30]</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[31]</w:t>
        <w:tab/>
        <w:t>Palomba, F., Bavota, G., Di Penta, M., Fasano, F., Oliveto, R. &amp; De Lucia, A. 2018. “On the diffuseness and the impact on maintainability of code smells: a large scale empirical investigation.” Empirical Software Engineering, 23, pp. 1188-1221.</w:t>
      </w:r>
    </w:p>
    <w:p>
      <w:pPr>
        <w:spacing w:line="360" w:lineRule="auto"/>
        <w:ind w:left="720" w:hanging="720"/>
        <w:jc w:val="both"/>
      </w:pPr>
      <w:r>
        <w:rPr>
          <w:rFonts w:ascii="Times New Roman" w:hAnsi="Times New Roman" w:eastAsia="Times New Roman"/>
          <w:b w:val="0"/>
          <w:caps w:val="0"/>
          <w:sz w:val="24"/>
        </w:rPr>
        <w:t>[32]</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[33]</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[34]</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[35]</w:t>
        <w:tab/>
        <w:t>PMD Team, 2026. PMD: An Extensible Cross-Language Static Code Analyzer, versioni 7.27.0. [https://pmd.github.io/], data e qasjes: 08.09.2026.</w:t>
      </w:r>
    </w:p>
    <w:p>
      <w:pPr>
        <w:spacing w:line="360" w:lineRule="auto"/>
        <w:ind w:left="720" w:hanging="720"/>
        <w:jc w:val="both"/>
      </w:pPr>
      <w:r>
        <w:rPr>
          <w:rFonts w:ascii="Times New Roman" w:hAnsi="Times New Roman" w:eastAsia="Times New Roman"/>
          <w:b w:val="0"/>
          <w:caps w:val="0"/>
          <w:sz w:val="24"/>
        </w:rPr>
        <w:t>[36]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[38]</w:t>
        <w:tab/>
        <w:t>Sjøberg, D. I. K., Yamashita, A., Anda, B. C. D., Mockus, A. &amp; Dybå, T. 2013. “Quantifying the Effect of Code Smells on Maintenance Effort.” IEEE Transactions on Software Engineering, 39(8), pp. 1144-1156.</w:t>
      </w:r>
    </w:p>
    <w:p>
      <w:pPr>
        <w:spacing w:line="360" w:lineRule="auto"/>
        <w:ind w:left="720" w:hanging="720"/>
        <w:jc w:val="both"/>
      </w:pPr>
      <w:r>
        <w:rPr>
          <w:rFonts w:ascii="Times New Roman" w:hAnsi="Times New Roman" w:eastAsia="Times New Roman"/>
          <w:b w:val="0"/>
          <w:caps w:val="0"/>
          <w:sz w:val="24"/>
        </w:rPr>
        <w:t>[39]</w:t>
        <w:tab/>
        <w:t>Strobl, C., Boulesteix, A.-L., Zeileis, A. &amp; Hothorn, T. 2007. “Bias in random forest variable importance measures: Illustrations, sources and a solution.” BMC Bioinformatics, 8, 25.</w:t>
      </w:r>
    </w:p>
    <w:p>
      <w:pPr>
        <w:spacing w:line="360" w:lineRule="auto"/>
        <w:ind w:left="720" w:hanging="720"/>
        <w:jc w:val="both"/>
      </w:pPr>
      <w:r>
        <w:rPr>
          <w:rFonts w:ascii="Times New Roman" w:hAnsi="Times New Roman" w:eastAsia="Times New Roman"/>
          <w:b w:val="0"/>
          <w:caps w:val="0"/>
          <w:sz w:val="24"/>
        </w:rPr>
        <w:t>[40]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[41]</w:t>
        <w:tab/>
        <w:t>Tufano, M., Palomba, F., Bavota, G., Oliveto, R., Di Penta, M., De Lucia, A. &amp; Poshyvanyk, D. 2015. “When and Why Your Code Starts to Smell Bad.” Proceedings of the 37th IEEE/ACM International Conference on Software Engineering (ICSE ’15), pp. 403-414.</w:t>
      </w:r>
    </w:p>
    <w:p>
      <w:pPr>
        <w:spacing w:line="360" w:lineRule="auto"/>
        <w:ind w:left="720" w:hanging="720"/>
        <w:jc w:val="both"/>
      </w:pPr>
      <w:r>
        <w:rPr>
          <w:rFonts w:ascii="Times New Roman" w:hAnsi="Times New Roman" w:eastAsia="Times New Roman"/>
          <w:b w:val="0"/>
          <w:caps w:val="0"/>
          <w:sz w:val="24"/>
        </w:rPr>
        <w:t>[42]</w:t>
        <w:tab/>
        <w:t>Wilson, E. B. 1927. “Probable Inference, the Law of Succession, and Statistical Inference.” Journal of the American Statistical Association, 22(158), pp. 209-212.</w:t>
      </w:r>
    </w:p>
    <w:p>
      <w:pPr>
        <w:spacing w:line="360" w:lineRule="auto"/>
        <w:ind w:left="720" w:hanging="720"/>
        <w:jc w:val="both"/>
      </w:pPr>
      <w:r>
        <w:rPr>
          <w:rFonts w:ascii="Times New Roman" w:hAnsi="Times New Roman" w:eastAsia="Times New Roman"/>
          <w:b w:val="0"/>
          <w:caps w:val="0"/>
          <w:sz w:val="24"/>
        </w:rPr>
        <w:t>[43]</w:t>
        <w:tab/>
        <w:t>Wohlin, C., Runeson, P., Höst, M., Ohlsson, M. C., Regnell, B. &amp; Wesslén, A. 2012. Experimentation in Software Engineering. Berlin: Springer.</w:t>
      </w:r>
    </w:p>
    <w:p>
      <w:pPr>
        <w:spacing w:line="360" w:lineRule="auto"/>
        <w:ind w:left="720" w:hanging="720"/>
        <w:jc w:val="both"/>
      </w:pPr>
      <w:r>
        <w:rPr>
          <w:rFonts w:ascii="Times New Roman" w:hAnsi="Times New Roman" w:eastAsia="Times New Roman"/>
          <w:b w:val="0"/>
          <w:caps w:val="0"/>
          <w:sz w:val="24"/>
        </w:rPr>
        <w:t>[44]</w:t>
        <w:tab/>
        <w:t>Yamashita, A. &amp; Moonen, L. 2013. “Do developers care about code smells? An exploratory survey.” Proceedings of the 20th Working Conference on Reverse Engineering (WCRE ’13), pp. 242-251.</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28).</w:t>
      </w:r>
    </w:p>
    <w:p>
      <w:pPr>
        <w:keepNext/>
        <w:spacing w:line="240" w:lineRule="auto"/>
        <w:jc w:val="center"/>
      </w:pPr>
      <w:r>
        <w:rPr>
          <w:rFonts w:ascii="Times New Roman" w:hAnsi="Times New Roman" w:eastAsia="Times New Roman"/>
          <w:b w:val="0"/>
          <w:caps w:val="0"/>
          <w:sz w:val="22"/>
        </w:rPr>
        <w:t>Tabela 28.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29).</w:t>
      </w:r>
    </w:p>
    <w:p>
      <w:pPr>
        <w:keepNext/>
        <w:spacing w:line="240" w:lineRule="auto"/>
        <w:jc w:val="center"/>
      </w:pPr>
      <w:r>
        <w:rPr>
          <w:rFonts w:ascii="Times New Roman" w:hAnsi="Times New Roman" w:eastAsia="Times New Roman"/>
          <w:b w:val="0"/>
          <w:caps w:val="0"/>
          <w:sz w:val="22"/>
        </w:rPr>
        <w:t>Tabela 29.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30).</w:t>
      </w:r>
    </w:p>
    <w:p>
      <w:pPr>
        <w:keepNext/>
        <w:spacing w:line="240" w:lineRule="auto"/>
        <w:jc w:val="center"/>
      </w:pPr>
      <w:r>
        <w:rPr>
          <w:rFonts w:ascii="Times New Roman" w:hAnsi="Times New Roman" w:eastAsia="Times New Roman"/>
          <w:b w:val="0"/>
          <w:caps w:val="0"/>
          <w:sz w:val="22"/>
        </w:rPr>
        <w:t>Tabela 30.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31).</w:t>
      </w:r>
    </w:p>
    <w:p>
      <w:pPr>
        <w:keepNext/>
        <w:spacing w:line="240" w:lineRule="auto"/>
        <w:jc w:val="center"/>
      </w:pPr>
      <w:r>
        <w:rPr>
          <w:rFonts w:ascii="Times New Roman" w:hAnsi="Times New Roman" w:eastAsia="Times New Roman"/>
          <w:b w:val="0"/>
          <w:caps w:val="0"/>
          <w:sz w:val="22"/>
        </w:rPr>
        <w:t>Tabela 31.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32).</w:t>
      </w:r>
    </w:p>
    <w:p>
      <w:pPr>
        <w:keepNext/>
        <w:spacing w:line="240" w:lineRule="auto"/>
        <w:jc w:val="center"/>
      </w:pPr>
      <w:r>
        <w:rPr>
          <w:rFonts w:ascii="Times New Roman" w:hAnsi="Times New Roman" w:eastAsia="Times New Roman"/>
          <w:b w:val="0"/>
          <w:caps w:val="0"/>
          <w:sz w:val="22"/>
        </w:rPr>
        <w:t>Tabela 32.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33).</w:t>
      </w:r>
    </w:p>
    <w:p>
      <w:pPr>
        <w:keepNext/>
        <w:spacing w:line="240" w:lineRule="auto"/>
        <w:jc w:val="center"/>
      </w:pPr>
      <w:r>
        <w:rPr>
          <w:rFonts w:ascii="Times New Roman" w:hAnsi="Times New Roman" w:eastAsia="Times New Roman"/>
          <w:b w:val="0"/>
          <w:caps w:val="0"/>
          <w:sz w:val="22"/>
        </w:rPr>
        <w:t>Tabela 33.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emër i pazgjidhur (unresolved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efekt anësor i mundshëm (possible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mbingarkesë e paqartë (ambiguous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më shumë se një vlerë dalëse (multiple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rrjedha e kontrollit del nga blloku (control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forma e kodit nuk përputhet (shape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editime që mbivendosen (edit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vlerë e pacaktuar me siguri (not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kod që nuk parsohet (unparseable)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34).</w:t>
      </w:r>
    </w:p>
    <w:p>
      <w:pPr>
        <w:keepNext/>
        <w:spacing w:line="240" w:lineRule="auto"/>
        <w:jc w:val="center"/>
      </w:pPr>
      <w:r>
        <w:rPr>
          <w:rFonts w:ascii="Times New Roman" w:hAnsi="Times New Roman" w:eastAsia="Times New Roman"/>
          <w:b w:val="0"/>
          <w:caps w:val="0"/>
          <w:sz w:val="22"/>
        </w:rPr>
        <w:t>Tabela 34.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 për të gjithë: Python 3.13.1, 3.13.12, Linux-6.18.44-fc-v80-x86_64-with-glibc2.39, Windows-11-10.0.26200-SP0. Commit-i jo: eksperimentet u ekzekutuan njëri pas tjetrit, ndaj secili skedar mban commit-in e vet, dhe ai duhet përdorur për ta riprodhuar (Tabela 35).</w:t>
      </w:r>
    </w:p>
    <w:p>
      <w:pPr>
        <w:keepNext/>
        <w:spacing w:line="240" w:lineRule="auto"/>
        <w:jc w:val="center"/>
      </w:pPr>
      <w:r>
        <w:rPr>
          <w:rFonts w:ascii="Times New Roman" w:hAnsi="Times New Roman" w:eastAsia="Times New Roman"/>
          <w:b w:val="0"/>
          <w:caps w:val="0"/>
          <w:sz w:val="22"/>
        </w:rPr>
        <w:t>Tabela 35.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rewrite_quality.json</w:t>
            </w:r>
          </w:p>
        </w:tc>
        <w:tc>
          <w:tcPr>
            <w:tcW w:type="dxa" w:w="4419"/>
          </w:tcPr>
          <w:p>
            <w:pPr>
              <w:spacing w:line="240" w:lineRule="auto"/>
              <w:jc w:val="left"/>
            </w:pPr>
            <w:r>
              <w:rPr>
                <w:rFonts w:ascii="Times New Roman" w:hAnsi="Times New Roman" w:eastAsia="Times New Roman"/>
                <w:b w:val="0"/>
                <w:caps w:val="0"/>
                <w:sz w:val="22"/>
              </w:rPr>
              <w:t>adf4db30c2</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3f55abe160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trajnuara,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Hapi 7, motori mbi korpusin, u riekzekutua më vonë dhe dha të njëjtat totale: po aq vende, po aq rishkrime, po aq refuzime, e njëjta ndarje sipas transformimit dhe sipas arsyes. Krahasimi rresht për rresht nxori megjithatë 21 verdikte kompilimi të ndryshuara, dhe ato çuan te një defekt i vërtetë: një javac që dështon pa emërtuar gabim mbi burimin lexohej si kompilim i pastër, pra 19 rishkrime ishin regjistruar si «kompilon» mbi skedarë që nuk kompilojnë. Pas ndreqjes, kjo shtojcë dhe Kapitulli 5 raportojnë matjen e re. Vlera e riprodhimit qëndron pikërisht këtu: totalet përkonin, dhe defekti u pa vetëm sepse u krahasua çdo rresht.</w:t>
      </w:r>
    </w:p>
    <w:p>
      <w:pPr>
        <w:spacing w:line="360" w:lineRule="auto"/>
        <w:ind w:firstLine="360"/>
        <w:jc w:val="both"/>
      </w:pPr>
      <w:r>
        <w:rPr>
          <w:rFonts w:ascii="Times New Roman" w:hAnsi="Times New Roman" w:eastAsia="Times New Roman"/>
          <w:b w:val="0"/>
          <w:caps w:val="0"/>
          <w:sz w:val="24"/>
        </w:rPr>
        <w:t>Hapi 1 mbetet i pariekzekutuar, sepse kërkon rishkarkimin e korpusit të plotë; për të riprodhimi mbetet pretendim i pakontrolluar, dhe thuhet këtu si i tillë.</w:t>
      </w:r>
    </w:p>
    <w:p>
      <w:pPr>
        <w:pStyle w:val="Heading2"/>
      </w:pPr>
      <w:r>
        <w:rPr>
          <w:rFonts w:ascii="Times New Roman" w:hAnsi="Times New Roman" w:eastAsia="Times New Roman"/>
          <w:b/>
          <w:caps w:val="0"/>
          <w:sz w:val="24"/>
        </w:rPr>
        <w:t>8.6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36; Tabela 37).</w:t>
      </w:r>
    </w:p>
    <w:p>
      <w:pPr>
        <w:keepNext/>
        <w:spacing w:line="240" w:lineRule="auto"/>
        <w:jc w:val="center"/>
      </w:pPr>
      <w:r>
        <w:rPr>
          <w:rFonts w:ascii="Times New Roman" w:hAnsi="Times New Roman" w:eastAsia="Times New Roman"/>
          <w:b w:val="0"/>
          <w:caps w:val="0"/>
          <w:sz w:val="22"/>
        </w:rPr>
        <w:t>Tabela 36.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37.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 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8.7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38).</w:t>
      </w:r>
    </w:p>
    <w:p>
      <w:pPr>
        <w:keepNext/>
        <w:spacing w:line="240" w:lineRule="auto"/>
        <w:jc w:val="center"/>
      </w:pPr>
      <w:r>
        <w:rPr>
          <w:rFonts w:ascii="Times New Roman" w:hAnsi="Times New Roman" w:eastAsia="Times New Roman"/>
          <w:b w:val="0"/>
          <w:caps w:val="0"/>
          <w:sz w:val="22"/>
        </w:rPr>
        <w:t>Tabela 38.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12).</w:t>
      </w:r>
    </w:p>
    <w:p>
      <w:pPr>
        <w:keepNext/>
        <w:jc w:val="center"/>
      </w:pPr>
      <w:r>
        <w:drawing>
          <wp:inline xmlns:a="http://schemas.openxmlformats.org/drawingml/2006/main" xmlns:pic="http://schemas.openxmlformats.org/drawingml/2006/picture">
            <wp:extent cx="5120640" cy="2809061"/>
            <wp:docPr id="14" name="Picture 14"/>
            <wp:cNvGraphicFramePr>
              <a:graphicFrameLocks noChangeAspect="1"/>
            </wp:cNvGraphicFramePr>
            <a:graphic>
              <a:graphicData uri="http://schemas.openxmlformats.org/drawingml/2006/picture">
                <pic:pic>
                  <pic:nvPicPr>
                    <pic:cNvPr id="0" name="ashpersia_kundrejt_rishikuesve.png"/>
                    <pic:cNvPicPr/>
                  </pic:nvPicPr>
                  <pic:blipFill>
                    <a:blip r:embed="rId24"/>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12.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8.8 Çfarë mbetet pa u kapur te Blob-i</w:t>
      </w:r>
    </w:p>
    <w:p>
      <w:pPr>
        <w:spacing w:line="360" w:lineRule="auto"/>
        <w:ind w:firstLine="360"/>
        <w:jc w:val="both"/>
      </w:pPr>
      <w:r>
        <w:rPr>
          <w:rFonts w:ascii="Times New Roman" w:hAnsi="Times New Roman" w:eastAsia="Times New Roman"/>
          <w:b w:val="0"/>
          <w:caps w:val="0"/>
          <w:sz w:val="24"/>
        </w:rPr>
        <w:t>Shtojca 8.6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39).</w:t>
      </w:r>
    </w:p>
    <w:p>
      <w:pPr>
        <w:keepNext/>
        <w:spacing w:line="240" w:lineRule="auto"/>
        <w:jc w:val="center"/>
      </w:pPr>
      <w:r>
        <w:rPr>
          <w:rFonts w:ascii="Times New Roman" w:hAnsi="Times New Roman" w:eastAsia="Times New Roman"/>
          <w:b w:val="0"/>
          <w:caps w:val="0"/>
          <w:sz w:val="22"/>
        </w:rPr>
        <w:t>Tabela 39.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40).</w:t>
      </w:r>
    </w:p>
    <w:p>
      <w:pPr>
        <w:keepNext/>
        <w:spacing w:line="240" w:lineRule="auto"/>
        <w:jc w:val="center"/>
      </w:pPr>
      <w:r>
        <w:rPr>
          <w:rFonts w:ascii="Times New Roman" w:hAnsi="Times New Roman" w:eastAsia="Times New Roman"/>
          <w:b w:val="0"/>
          <w:caps w:val="0"/>
          <w:sz w:val="22"/>
        </w:rPr>
        <w:t>Tabela 40.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pajtohet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41).</w:t>
      </w:r>
    </w:p>
    <w:p>
      <w:pPr>
        <w:keepNext/>
        <w:spacing w:line="240" w:lineRule="auto"/>
        <w:jc w:val="center"/>
      </w:pPr>
      <w:r>
        <w:rPr>
          <w:rFonts w:ascii="Times New Roman" w:hAnsi="Times New Roman" w:eastAsia="Times New Roman"/>
          <w:b w:val="0"/>
          <w:caps w:val="0"/>
          <w:sz w:val="22"/>
        </w:rPr>
        <w:t>Tabela 41.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