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9046 mostra nga 512 depo Java, të etiketuara nga zhvillues profesionistë, me ndarje të grupuar sipas depos dhe me të njëjtin kod pikëzimi. Sistemi përfshin edhe një motor refaktorimi që rishkruan kod vetëm kur i provon parakushtet nga pema sintaksore, dhe një ndërfaqe web.</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0.413 deri 0.888 me recall 0.174 deri 0.470. Klasifikuesit i tejkaluan qartë, me MCC 0.321 deri 0.723 kundrejt 0.243 deri 0.617. Intervalet e besimit me bootstrap sipas depos e vendosin atë përparësi mbi zero te tri nga katër erërat; te Feature Envy jo.</w:t>
      </w:r>
    </w:p>
    <w:p>
      <w:pPr>
        <w:spacing w:line="360" w:lineRule="auto"/>
        <w:ind w:firstLine="360"/>
        <w:jc w:val="both"/>
      </w:pPr>
      <w:r>
        <w:rPr>
          <w:rFonts w:ascii="Times New Roman" w:hAnsi="Times New Roman" w:eastAsia="Times New Roman"/>
          <w:b w:val="0"/>
          <w:caps w:val="0"/>
          <w:sz w:val="24"/>
        </w:rPr>
        <w:t>Ashpërsia që sistemi e derivon nga teprica mbi pragje nuk e riprodhon gjykimin e rishikuesve: pajtimi i matur me kappa me peshë qëndron te 0.044 deri 0.590, dhe gabimi anon nga mbivlerësimi. Vetë rishikuesit pajtohen mes tyre me MCC -0.071 deri 0.567, ndaj një pjesë e gabimit i takon përkufizimit të erës dhe jo detektorit. Motori automatizon tri transformime dhe rishkroi 22.4% të vendeve të detektuara, duke refuzuar ku nuk provon dot; 1.6% e rishkrimeve shtuan gabim të ri kompilimi, ndërsa ruajtja e sjelljes nuk u verifikua. Nga 60 rishkrime të lexuara, të ripeshuara, 62.9% janë të pranueshme për një zhvillues: Guard Clauses gjithmonë, Introduce Parameter Object asnjëherë. Kontributi kryesor është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Falënderoj mentoren time, MSc. Altina Salihu, për udhëheqjen, durimin dhe komentet e kujdesshme që e formësuan këtë punim, nga plani i parë deri te versioni përfundimtar. Falënderoj profesorët e Programit për Shkenca Kompjuterike dhe Inxhinierisë në Universitetin për Biznes dhe Teknologji për njohuritë që më dhanë gjatë studimeve. Një falënderim i veçantë shkon për familjen time, për mbështetjen e pakushtëzuar gjatë gjithë këtyre viteve. Falënderoj gjithashtu autorët e dataset-it MLCQ dhe komunitetet e projekteve me burim të hapur, puna e të cilëve e bëri të mundur vlerësimin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Një rishkrim i motorit mbi korpus: Replace Nested Conditional with Guard Clauses, para dhe pas</w:t>
      </w:r>
    </w:p>
    <w:p>
      <w:pPr>
        <w:spacing w:line="360" w:lineRule="auto"/>
        <w:ind w:firstLine="360"/>
        <w:jc w:val="both"/>
      </w:pPr>
      <w:r>
        <w:rPr>
          <w:rFonts w:ascii="Times New Roman" w:hAnsi="Times New Roman" w:eastAsia="Times New Roman"/>
          <w:b w:val="0"/>
          <w:caps w:val="0"/>
          <w:sz w:val="24"/>
        </w:rPr>
        <w:t>Figura 3. Paneli i ndërfaqes pas analizës së projektit jsoup, në mënyrën e thjeshtë</w:t>
      </w:r>
    </w:p>
    <w:p>
      <w:pPr>
        <w:spacing w:line="360" w:lineRule="auto"/>
        <w:ind w:firstLine="360"/>
        <w:jc w:val="both"/>
      </w:pPr>
      <w:r>
        <w:rPr>
          <w:rFonts w:ascii="Times New Roman" w:hAnsi="Times New Roman" w:eastAsia="Times New Roman"/>
          <w:b w:val="0"/>
          <w:caps w:val="0"/>
          <w:sz w:val="24"/>
        </w:rPr>
        <w:t>Figura 4. Ndryshimi që propozon Extract Method për NodeTraversor.traverse në jsoup, ashtu si e shfaq ndërfaqja</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Recall-i sipas ashpërsisë së caktuar nga rishikuesit</w:t>
      </w:r>
    </w:p>
    <w:p>
      <w:pPr>
        <w:spacing w:line="360" w:lineRule="auto"/>
        <w:ind w:firstLine="360"/>
        <w:jc w:val="both"/>
      </w:pPr>
      <w:r>
        <w:rPr>
          <w:rFonts w:ascii="Times New Roman" w:hAnsi="Times New Roman" w:eastAsia="Times New Roman"/>
          <w:b w:val="0"/>
          <w:caps w:val="0"/>
          <w:sz w:val="24"/>
        </w:rPr>
        <w:t>Figura 7. Veçoritë me rëndësi më të lartë, të matura me permutim</w:t>
      </w:r>
    </w:p>
    <w:p>
      <w:pPr>
        <w:spacing w:line="360" w:lineRule="auto"/>
        <w:ind w:firstLine="360"/>
        <w:jc w:val="both"/>
      </w:pPr>
      <w:r>
        <w:rPr>
          <w:rFonts w:ascii="Times New Roman" w:hAnsi="Times New Roman" w:eastAsia="Times New Roman"/>
          <w:b w:val="0"/>
          <w:caps w:val="0"/>
          <w:sz w:val="24"/>
        </w:rPr>
        <w:t>Figura 8. MCC për të dyja qasjet</w:t>
      </w:r>
    </w:p>
    <w:p>
      <w:pPr>
        <w:spacing w:line="360" w:lineRule="auto"/>
        <w:ind w:firstLine="360"/>
        <w:jc w:val="both"/>
      </w:pPr>
      <w:r>
        <w:rPr>
          <w:rFonts w:ascii="Times New Roman" w:hAnsi="Times New Roman" w:eastAsia="Times New Roman"/>
          <w:b w:val="0"/>
          <w:caps w:val="0"/>
          <w:sz w:val="24"/>
        </w:rPr>
        <w:t>Figura 9. Mostrat e shënuara nga secila qasje</w:t>
      </w:r>
    </w:p>
    <w:p>
      <w:pPr>
        <w:spacing w:line="360" w:lineRule="auto"/>
        <w:ind w:firstLine="360"/>
        <w:jc w:val="both"/>
      </w:pPr>
      <w:r>
        <w:rPr>
          <w:rFonts w:ascii="Times New Roman" w:hAnsi="Times New Roman" w:eastAsia="Times New Roman"/>
          <w:b w:val="0"/>
          <w:caps w:val="0"/>
          <w:sz w:val="24"/>
        </w:rPr>
        <w:t>Figura 10. Nga vendet e detektuara te erërat e hequra</w:t>
      </w:r>
    </w:p>
    <w:p>
      <w:pPr>
        <w:spacing w:line="360" w:lineRule="auto"/>
        <w:ind w:firstLine="360"/>
        <w:jc w:val="both"/>
      </w:pPr>
      <w:r>
        <w:rPr>
          <w:rFonts w:ascii="Times New Roman" w:hAnsi="Times New Roman" w:eastAsia="Times New Roman"/>
          <w:b w:val="0"/>
          <w:caps w:val="0"/>
          <w:sz w:val="24"/>
        </w:rPr>
        <w:t>Figura 11. Pranueshmëria e rishkrimeve sipas transformimit</w:t>
      </w:r>
    </w:p>
    <w:p>
      <w:pPr>
        <w:spacing w:line="360" w:lineRule="auto"/>
        <w:ind w:firstLine="360"/>
        <w:jc w:val="both"/>
      </w:pPr>
      <w:r>
        <w:rPr>
          <w:rFonts w:ascii="Times New Roman" w:hAnsi="Times New Roman" w:eastAsia="Times New Roman"/>
          <w:b w:val="0"/>
          <w:caps w:val="0"/>
          <w:sz w:val="24"/>
        </w:rPr>
        <w:t>Figura 12.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13. Ndjeshmëria e MCC-së ndaj zhvendosjes së pragjeve</w:t>
      </w:r>
    </w:p>
    <w:p>
      <w:pPr>
        <w:spacing w:line="360" w:lineRule="auto"/>
        <w:ind w:firstLine="360"/>
        <w:jc w:val="both"/>
      </w:pPr>
      <w:r>
        <w:rPr>
          <w:rFonts w:ascii="Times New Roman" w:hAnsi="Times New Roman" w:eastAsia="Times New Roman"/>
          <w:b w:val="0"/>
          <w:caps w:val="0"/>
          <w:sz w:val="24"/>
        </w:rPr>
        <w:t>Figura 14. MCC me interval besimi 95% për të dyja qasjet</w:t>
      </w:r>
    </w:p>
    <w:p>
      <w:pPr>
        <w:spacing w:line="360" w:lineRule="auto"/>
        <w:ind w:firstLine="360"/>
        <w:jc w:val="both"/>
      </w:pPr>
      <w:r>
        <w:rPr>
          <w:rFonts w:ascii="Times New Roman" w:hAnsi="Times New Roman" w:eastAsia="Times New Roman"/>
          <w:b w:val="0"/>
          <w:caps w:val="0"/>
          <w:sz w:val="24"/>
        </w:rPr>
        <w:t>Figura 15.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MCC e çdo algoritmi të Qasjes B, jashtë fold-it</w:t>
      </w:r>
    </w:p>
    <w:p>
      <w:pPr>
        <w:spacing w:line="360" w:lineRule="auto"/>
        <w:ind w:firstLine="360"/>
        <w:jc w:val="both"/>
      </w:pPr>
      <w:r>
        <w:rPr>
          <w:rFonts w:ascii="Times New Roman" w:hAnsi="Times New Roman" w:eastAsia="Times New Roman"/>
          <w:b w:val="0"/>
          <w:caps w:val="0"/>
          <w:sz w:val="24"/>
        </w:rPr>
        <w:t>Tabela 6. Sa shpesh një matje e vetme e mban verdiktin</w:t>
      </w:r>
    </w:p>
    <w:p>
      <w:pPr>
        <w:spacing w:line="360" w:lineRule="auto"/>
        <w:ind w:firstLine="360"/>
        <w:jc w:val="both"/>
      </w:pPr>
      <w:r>
        <w:rPr>
          <w:rFonts w:ascii="Times New Roman" w:hAnsi="Times New Roman" w:eastAsia="Times New Roman"/>
          <w:b w:val="0"/>
          <w:caps w:val="0"/>
          <w:sz w:val="24"/>
        </w:rPr>
        <w:t>Tabela 7. MCC me metrikat e strategjisë dhe me të gjitha metrikat</w:t>
      </w:r>
    </w:p>
    <w:p>
      <w:pPr>
        <w:spacing w:line="360" w:lineRule="auto"/>
        <w:ind w:firstLine="360"/>
        <w:jc w:val="both"/>
      </w:pPr>
      <w:r>
        <w:rPr>
          <w:rFonts w:ascii="Times New Roman" w:hAnsi="Times New Roman" w:eastAsia="Times New Roman"/>
          <w:b w:val="0"/>
          <w:caps w:val="0"/>
          <w:sz w:val="24"/>
        </w:rPr>
        <w:t>Tabela 8. Pajtimi mes dy qasjeve</w:t>
      </w:r>
    </w:p>
    <w:p>
      <w:pPr>
        <w:spacing w:line="360" w:lineRule="auto"/>
        <w:ind w:firstLine="360"/>
        <w:jc w:val="both"/>
      </w:pPr>
      <w:r>
        <w:rPr>
          <w:rFonts w:ascii="Times New Roman" w:hAnsi="Times New Roman" w:eastAsia="Times New Roman"/>
          <w:b w:val="0"/>
          <w:caps w:val="0"/>
          <w:sz w:val="24"/>
        </w:rPr>
        <w:t>Tabela 9. Të dyja qasjet së bashku</w:t>
      </w:r>
    </w:p>
    <w:p>
      <w:pPr>
        <w:spacing w:line="360" w:lineRule="auto"/>
        <w:ind w:firstLine="360"/>
        <w:jc w:val="both"/>
      </w:pPr>
      <w:r>
        <w:rPr>
          <w:rFonts w:ascii="Times New Roman" w:hAnsi="Times New Roman" w:eastAsia="Times New Roman"/>
          <w:b w:val="0"/>
          <w:caps w:val="0"/>
          <w:sz w:val="24"/>
        </w:rPr>
        <w:t>Tabela 10. Rezultati i motorit të refaktorimit</w:t>
      </w:r>
    </w:p>
    <w:p>
      <w:pPr>
        <w:spacing w:line="360" w:lineRule="auto"/>
        <w:ind w:firstLine="360"/>
        <w:jc w:val="both"/>
      </w:pPr>
      <w:r>
        <w:rPr>
          <w:rFonts w:ascii="Times New Roman" w:hAnsi="Times New Roman" w:eastAsia="Times New Roman"/>
          <w:b w:val="0"/>
          <w:caps w:val="0"/>
          <w:sz w:val="24"/>
        </w:rPr>
        <w:t>Tabela 11. Pse u refuzuan</w:t>
      </w:r>
    </w:p>
    <w:p>
      <w:pPr>
        <w:spacing w:line="360" w:lineRule="auto"/>
        <w:ind w:firstLine="360"/>
        <w:jc w:val="both"/>
      </w:pPr>
      <w:r>
        <w:rPr>
          <w:rFonts w:ascii="Times New Roman" w:hAnsi="Times New Roman" w:eastAsia="Times New Roman"/>
          <w:b w:val="0"/>
          <w:caps w:val="0"/>
          <w:sz w:val="24"/>
        </w:rPr>
        <w:t>Tabela 12. Verifikimi i atyre që u aplikuan</w:t>
      </w:r>
    </w:p>
    <w:p>
      <w:pPr>
        <w:spacing w:line="360" w:lineRule="auto"/>
        <w:ind w:firstLine="360"/>
        <w:jc w:val="both"/>
      </w:pPr>
      <w:r>
        <w:rPr>
          <w:rFonts w:ascii="Times New Roman" w:hAnsi="Times New Roman" w:eastAsia="Times New Roman"/>
          <w:b w:val="0"/>
          <w:caps w:val="0"/>
          <w:sz w:val="24"/>
        </w:rPr>
        <w:t>Tabela 13. A u hoq era pas rishkrimit</w:t>
      </w:r>
    </w:p>
    <w:p>
      <w:pPr>
        <w:spacing w:line="360" w:lineRule="auto"/>
        <w:ind w:firstLine="360"/>
        <w:jc w:val="both"/>
      </w:pPr>
      <w:r>
        <w:rPr>
          <w:rFonts w:ascii="Times New Roman" w:hAnsi="Times New Roman" w:eastAsia="Times New Roman"/>
          <w:b w:val="0"/>
          <w:caps w:val="0"/>
          <w:sz w:val="24"/>
        </w:rPr>
        <w:t>Tabela 14. Sa lëvizi matja pas rishkrimit</w:t>
      </w:r>
    </w:p>
    <w:p>
      <w:pPr>
        <w:spacing w:line="360" w:lineRule="auto"/>
        <w:ind w:firstLine="360"/>
        <w:jc w:val="both"/>
      </w:pPr>
      <w:r>
        <w:rPr>
          <w:rFonts w:ascii="Times New Roman" w:hAnsi="Times New Roman" w:eastAsia="Times New Roman"/>
          <w:b w:val="0"/>
          <w:caps w:val="0"/>
          <w:sz w:val="24"/>
        </w:rPr>
        <w:t>Tabela 15.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16. Pranueshmëria e rishkrimeve sipas rishikuesit</w:t>
      </w:r>
    </w:p>
    <w:p>
      <w:pPr>
        <w:spacing w:line="360" w:lineRule="auto"/>
        <w:ind w:firstLine="360"/>
        <w:jc w:val="both"/>
      </w:pPr>
      <w:r>
        <w:rPr>
          <w:rFonts w:ascii="Times New Roman" w:hAnsi="Times New Roman" w:eastAsia="Times New Roman"/>
          <w:b w:val="0"/>
          <w:caps w:val="0"/>
          <w:sz w:val="24"/>
        </w:rPr>
        <w:t>Tabela 17. Norma e transformimit sipas erës dhe ashpërsisë</w:t>
      </w:r>
    </w:p>
    <w:p>
      <w:pPr>
        <w:spacing w:line="360" w:lineRule="auto"/>
        <w:ind w:firstLine="360"/>
        <w:jc w:val="both"/>
      </w:pPr>
      <w:r>
        <w:rPr>
          <w:rFonts w:ascii="Times New Roman" w:hAnsi="Times New Roman" w:eastAsia="Times New Roman"/>
          <w:b w:val="0"/>
          <w:caps w:val="0"/>
          <w:sz w:val="24"/>
        </w:rPr>
        <w:t>Tabela 18. Përbërja e arsyeve të refuzimit brenda çdo niveli</w:t>
      </w:r>
    </w:p>
    <w:p>
      <w:pPr>
        <w:spacing w:line="360" w:lineRule="auto"/>
        <w:ind w:firstLine="360"/>
        <w:jc w:val="both"/>
      </w:pPr>
      <w:r>
        <w:rPr>
          <w:rFonts w:ascii="Times New Roman" w:hAnsi="Times New Roman" w:eastAsia="Times New Roman"/>
          <w:b w:val="0"/>
          <w:caps w:val="0"/>
          <w:sz w:val="24"/>
        </w:rPr>
        <w:t>Tabela 19. Rezultati i refaktorimit sipas transformimit</w:t>
      </w:r>
    </w:p>
    <w:p>
      <w:pPr>
        <w:spacing w:line="360" w:lineRule="auto"/>
        <w:ind w:firstLine="360"/>
        <w:jc w:val="both"/>
      </w:pPr>
      <w:r>
        <w:rPr>
          <w:rFonts w:ascii="Times New Roman" w:hAnsi="Times New Roman" w:eastAsia="Times New Roman"/>
          <w:b w:val="0"/>
          <w:caps w:val="0"/>
          <w:sz w:val="24"/>
        </w:rPr>
        <w:t>Tabela 20. Sa lëviz MCC-ja kur zhvendoset një prag</w:t>
      </w:r>
    </w:p>
    <w:p>
      <w:pPr>
        <w:spacing w:line="360" w:lineRule="auto"/>
        <w:ind w:firstLine="360"/>
        <w:jc w:val="both"/>
      </w:pPr>
      <w:r>
        <w:rPr>
          <w:rFonts w:ascii="Times New Roman" w:hAnsi="Times New Roman" w:eastAsia="Times New Roman"/>
          <w:b w:val="0"/>
          <w:caps w:val="0"/>
          <w:sz w:val="24"/>
        </w:rPr>
        <w:t>Tabela 21.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22.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23. Intervale besimi 95% për MCC-në</w:t>
      </w:r>
    </w:p>
    <w:p>
      <w:pPr>
        <w:spacing w:line="360" w:lineRule="auto"/>
        <w:ind w:firstLine="360"/>
        <w:jc w:val="both"/>
      </w:pPr>
      <w:r>
        <w:rPr>
          <w:rFonts w:ascii="Times New Roman" w:hAnsi="Times New Roman" w:eastAsia="Times New Roman"/>
          <w:b w:val="0"/>
          <w:caps w:val="0"/>
          <w:sz w:val="24"/>
        </w:rPr>
        <w:t>Tabela 24. B − A kur rregullat marrin pragun e tyre më të mirë</w:t>
      </w:r>
    </w:p>
    <w:p>
      <w:pPr>
        <w:spacing w:line="360" w:lineRule="auto"/>
        <w:ind w:firstLine="360"/>
        <w:jc w:val="both"/>
      </w:pPr>
      <w:r>
        <w:rPr>
          <w:rFonts w:ascii="Times New Roman" w:hAnsi="Times New Roman" w:eastAsia="Times New Roman"/>
          <w:b w:val="0"/>
          <w:caps w:val="0"/>
          <w:sz w:val="24"/>
        </w:rPr>
        <w:t>Tabela 25. Sa pajtohen rishikuesit me njëri-tjetrin</w:t>
      </w:r>
    </w:p>
    <w:p>
      <w:pPr>
        <w:spacing w:line="360" w:lineRule="auto"/>
        <w:ind w:firstLine="360"/>
        <w:jc w:val="both"/>
      </w:pPr>
      <w:r>
        <w:rPr>
          <w:rFonts w:ascii="Times New Roman" w:hAnsi="Times New Roman" w:eastAsia="Times New Roman"/>
          <w:b w:val="0"/>
          <w:caps w:val="0"/>
          <w:sz w:val="24"/>
        </w:rPr>
        <w:t>Tabela 26. Shifrat kryesore sipas pyetjes kërkimore</w:t>
      </w:r>
    </w:p>
    <w:p>
      <w:pPr>
        <w:spacing w:line="360" w:lineRule="auto"/>
        <w:ind w:firstLine="360"/>
        <w:jc w:val="both"/>
      </w:pPr>
      <w:r>
        <w:rPr>
          <w:rFonts w:ascii="Times New Roman" w:hAnsi="Times New Roman" w:eastAsia="Times New Roman"/>
          <w:b w:val="0"/>
          <w:caps w:val="0"/>
          <w:sz w:val="24"/>
        </w:rPr>
        <w:t>Tabela 27. Krahasimi i MCC-së me Madeyski dhe Lewowski (2023), mbi MLCQ</w:t>
      </w:r>
    </w:p>
    <w:p>
      <w:pPr>
        <w:spacing w:line="360" w:lineRule="auto"/>
        <w:ind w:firstLine="360"/>
        <w:jc w:val="both"/>
      </w:pPr>
      <w:r>
        <w:rPr>
          <w:rFonts w:ascii="Times New Roman" w:hAnsi="Times New Roman" w:eastAsia="Times New Roman"/>
          <w:b w:val="0"/>
          <w:caps w:val="0"/>
          <w:sz w:val="24"/>
        </w:rPr>
        <w:t>Tabela 28. Gjetjet e punimit përballë literaturës</w:t>
      </w:r>
    </w:p>
    <w:p>
      <w:pPr>
        <w:spacing w:line="360" w:lineRule="auto"/>
        <w:ind w:firstLine="360"/>
        <w:jc w:val="both"/>
      </w:pPr>
      <w:r>
        <w:rPr>
          <w:rFonts w:ascii="Times New Roman" w:hAnsi="Times New Roman" w:eastAsia="Times New Roman"/>
          <w:b w:val="0"/>
          <w:caps w:val="0"/>
          <w:sz w:val="24"/>
        </w:rPr>
        <w:t>Tabela 29. Përgjigjet e shkurtra ndaj pyetjeve kërkimore</w:t>
      </w:r>
    </w:p>
    <w:p>
      <w:pPr>
        <w:spacing w:line="360" w:lineRule="auto"/>
        <w:ind w:firstLine="360"/>
        <w:jc w:val="both"/>
      </w:pPr>
      <w:r>
        <w:rPr>
          <w:rFonts w:ascii="Times New Roman" w:hAnsi="Times New Roman" w:eastAsia="Times New Roman"/>
          <w:b w:val="0"/>
          <w:caps w:val="0"/>
          <w:sz w:val="24"/>
        </w:rPr>
        <w:t>Tabela 30. Kufizimet e sistemit dhe pasojat e tyre</w:t>
      </w:r>
    </w:p>
    <w:p>
      <w:pPr>
        <w:spacing w:line="360" w:lineRule="auto"/>
        <w:ind w:firstLine="360"/>
        <w:jc w:val="both"/>
      </w:pPr>
      <w:r>
        <w:rPr>
          <w:rFonts w:ascii="Times New Roman" w:hAnsi="Times New Roman" w:eastAsia="Times New Roman"/>
          <w:b w:val="0"/>
          <w:caps w:val="0"/>
          <w:sz w:val="24"/>
        </w:rPr>
        <w:t>Tabela 31. Strategjitë e detektimit dhe burimet e tyre</w:t>
      </w:r>
    </w:p>
    <w:p>
      <w:pPr>
        <w:spacing w:line="360" w:lineRule="auto"/>
        <w:ind w:firstLine="360"/>
        <w:jc w:val="both"/>
      </w:pPr>
      <w:r>
        <w:rPr>
          <w:rFonts w:ascii="Times New Roman" w:hAnsi="Times New Roman" w:eastAsia="Times New Roman"/>
          <w:b w:val="0"/>
          <w:caps w:val="0"/>
          <w:sz w:val="24"/>
        </w:rPr>
        <w:t>Tabela 32. Kuantifikuesit e përgjithshëm</w:t>
      </w:r>
    </w:p>
    <w:p>
      <w:pPr>
        <w:spacing w:line="360" w:lineRule="auto"/>
        <w:ind w:firstLine="360"/>
        <w:jc w:val="both"/>
      </w:pPr>
      <w:r>
        <w:rPr>
          <w:rFonts w:ascii="Times New Roman" w:hAnsi="Times New Roman" w:eastAsia="Times New Roman"/>
          <w:b w:val="0"/>
          <w:caps w:val="0"/>
          <w:sz w:val="24"/>
        </w:rPr>
        <w:t>Tabela 33. Pragjet e përdorura</w:t>
      </w:r>
    </w:p>
    <w:p>
      <w:pPr>
        <w:spacing w:line="360" w:lineRule="auto"/>
        <w:ind w:firstLine="360"/>
        <w:jc w:val="both"/>
      </w:pPr>
      <w:r>
        <w:rPr>
          <w:rFonts w:ascii="Times New Roman" w:hAnsi="Times New Roman" w:eastAsia="Times New Roman"/>
          <w:b w:val="0"/>
          <w:caps w:val="0"/>
          <w:sz w:val="24"/>
        </w:rPr>
        <w:t>Tabela 34. Metrikat sipas nivelit</w:t>
      </w:r>
    </w:p>
    <w:p>
      <w:pPr>
        <w:spacing w:line="360" w:lineRule="auto"/>
        <w:ind w:firstLine="360"/>
        <w:jc w:val="both"/>
      </w:pPr>
      <w:r>
        <w:rPr>
          <w:rFonts w:ascii="Times New Roman" w:hAnsi="Times New Roman" w:eastAsia="Times New Roman"/>
          <w:b w:val="0"/>
          <w:caps w:val="0"/>
          <w:sz w:val="24"/>
        </w:rPr>
        <w:t>Tabela 35. Çfarë propozohet dhe çfarë aplikohet</w:t>
      </w:r>
    </w:p>
    <w:p>
      <w:pPr>
        <w:spacing w:line="360" w:lineRule="auto"/>
        <w:ind w:firstLine="360"/>
        <w:jc w:val="both"/>
      </w:pPr>
      <w:r>
        <w:rPr>
          <w:rFonts w:ascii="Times New Roman" w:hAnsi="Times New Roman" w:eastAsia="Times New Roman"/>
          <w:b w:val="0"/>
          <w:caps w:val="0"/>
          <w:sz w:val="24"/>
        </w:rPr>
        <w:t>Tabela 36. Arsyet e refuzimit</w:t>
      </w:r>
    </w:p>
    <w:p>
      <w:pPr>
        <w:spacing w:line="360" w:lineRule="auto"/>
        <w:ind w:firstLine="360"/>
        <w:jc w:val="both"/>
      </w:pPr>
      <w:r>
        <w:rPr>
          <w:rFonts w:ascii="Times New Roman" w:hAnsi="Times New Roman" w:eastAsia="Times New Roman"/>
          <w:b w:val="0"/>
          <w:caps w:val="0"/>
          <w:sz w:val="24"/>
        </w:rPr>
        <w:t>Tabela 37. Radha e ekzekutimit</w:t>
      </w:r>
    </w:p>
    <w:p>
      <w:pPr>
        <w:spacing w:line="360" w:lineRule="auto"/>
        <w:ind w:firstLine="360"/>
        <w:jc w:val="both"/>
      </w:pPr>
      <w:r>
        <w:rPr>
          <w:rFonts w:ascii="Times New Roman" w:hAnsi="Times New Roman" w:eastAsia="Times New Roman"/>
          <w:b w:val="0"/>
          <w:caps w:val="0"/>
          <w:sz w:val="24"/>
        </w:rPr>
        <w:t>Tabela 38. Commit-i që prodhoi çdo skedar rezultati</w:t>
      </w:r>
    </w:p>
    <w:p>
      <w:pPr>
        <w:spacing w:line="360" w:lineRule="auto"/>
        <w:ind w:firstLine="360"/>
        <w:jc w:val="both"/>
      </w:pPr>
      <w:r>
        <w:rPr>
          <w:rFonts w:ascii="Times New Roman" w:hAnsi="Times New Roman" w:eastAsia="Times New Roman"/>
          <w:b w:val="0"/>
          <w:caps w:val="0"/>
          <w:sz w:val="24"/>
        </w:rPr>
        <w:t>Tabela 39. Sa klauzola dështuan te secila mospërputhje</w:t>
      </w:r>
    </w:p>
    <w:p>
      <w:pPr>
        <w:spacing w:line="360" w:lineRule="auto"/>
        <w:ind w:firstLine="360"/>
        <w:jc w:val="both"/>
      </w:pPr>
      <w:r>
        <w:rPr>
          <w:rFonts w:ascii="Times New Roman" w:hAnsi="Times New Roman" w:eastAsia="Times New Roman"/>
          <w:b w:val="0"/>
          <w:caps w:val="0"/>
          <w:sz w:val="24"/>
        </w:rPr>
        <w:t>Tabela 40. Kur një klauzolë e vetme e ndal strategjinë</w:t>
      </w:r>
    </w:p>
    <w:p>
      <w:pPr>
        <w:spacing w:line="360" w:lineRule="auto"/>
        <w:ind w:firstLine="360"/>
        <w:jc w:val="both"/>
      </w:pPr>
      <w:r>
        <w:rPr>
          <w:rFonts w:ascii="Times New Roman" w:hAnsi="Times New Roman" w:eastAsia="Times New Roman"/>
          <w:b w:val="0"/>
          <w:caps w:val="0"/>
          <w:sz w:val="24"/>
        </w:rPr>
        <w:t>Tabela 41. Pajtimi i ashpërsisë me rishikuesit</w:t>
      </w:r>
    </w:p>
    <w:p>
      <w:pPr>
        <w:spacing w:line="360" w:lineRule="auto"/>
        <w:ind w:firstLine="360"/>
        <w:jc w:val="both"/>
      </w:pPr>
      <w:r>
        <w:rPr>
          <w:rFonts w:ascii="Times New Roman" w:hAnsi="Times New Roman" w:eastAsia="Times New Roman"/>
          <w:b w:val="0"/>
          <w:caps w:val="0"/>
          <w:sz w:val="24"/>
        </w:rPr>
        <w:t>Tabela 42.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43.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 (2010)</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Mostër – një entitet i MLCQ-së i rishikuar për një erë të caktuar (çift mostër-erë)</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Rishkrim – një transformim i aplikuar mbi një vend të caktuar të kodit</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Vend – një entitet ku detektori ndez dhe motori ka një transformim për të</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kur kodi lexohet dhe ndryshohet vazhdimisht, shpesh vite më vonë dhe nga njerëz që nuk e kanë shkruar vetë. Lehman (1980) e formuloi këtë si ligj: një sistem që përdoret në një mjedis real duhet të ndryshojë vazhdimisht, përndryshe bëhet gradualisht më pak i dobishëm, dhe me çdo ndryshim kompleksiteti i tij rritet, përveç kur dikush punon qëllimisht për ta ulur. Sa lehtë ndryshohet kodi është prandaj një kosto e përditshme për çdo ekip, dhe kjo kosto rritet bashkë me moshën e sistemit.</w:t>
      </w:r>
    </w:p>
    <w:p>
      <w:pPr>
        <w:spacing w:line="360" w:lineRule="auto"/>
        <w:ind w:firstLine="360"/>
        <w:jc w:val="both"/>
      </w:pPr>
      <w:r>
        <w:rPr>
          <w:rFonts w:ascii="Times New Roman" w:hAnsi="Times New Roman" w:eastAsia="Times New Roman"/>
          <w:b w:val="0"/>
          <w:caps w:val="0"/>
          <w:sz w:val="24"/>
        </w:rPr>
        <w:t>Një burim i rëndësishëm i kësaj vështirësie janë code smells (Fowler, 2018), të cilat në vijim quhen edhe erëra të kodit, ose shkurt erëra. Një erë nuk është gabim, sepse programi kompilohet dhe punon saktë, por shenjë e një problemi dizajni: një klasë me shumë përgjegjësi të palidhura, një metodë qindra rreshta e gjatë, ose një klasë që mban vetëm të dhëna. Cunningham (1992) efektin e grumbulluar të këtyre kompromiseve e quajti borxh teknik, sepse çdo shkurtim në strukturë paguhet me interes në çdo ndryshim të mëvonshëm. Metafora ka edhe mbështetje empirike: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që Fowler (2018) e përkufizon si ndryshim të strukturës së brendshme të kodit pa ndryshuar sjelljen e tij të jashtme. Por që një erë të ndreqet, ajo duhet gjetur më parë, dhe duhet ditur cili transformim e heq pa e prishur programin. Në një sistem me qindra klasa kjo nuk bëhet dot me dorë në mënyrë sistematike: rishikimi i kodit e kap një erë vetëm kur dikush e vëren, dy shqyrtues shpesh nuk pajtohen se çfarë është problem, dhe një rishkrim me dorë mund ta prishë programin aty ku synonte ta përmirësonte. Ajo që mungon, pra, nuk është përkufizimi, por një mënyrë e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lënë tri mangësi. Strategjitë me metrika, si ato të Lanza dhe Marinescu (2006), përdorin pragje fikse të nxjerra nga sisteme të tjera, dhe rrallë dihet sa pajtohen me gjykimin e zhvilluesve. Detektimi me mësim të makinës premton më shumë, por rezultatet e tij varen nga mënyra si ndërtohen dhe ndahen të dhënat, dhe rrallë krahasohet me rregullat mbi të njëjtat mostra. Së fundi, shumica e mjeteve ndalen te njoftimi: tregojnë ku është problemi, por jo si ndreqet, dhe qasjet që propozojnë edhe refaktorimin, si ajo e Tsantalis dhe Chatzigeorgiou (2009) për Move Method,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kryesor është një zinxhir i vetëm që lidh detektimin, rishkrimin dhe verifikimin, hapa që literatura i trajton veç e veç. Dy qasje detektimi, strategjitë me metrika dhe një klasifikues i trajnuar mbi të njëjtat metrika, krahasohen mbi të njëjtin dataset të etiketuar nga zhvillues profesionistë, dhe një motor refaktorimi e rishkruan kodin vetëm kur transformimi është i sigurt në një kuptim të ngushtë e të matshëm. Parakushtet e tij, në kuptimin e Opdyke (1992), provohen mbi pemën sintaksore para aplikimit, përndryshe ai refuzohet me arsye; pas tij skedari parsohet sërish, kompilatori javac nuk duhet të japë lloj të ri gabimi, dhe klasa rimatet për të parë nëse era u hoq. Kjo është verifikim i kompilimit, jo provë se sjellja e programit ruhet: sjelljen gjatë ekzekutimit punimi nuk e verifikon, dhe rishkrimet që sollën gabime të reja raportohen veç (Nënkapitujt 3.4 dhe 5.4).</w:t>
      </w:r>
    </w:p>
    <w:p>
      <w:pPr>
        <w:spacing w:line="360" w:lineRule="auto"/>
        <w:ind w:firstLine="360"/>
        <w:jc w:val="both"/>
      </w:pPr>
      <w:r>
        <w:rPr>
          <w:rFonts w:ascii="Times New Roman" w:hAnsi="Times New Roman" w:eastAsia="Times New Roman"/>
          <w:b w:val="0"/>
          <w:caps w:val="0"/>
          <w:sz w:val="24"/>
        </w:rPr>
        <w:t>Kapitujt në vijim trajtojnë me radhë literaturën, problemin, metodologjinë, rezultatet dhe diskutimin e tyre.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dhe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boshllëkun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dhe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dhe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dhe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dhe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dhe Spinellis (2018), në një shqyrtim sistematik të fushës, vërejnë se përkufizimet e erërave në literaturë nuk janë konsistente, dhe as rezultatet e metodave të detektimit, prandaj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dhe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dhe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dhe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dhe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dhe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kështu që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dhe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dhe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tridhjetë e nëntë mijë zhvillues, gjetën se refaktorimi shpesh përzihet me ndryshime të tjera dhe rrallë përmendet në mesazhet e commit-eve, prandaj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Boshllëku në literaturë</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të makinës rrallë vlerësohen mbi të njëjtën të vërtetë bazë dhe me të njëjtat metrika, kështu që krahasimi i drejtpërdrejtë mungon. Jo çdo punim e thotë qartë si e ndan bashkësinë e vlerësimit, edhe pse shifra e raportuar varet drejtpërdrejt prej saj. Detektimi dhe refaktorimi, nga ana tjetër, trajtohen zakonisht veç e veç, dhe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dhe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dhe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dhe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parakushtet e tyre provohen nga pema sintaksore, dhe që e verifikon rezultatin me kompilator.</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e konfuzionit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shtuar gabime kompilimi.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me kompilator se nuk shton lloj të ri gabimi, rastet ku shton numërohen veç, dhe matet nëse era u hoq. Kriteri mat kompilueshmërinë, jo ruajtjen e sjelljes.</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prandaj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kështu që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me kompilator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që kaluan parakushtet dhe kompilatorin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dhe asnjëra prej tyre nuk u desh të shkruhej nga e para. FastAPI dhe Pydantic e validojnë çdo kërkesë nga tipet e deklaruara, dhe TypeScript e bën kontratën me ndërfaqen të kontrollueshme që gjatë ndërtimit. JDK 21 është versioni me mbështetje afatgjatë, prandaj javac-u i tij është kompilatori i verifikimit. PMD zgjidhet si mjet i jashtëm krahasimi, sepse zbaton dy nga strategjitë e Lanza dhe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Një mostër kodi zakonisht është rishikuar për të dyja erërat e nivelit të saj: një klasë për Blob dhe për Data Class, një metodë për Feature Envy dhe për Long Method. Prandaj njësia e vlerësimit në këtë punim është çifti mostër-erë, dhe 4770 mostrat japin 9517 çifte të tilla.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çift mostër-erë merret mesatarja e ashpërsive të dhëna për atë erë,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Rishikimet e një ere nuk përzihen me ato të erës tjetër të së njëjtës mostër: një klasë që rishikuesit e quajtën Blob por jo Data Class është pozitive për të parën dhe negative për të dytën.</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2026), dhe mbi pemën që ai prodhon maten shtatëmbëdhjetë metrika klase dhe nëntë metrika metode, me një kalim për klasë. Ndër to janë metrikat e Chidamber dhe Kemerer (1994), varianti i normalizuar i LCOM-it nga Henderson-Sellers (1996), TCC-ja e Bieman dhe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dhe për këtë arsye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dhe Marinescu (2006). Large Class, Long Method dhe Long Parameter List ndjekin përshkrimet e Fowler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dhe Marinescu (2006), me vlerat e Shtojcës 8.2. Pragu i Long Method është i vetmi kufi gjatësie i një ere metode: metoda shënohet kur ka mbi 30 rreshta efektivë. Numri 35 që del te Brain Method nuk është një prag i dytë për të njëjtën erë, por njëra nga katër klauzolat e asaj strategjie, gjysma e pragut të lartë prej 70 rreshtash të Lanza dhe Marinescu (2006), dhe ndez vetëm bashkë me tri të tjerat.</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Meqë shkalla është ajo e MLCQ-së, ashpërsia e derivuar krahasohet drejtpërdrejt me atë të rishikuesve.</w:t>
      </w:r>
    </w:p>
    <w:p>
      <w:pPr>
        <w:pStyle w:val="Heading2"/>
      </w:pPr>
      <w:r>
        <w:rPr>
          <w:rFonts w:ascii="Times New Roman" w:hAnsi="Times New Roman" w:eastAsia="Times New Roman"/>
          <w:b/>
          <w:caps w:val="0"/>
          <w:sz w:val="24"/>
        </w:rPr>
        <w:t>4.6 Qasja B: detektimi me mësim të makinës</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optimizohen: optimizimi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permutim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Algoritmi që e përfaqëson Qasjen B te secila erë caktohet pas vlerësimit, si ai që del më mirë. Zgjedhja bëhet mbi të njëjtat parashikime mbi të cilat raportohet shifra, pa një bashkësi të tretë të mbajtur veç për të, ndaj MCC-ja e modelit më të mirë përmban një anim të vogël optimist (Cawley &amp; Talbot, 2010). Për këtë arsye Nënkapitulli 5.2 jep MCC-në e çdo algoritmi dhe jo vetëm të më të mirit, ndërsa sa ndikon zgjedhja te përfundimet diskutohet te Nënkapitulli 6.6.</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nga katalogu i Fowler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Një shembull.</w:t>
      </w:r>
      <w:r>
        <w:rPr>
          <w:rFonts w:ascii="Times New Roman" w:hAnsi="Times New Roman" w:eastAsia="Times New Roman"/>
          <w:b w:val="0"/>
          <w:caps w:val="0"/>
          <w:sz w:val="24"/>
        </w:rPr>
        <w:t xml:space="preserve"> Figura që vijon tregon një rishkrim të vërtetë të motorit mbi korpus: metodën checkForLimitedOrNoAccess të klasës DistributedRegion nga projekti Apache Geode, para dhe pas Replace Nested Conditional with Guard Clauses. Kushti i jashtëm kthehet në roje me një dalje të hershme, dhe pjesa tjetër e metodës humbet një nivel ndërfutjeje. Rishkrimi kaloi verifikimin, dhe në leximin e Nënkapitullit 5.4 u gjykua i pranueshëm ashtu si është. Extract Method, transformimi më i shpeshtë, del te pamja e ndërfaqes në Nënkapitullin 4.8 (Figura 2).</w:t>
      </w:r>
    </w:p>
    <w:p>
      <w:pPr>
        <w:keepNext/>
        <w:jc w:val="center"/>
      </w:pPr>
      <w:r>
        <w:drawing>
          <wp:inline xmlns:a="http://schemas.openxmlformats.org/drawingml/2006/main" xmlns:pic="http://schemas.openxmlformats.org/drawingml/2006/picture">
            <wp:extent cx="5577840" cy="5254752"/>
            <wp:docPr id="4" name="Picture 4"/>
            <wp:cNvGraphicFramePr>
              <a:graphicFrameLocks noChangeAspect="1"/>
            </wp:cNvGraphicFramePr>
            <a:graphic>
              <a:graphicData uri="http://schemas.openxmlformats.org/drawingml/2006/picture">
                <pic:pic>
                  <pic:nvPicPr>
                    <pic:cNvPr id="0" name="shembull_guard_clauses.png"/>
                    <pic:cNvPicPr/>
                  </pic:nvPicPr>
                  <pic:blipFill>
                    <a:blip r:embed="rId14"/>
                    <a:stretch>
                      <a:fillRect/>
                    </a:stretch>
                  </pic:blipFill>
                  <pic:spPr>
                    <a:xfrm>
                      <a:off x="0" y="0"/>
                      <a:ext cx="5577840" cy="52547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Një rishkrim i motorit mbi korpus: Replace Nested Conditional with Guard Clauses, para dhe pas</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kështu që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 Asnjë nga tri nivelet nuk e ekzekuton programin: verifikimi tregon se rishkrimi mbetet Java e vlefshme dhe nuk shton lloj të ri gabimi kompilimi, jo se programi sillet njësoj. Për sjelljen, motori mbështetet vetëm te parakushtet, që janë provë mbi sintaksën dhe jo ekzekutim. Një rishkrim që nuk e kalon verifikimin nuk hyn në patch dhe nuk shkruhet në disk, por në vlerësim numërohet, që shkalla e gabimeve të mos fshihet.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gjë që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i njëjti patch me përparim të raportuar, kontrolli i depos para shkrimit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Meqë aplikacioni ka një përdorues dhe dëgjon vetëm në localhost,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spacing w:line="360" w:lineRule="auto"/>
        <w:ind w:firstLine="360"/>
        <w:jc w:val="both"/>
      </w:pPr>
      <w:r>
        <w:rPr>
          <w:rFonts w:ascii="Times New Roman" w:hAnsi="Times New Roman" w:eastAsia="Times New Roman"/>
          <w:b w:val="0"/>
          <w:caps w:val="0"/>
          <w:sz w:val="24"/>
        </w:rPr>
        <w:t>Figura që vijon tregon panelin pas analizës së jsoup, një bibliotekë publike Java me 199 skedarë, në mënyrën e thjeshtë: sa klasa e metoda kanë probleme dhe sa të rënda janë, cilat erëra u gjetën më shpesh, dhe vendet për të cilat motori ka një transformim të automatizuar, secili me arsyen e shkruar si fjali. Nëse një vend rishkruhet vërtet varet nga parakushtet e tij, që provohen vetëm kur zhvilluesi e hap (Figura 3).</w:t>
      </w:r>
    </w:p>
    <w:p>
      <w:pPr>
        <w:keepNext/>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nderfaqja_paneli.png"/>
                    <pic:cNvPicPr/>
                  </pic:nvPicPr>
                  <pic:blipFill>
                    <a:blip r:embed="rId15"/>
                    <a:stretch>
                      <a:fillRect/>
                    </a:stretch>
                  </pic:blipFill>
                  <pic:spPr>
                    <a:xfrm>
                      <a:off x="0" y="0"/>
                      <a:ext cx="5120640" cy="3200400"/>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Paneli i ndërfaqes pas analizës së projektit jsoup, në mënyrën e thjeshtë</w:t>
      </w:r>
    </w:p>
    <w:p>
      <w:pPr>
        <w:spacing w:line="360" w:lineRule="auto"/>
        <w:ind w:firstLine="360"/>
        <w:jc w:val="both"/>
      </w:pPr>
      <w:r>
        <w:rPr>
          <w:rFonts w:ascii="Times New Roman" w:hAnsi="Times New Roman" w:eastAsia="Times New Roman"/>
          <w:b w:val="0"/>
          <w:caps w:val="0"/>
          <w:sz w:val="24"/>
        </w:rPr>
        <w:t>Kur zhvilluesi hap një vend, ndërfaqja i kërkon motorit rishkrimin dhe e tregon si diff, pa prekur asnjë skedar. Figura që vijon tregon atë që doli për metodën traverse të klasës NodeTraversor në jsoup: Extract Method e nxjerr ciklin while në një metodë të re dhe e thërret atë aty ku ishte cikli. Metoda e re quhet «extracted», dhe emrin, siç u tha te Nënkapitulli 4.7, e zgjedh zhvilluesi (Figura 4).</w:t>
      </w:r>
    </w:p>
    <w:p>
      <w:pPr>
        <w:keepNext/>
        <w:jc w:val="center"/>
      </w:pPr>
      <w:r>
        <w:drawing>
          <wp:inline xmlns:a="http://schemas.openxmlformats.org/drawingml/2006/main" xmlns:pic="http://schemas.openxmlformats.org/drawingml/2006/picture">
            <wp:extent cx="5577840" cy="1815625"/>
            <wp:docPr id="6" name="Picture 6"/>
            <wp:cNvGraphicFramePr>
              <a:graphicFrameLocks noChangeAspect="1"/>
            </wp:cNvGraphicFramePr>
            <a:graphic>
              <a:graphicData uri="http://schemas.openxmlformats.org/drawingml/2006/picture">
                <pic:pic>
                  <pic:nvPicPr>
                    <pic:cNvPr id="0" name="nderfaqja_rishkrimi.png"/>
                    <pic:cNvPicPr/>
                  </pic:nvPicPr>
                  <pic:blipFill>
                    <a:blip r:embed="rId16"/>
                    <a:stretch>
                      <a:fillRect/>
                    </a:stretch>
                  </pic:blipFill>
                  <pic:spPr>
                    <a:xfrm>
                      <a:off x="0" y="0"/>
                      <a:ext cx="5577840" cy="181562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Ndryshimi që propozon Extract Method për NodeTraversor.traverse në jsoup, ashtu si e shfaq ndërfaqja</w:t>
      </w:r>
    </w:p>
    <w:p>
      <w:pPr>
        <w:spacing w:line="360" w:lineRule="auto"/>
        <w:ind w:firstLine="360"/>
        <w:jc w:val="both"/>
      </w:pPr>
      <w:r>
        <w:rPr>
          <w:rFonts w:ascii="Times New Roman" w:hAnsi="Times New Roman" w:eastAsia="Times New Roman"/>
          <w:b w:val="0"/>
          <w:caps w:val="0"/>
          <w:sz w:val="24"/>
        </w:rPr>
        <w:t>Ndërfaqja ka dy mënyra leximi. Mënyra teknike përdor emrat e literaturës, si Feature Envy ose klauzola «WOC &lt; 0.333». Mënyra e thjeshtë, që hapet si parazgjedhje për një vizitor të ri, i jep çdo ere, metrike, ashpërsie dhe refaktorimi një emër shqip dhe një fjali që e shpjegon, dhe çdo klauzolë e lexon si fjali. Klauzola e vetme e Long Method, për një metodë me 77 rreshta efektivë, del kështu: «Rreshtat e kodit të metodës: 77 (problem kur është mbi 30)». Shpjegimet janë në një fjalor të vetëm, që e lexojnë njësoj ndërfaqja dhe rreshti i komandës me opsionin --thjeshte, dhe testet kontrollojnë që çdo term që prodhon sistemi të ketë shpjegim.</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e konfuzionit,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dhe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87%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Meqë pragjet nuk hyjnë në matje,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që i jep MCC-në më të lartë.</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konfuzioni: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dhe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prandaj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një parakusht nuk provohet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12 tetor 2026, kaluan 798 teste të backend-it, me mbulim 96% të kodit, dhe 173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prandaj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spacing w:line="360" w:lineRule="auto"/>
        <w:ind w:firstLine="360"/>
        <w:jc w:val="both"/>
      </w:pPr>
      <w:r>
        <w:rPr>
          <w:rFonts w:ascii="Times New Roman" w:hAnsi="Times New Roman" w:eastAsia="Times New Roman"/>
          <w:b w:val="0"/>
          <w:caps w:val="0"/>
          <w:sz w:val="24"/>
        </w:rPr>
        <w:t>Mjeti shpërndahet edhe si imazh Docker në GitHub Container Registry, me Python-in, JDK-në dhe git-in brenda, kështu që mund të nisë me një komandë të vetme pa instaluar asgjë tjetër.</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Meqë punimi nuk mbledh të dhëna nga njerëz,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optimizim të hiperparametrave. Pasiguria që vjen nga korpusi matet me bootstrap sipas depos, por ajo që vjen nga ndryshimi i farës nuk matet, dhe as ajo që vjen nga zgjedhja e algoritmit më të mirë mbi të njëjtat parashikime (Nënkapitulli 4.6).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9046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jep 9517 çifte mostër-erë në 522 depo, nga të cilat 10 nuk ishin më të arritshme. Jashtë vlerësimit mbetën 471 çifte: 451 sepse skedari nuk ishte në korpus, dhe 20 sepse entiteti nuk u përputh ose skedari kishte gabim sintakse (Figura 5).</w:t>
      </w:r>
    </w:p>
    <w:p>
      <w:pPr>
        <w:keepNext/>
        <w:jc w:val="center"/>
      </w:pPr>
      <w:r>
        <w:drawing>
          <wp:inline xmlns:a="http://schemas.openxmlformats.org/drawingml/2006/main" xmlns:pic="http://schemas.openxmlformats.org/drawingml/2006/picture">
            <wp:extent cx="5120640" cy="2518876"/>
            <wp:docPr id="7" name="Picture 7"/>
            <wp:cNvGraphicFramePr>
              <a:graphicFrameLocks noChangeAspect="1"/>
            </wp:cNvGraphicFramePr>
            <a:graphic>
              <a:graphicData uri="http://schemas.openxmlformats.org/drawingml/2006/picture">
                <pic:pic>
                  <pic:nvPicPr>
                    <pic:cNvPr id="0" name="shperndarja_e_mostrave.png"/>
                    <pic:cNvPicPr/>
                  </pic:nvPicPr>
                  <pic:blipFill>
                    <a:blip r:embed="rId17"/>
                    <a:stretch>
                      <a:fillRect/>
                    </a:stretch>
                  </pic:blipFill>
                  <pic:spPr>
                    <a:xfrm>
                      <a:off x="0" y="0"/>
                      <a:ext cx="5120640" cy="2518876"/>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Strategjitë e publikuara, të zbatuara me pragjet e Nënkapitullit 4.5, krahasohen këtu me gjykimin e rishikuesve të MLCQ-së. Treguesit janë ata të Nënkapitullit 4.9, dhe secili llogaritet mbi të gjitha mostrat e erës përkatëse. Për çdo erë jepen precizioni (P), recall-i (R), F1 dhe MCC-ja, bashkë me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0.816</w:t>
            </w:r>
          </w:p>
        </w:tc>
        <w:tc>
          <w:tcPr>
            <w:tcW w:type="dxa" w:w="1473"/>
          </w:tcPr>
          <w:p>
            <w:pPr>
              <w:spacing w:line="240" w:lineRule="auto"/>
              <w:jc w:val="left"/>
            </w:pPr>
            <w:r>
              <w:rPr>
                <w:rFonts w:ascii="Times New Roman" w:hAnsi="Times New Roman" w:eastAsia="Times New Roman"/>
                <w:b w:val="0"/>
                <w:caps w:val="0"/>
                <w:sz w:val="22"/>
              </w:rPr>
              <w:t>0.174</w:t>
            </w:r>
          </w:p>
        </w:tc>
        <w:tc>
          <w:tcPr>
            <w:tcW w:type="dxa" w:w="1473"/>
          </w:tcPr>
          <w:p>
            <w:pPr>
              <w:spacing w:line="240" w:lineRule="auto"/>
              <w:jc w:val="left"/>
            </w:pPr>
            <w:r>
              <w:rPr>
                <w:rFonts w:ascii="Times New Roman" w:hAnsi="Times New Roman" w:eastAsia="Times New Roman"/>
                <w:b w:val="0"/>
                <w:caps w:val="0"/>
                <w:sz w:val="22"/>
              </w:rPr>
              <w:t>0.286</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357</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0.695</w:t>
            </w:r>
          </w:p>
        </w:tc>
        <w:tc>
          <w:tcPr>
            <w:tcW w:type="dxa" w:w="1473"/>
          </w:tcPr>
          <w:p>
            <w:pPr>
              <w:spacing w:line="240" w:lineRule="auto"/>
              <w:jc w:val="left"/>
            </w:pPr>
            <w:r>
              <w:rPr>
                <w:rFonts w:ascii="Times New Roman" w:hAnsi="Times New Roman" w:eastAsia="Times New Roman"/>
                <w:b w:val="0"/>
                <w:caps w:val="0"/>
                <w:sz w:val="22"/>
              </w:rPr>
              <w:t>0.415</w:t>
            </w:r>
          </w:p>
        </w:tc>
        <w:tc>
          <w:tcPr>
            <w:tcW w:type="dxa" w:w="1473"/>
          </w:tcPr>
          <w:p>
            <w:pPr>
              <w:spacing w:line="240" w:lineRule="auto"/>
              <w:jc w:val="left"/>
            </w:pPr>
            <w:r>
              <w:rPr>
                <w:rFonts w:ascii="Times New Roman" w:hAnsi="Times New Roman" w:eastAsia="Times New Roman"/>
                <w:b w:val="0"/>
                <w:caps w:val="0"/>
                <w:sz w:val="22"/>
              </w:rPr>
              <w:t>0.519</w:t>
            </w:r>
          </w:p>
        </w:tc>
        <w:tc>
          <w:tcPr>
            <w:tcW w:type="dxa" w:w="1473"/>
          </w:tcPr>
          <w:p>
            <w:pPr>
              <w:spacing w:line="240" w:lineRule="auto"/>
              <w:jc w:val="left"/>
            </w:pPr>
            <w:r>
              <w:rPr>
                <w:rFonts w:ascii="Times New Roman" w:hAnsi="Times New Roman" w:eastAsia="Times New Roman"/>
                <w:b w:val="0"/>
                <w:caps w:val="0"/>
                <w:sz w:val="22"/>
              </w:rPr>
              <w:t>0.474</w:t>
            </w:r>
          </w:p>
        </w:tc>
        <w:tc>
          <w:tcPr>
            <w:tcW w:type="dxa" w:w="1473"/>
          </w:tcPr>
          <w:p>
            <w:pPr>
              <w:spacing w:line="240" w:lineRule="auto"/>
              <w:jc w:val="left"/>
            </w:pPr>
            <w:r>
              <w:rPr>
                <w:rFonts w:ascii="Times New Roman" w:hAnsi="Times New Roman" w:eastAsia="Times New Roman"/>
                <w:b w:val="0"/>
                <w:caps w:val="0"/>
                <w:sz w:val="22"/>
              </w:rPr>
              <w:t>357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0.353</w:t>
            </w:r>
          </w:p>
        </w:tc>
        <w:tc>
          <w:tcPr>
            <w:tcW w:type="dxa" w:w="1473"/>
          </w:tcPr>
          <w:p>
            <w:pPr>
              <w:spacing w:line="240" w:lineRule="auto"/>
              <w:jc w:val="left"/>
            </w:pPr>
            <w:r>
              <w:rPr>
                <w:rFonts w:ascii="Times New Roman" w:hAnsi="Times New Roman" w:eastAsia="Times New Roman"/>
                <w:b w:val="0"/>
                <w:caps w:val="0"/>
                <w:sz w:val="22"/>
              </w:rPr>
              <w:t>0.367</w:t>
            </w:r>
          </w:p>
        </w:tc>
        <w:tc>
          <w:tcPr>
            <w:tcW w:type="dxa" w:w="1473"/>
          </w:tcPr>
          <w:p>
            <w:pPr>
              <w:spacing w:line="240" w:lineRule="auto"/>
              <w:jc w:val="left"/>
            </w:pPr>
            <w:r>
              <w:rPr>
                <w:rFonts w:ascii="Times New Roman" w:hAnsi="Times New Roman" w:eastAsia="Times New Roman"/>
                <w:b w:val="0"/>
                <w:caps w:val="0"/>
                <w:sz w:val="22"/>
              </w:rPr>
              <w:t>383</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0.413</w:t>
            </w:r>
          </w:p>
        </w:tc>
        <w:tc>
          <w:tcPr>
            <w:tcW w:type="dxa" w:w="1473"/>
          </w:tcPr>
          <w:p>
            <w:pPr>
              <w:spacing w:line="240" w:lineRule="auto"/>
              <w:jc w:val="left"/>
            </w:pPr>
            <w:r>
              <w:rPr>
                <w:rFonts w:ascii="Times New Roman" w:hAnsi="Times New Roman" w:eastAsia="Times New Roman"/>
                <w:b w:val="0"/>
                <w:caps w:val="0"/>
                <w:sz w:val="22"/>
              </w:rPr>
              <w:t>0.188</w:t>
            </w:r>
          </w:p>
        </w:tc>
        <w:tc>
          <w:tcPr>
            <w:tcW w:type="dxa" w:w="1473"/>
          </w:tcPr>
          <w:p>
            <w:pPr>
              <w:spacing w:line="240" w:lineRule="auto"/>
              <w:jc w:val="left"/>
            </w:pPr>
            <w:r>
              <w:rPr>
                <w:rFonts w:ascii="Times New Roman" w:hAnsi="Times New Roman" w:eastAsia="Times New Roman"/>
                <w:b w:val="0"/>
                <w:caps w:val="0"/>
                <w:sz w:val="22"/>
              </w:rPr>
              <w:t>0.258</w:t>
            </w:r>
          </w:p>
        </w:tc>
        <w:tc>
          <w:tcPr>
            <w:tcW w:type="dxa" w:w="1473"/>
          </w:tcPr>
          <w:p>
            <w:pPr>
              <w:spacing w:line="240" w:lineRule="auto"/>
              <w:jc w:val="left"/>
            </w:pPr>
            <w:r>
              <w:rPr>
                <w:rFonts w:ascii="Times New Roman" w:hAnsi="Times New Roman" w:eastAsia="Times New Roman"/>
                <w:b w:val="0"/>
                <w:caps w:val="0"/>
                <w:sz w:val="22"/>
              </w:rPr>
              <w:t>0.243</w:t>
            </w:r>
          </w:p>
        </w:tc>
        <w:tc>
          <w:tcPr>
            <w:tcW w:type="dxa" w:w="1473"/>
          </w:tcPr>
          <w:p>
            <w:pPr>
              <w:spacing w:line="240" w:lineRule="auto"/>
              <w:jc w:val="left"/>
            </w:pPr>
            <w:r>
              <w:rPr>
                <w:rFonts w:ascii="Times New Roman" w:hAnsi="Times New Roman" w:eastAsia="Times New Roman"/>
                <w:b w:val="0"/>
                <w:caps w:val="0"/>
                <w:sz w:val="22"/>
              </w:rPr>
              <w:t>165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0.888</w:t>
            </w:r>
          </w:p>
        </w:tc>
        <w:tc>
          <w:tcPr>
            <w:tcW w:type="dxa" w:w="1473"/>
          </w:tcPr>
          <w:p>
            <w:pPr>
              <w:spacing w:line="240" w:lineRule="auto"/>
              <w:jc w:val="left"/>
            </w:pPr>
            <w:r>
              <w:rPr>
                <w:rFonts w:ascii="Times New Roman" w:hAnsi="Times New Roman" w:eastAsia="Times New Roman"/>
                <w:b w:val="0"/>
                <w:caps w:val="0"/>
                <w:sz w:val="22"/>
              </w:rPr>
              <w:t>0.470</w:t>
            </w:r>
          </w:p>
        </w:tc>
        <w:tc>
          <w:tcPr>
            <w:tcW w:type="dxa" w:w="1473"/>
          </w:tcPr>
          <w:p>
            <w:pPr>
              <w:spacing w:line="240" w:lineRule="auto"/>
              <w:jc w:val="left"/>
            </w:pPr>
            <w:r>
              <w:rPr>
                <w:rFonts w:ascii="Times New Roman" w:hAnsi="Times New Roman" w:eastAsia="Times New Roman"/>
                <w:b w:val="0"/>
                <w:caps w:val="0"/>
                <w:sz w:val="22"/>
              </w:rPr>
              <w:t>0.615</w:t>
            </w:r>
          </w:p>
        </w:tc>
        <w:tc>
          <w:tcPr>
            <w:tcW w:type="dxa" w:w="1473"/>
          </w:tcPr>
          <w:p>
            <w:pPr>
              <w:spacing w:line="240" w:lineRule="auto"/>
              <w:jc w:val="left"/>
            </w:pPr>
            <w:r>
              <w:rPr>
                <w:rFonts w:ascii="Times New Roman" w:hAnsi="Times New Roman" w:eastAsia="Times New Roman"/>
                <w:b w:val="0"/>
                <w:caps w:val="0"/>
                <w:sz w:val="22"/>
              </w:rPr>
              <w:t>0.617</w:t>
            </w:r>
          </w:p>
        </w:tc>
        <w:tc>
          <w:tcPr>
            <w:tcW w:type="dxa" w:w="1473"/>
          </w:tcPr>
          <w:p>
            <w:pPr>
              <w:spacing w:line="240" w:lineRule="auto"/>
              <w:jc w:val="left"/>
            </w:pPr>
            <w:r>
              <w:rPr>
                <w:rFonts w:ascii="Times New Roman" w:hAnsi="Times New Roman" w:eastAsia="Times New Roman"/>
                <w:b w:val="0"/>
                <w:caps w:val="0"/>
                <w:sz w:val="22"/>
              </w:rPr>
              <w:t>270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0.413 deri në 0.888, recall-i nga 0.174 deri në 0.470. MCC-ja më e lartë është te Long Method (0.617) dhe më e ulëta te Feature Envy (0.243). Varianti i Blob-it që shton kushtin e madhësisë (Nënkapitulli 4.5) e ngre recall-in nga 0.174 në 0.415 dhe MCC-në nga 0.336 në 0.474, ndërsa precizioni zbret nga 0.816 në 0.695. Recall-i ndryshon ndjeshëm edhe sipas ashpërsisë që rishikuesit i dhanë secilës mostër (Tabela 3; Figura 6).</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24/82 (29.3%)</w:t>
            </w:r>
          </w:p>
        </w:tc>
        <w:tc>
          <w:tcPr>
            <w:tcW w:type="dxa" w:w="2946"/>
          </w:tcPr>
          <w:p>
            <w:pPr>
              <w:spacing w:line="240" w:lineRule="auto"/>
              <w:jc w:val="left"/>
            </w:pPr>
            <w:r>
              <w:rPr>
                <w:rFonts w:ascii="Times New Roman" w:hAnsi="Times New Roman" w:eastAsia="Times New Roman"/>
                <w:b w:val="0"/>
                <w:caps w:val="0"/>
                <w:sz w:val="22"/>
              </w:rPr>
              <w:t>34/265 (12.8%)</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60/82 (73.2%)</w:t>
            </w:r>
          </w:p>
        </w:tc>
        <w:tc>
          <w:tcPr>
            <w:tcW w:type="dxa" w:w="2946"/>
          </w:tcPr>
          <w:p>
            <w:pPr>
              <w:spacing w:line="240" w:lineRule="auto"/>
              <w:jc w:val="left"/>
            </w:pPr>
            <w:r>
              <w:rPr>
                <w:rFonts w:ascii="Times New Roman" w:hAnsi="Times New Roman" w:eastAsia="Times New Roman"/>
                <w:b w:val="0"/>
                <w:caps w:val="0"/>
                <w:sz w:val="22"/>
              </w:rPr>
              <w:t>79/265 (29.8%)</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46/98 (46.9%)</w:t>
            </w:r>
          </w:p>
        </w:tc>
        <w:tc>
          <w:tcPr>
            <w:tcW w:type="dxa" w:w="2946"/>
          </w:tcPr>
          <w:p>
            <w:pPr>
              <w:spacing w:line="240" w:lineRule="auto"/>
              <w:jc w:val="left"/>
            </w:pPr>
            <w:r>
              <w:rPr>
                <w:rFonts w:ascii="Times New Roman" w:hAnsi="Times New Roman" w:eastAsia="Times New Roman"/>
                <w:b w:val="0"/>
                <w:caps w:val="0"/>
                <w:sz w:val="22"/>
              </w:rPr>
              <w:t>29/266 (10.9%)</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8/13 (61.5%)</w:t>
            </w:r>
          </w:p>
        </w:tc>
        <w:tc>
          <w:tcPr>
            <w:tcW w:type="dxa" w:w="2946"/>
          </w:tcPr>
          <w:p>
            <w:pPr>
              <w:spacing w:line="240" w:lineRule="auto"/>
              <w:jc w:val="left"/>
            </w:pPr>
            <w:r>
              <w:rPr>
                <w:rFonts w:ascii="Times New Roman" w:hAnsi="Times New Roman" w:eastAsia="Times New Roman"/>
                <w:b w:val="0"/>
                <w:caps w:val="0"/>
                <w:sz w:val="22"/>
              </w:rPr>
              <w:t>23/152 (15.1%)</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80/94 (85.1%)</w:t>
            </w:r>
          </w:p>
        </w:tc>
        <w:tc>
          <w:tcPr>
            <w:tcW w:type="dxa" w:w="2946"/>
          </w:tcPr>
          <w:p>
            <w:pPr>
              <w:spacing w:line="240" w:lineRule="auto"/>
              <w:jc w:val="left"/>
            </w:pPr>
            <w:r>
              <w:rPr>
                <w:rFonts w:ascii="Times New Roman" w:hAnsi="Times New Roman" w:eastAsia="Times New Roman"/>
                <w:b w:val="0"/>
                <w:caps w:val="0"/>
                <w:sz w:val="22"/>
              </w:rPr>
              <w:t>31/160 (19.4%)</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8" name="Picture 8"/>
            <wp:cNvGraphicFramePr>
              <a:graphicFrameLocks noChangeAspect="1"/>
            </wp:cNvGraphicFramePr>
            <a:graphic>
              <a:graphicData uri="http://schemas.openxmlformats.org/drawingml/2006/picture">
                <pic:pic>
                  <pic:nvPicPr>
                    <pic:cNvPr id="0" name="recall_sipas_ashpersise.png"/>
                    <pic:cNvPicPr/>
                  </pic:nvPicPr>
                  <pic:blipFill>
                    <a:blip r:embed="rId18"/>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Recall-i sipas ashpërsisë së caktuar nga rishikuesit</w:t>
      </w:r>
    </w:p>
    <w:p>
      <w:pPr>
        <w:spacing w:line="360" w:lineRule="auto"/>
        <w:ind w:firstLine="360"/>
        <w:jc w:val="both"/>
      </w:pPr>
      <w:r>
        <w:rPr>
          <w:rFonts w:ascii="Times New Roman" w:hAnsi="Times New Roman" w:eastAsia="Times New Roman"/>
          <w:b w:val="0"/>
          <w:caps w:val="0"/>
          <w:sz w:val="24"/>
        </w:rPr>
        <w:t>Te të katër erërat, strategjia e botuar i kap rastet major më shpesh se ato minor. Këto dy tabela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të makinës</w:t>
      </w:r>
    </w:p>
    <w:p>
      <w:pPr>
        <w:spacing w:line="360" w:lineRule="auto"/>
        <w:ind w:firstLine="360"/>
        <w:jc w:val="both"/>
      </w:pPr>
      <w:r>
        <w:rPr>
          <w:rFonts w:ascii="Times New Roman" w:hAnsi="Times New Roman" w:eastAsia="Times New Roman"/>
          <w:b w:val="0"/>
          <w:caps w:val="0"/>
          <w:sz w:val="24"/>
        </w:rPr>
        <w:t>Qasja B vlerësohet me katër algoritmet e Nënkapitullit 4.6, të trajnuar mbi të njëjtat mostra dhe të vlerësuar me ndarjen e grupuar sipas depos, që asnjë depo të mos dalë njëkohësisht në trajnim dhe në vlerësim. Për secilën erë raportohet modeli me MCC-në më të lartë, i pikëzuar mbi parashikimet jashtë fold-it. Klasifikuesi i shumicës nuk ndez asnjëherë për asnjë erë, prandaj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Regresioni logjistik</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0.770</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0.539</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0.546</w:t>
            </w:r>
          </w:p>
        </w:tc>
        <w:tc>
          <w:tcPr>
            <w:tcW w:type="dxa" w:w="1473"/>
          </w:tcPr>
          <w:p>
            <w:pPr>
              <w:spacing w:line="240" w:lineRule="auto"/>
              <w:jc w:val="left"/>
            </w:pPr>
            <w:r>
              <w:rPr>
                <w:rFonts w:ascii="Times New Roman" w:hAnsi="Times New Roman" w:eastAsia="Times New Roman"/>
                <w:b w:val="0"/>
                <w:caps w:val="0"/>
                <w:sz w:val="22"/>
              </w:rPr>
              <w:t>0.590</w:t>
            </w:r>
          </w:p>
        </w:tc>
        <w:tc>
          <w:tcPr>
            <w:tcW w:type="dxa" w:w="1473"/>
          </w:tcPr>
          <w:p>
            <w:pPr>
              <w:spacing w:line="240" w:lineRule="auto"/>
              <w:jc w:val="left"/>
            </w:pPr>
            <w:r>
              <w:rPr>
                <w:rFonts w:ascii="Times New Roman" w:hAnsi="Times New Roman" w:eastAsia="Times New Roman"/>
                <w:b w:val="0"/>
                <w:caps w:val="0"/>
                <w:sz w:val="22"/>
              </w:rPr>
              <w:t>0.567</w:t>
            </w:r>
          </w:p>
        </w:tc>
        <w:tc>
          <w:tcPr>
            <w:tcW w:type="dxa" w:w="1473"/>
          </w:tcPr>
          <w:p>
            <w:pPr>
              <w:spacing w:line="240" w:lineRule="auto"/>
              <w:jc w:val="left"/>
            </w:pPr>
            <w:r>
              <w:rPr>
                <w:rFonts w:ascii="Times New Roman" w:hAnsi="Times New Roman" w:eastAsia="Times New Roman"/>
                <w:b w:val="0"/>
                <w:caps w:val="0"/>
                <w:sz w:val="22"/>
              </w:rPr>
              <w:t>0.473</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0.438</w:t>
            </w:r>
          </w:p>
        </w:tc>
        <w:tc>
          <w:tcPr>
            <w:tcW w:type="dxa" w:w="1473"/>
          </w:tcPr>
          <w:p>
            <w:pPr>
              <w:spacing w:line="240" w:lineRule="auto"/>
              <w:jc w:val="left"/>
            </w:pPr>
            <w:r>
              <w:rPr>
                <w:rFonts w:ascii="Times New Roman" w:hAnsi="Times New Roman" w:eastAsia="Times New Roman"/>
                <w:b w:val="0"/>
                <w:caps w:val="0"/>
                <w:sz w:val="22"/>
              </w:rPr>
              <w:t>0.297</w:t>
            </w:r>
          </w:p>
        </w:tc>
        <w:tc>
          <w:tcPr>
            <w:tcW w:type="dxa" w:w="1473"/>
          </w:tcPr>
          <w:p>
            <w:pPr>
              <w:spacing w:line="240" w:lineRule="auto"/>
              <w:jc w:val="left"/>
            </w:pPr>
            <w:r>
              <w:rPr>
                <w:rFonts w:ascii="Times New Roman" w:hAnsi="Times New Roman" w:eastAsia="Times New Roman"/>
                <w:b w:val="0"/>
                <w:caps w:val="0"/>
                <w:sz w:val="22"/>
              </w:rPr>
              <w:t>0.354</w:t>
            </w:r>
          </w:p>
        </w:tc>
        <w:tc>
          <w:tcPr>
            <w:tcW w:type="dxa" w:w="1473"/>
          </w:tcPr>
          <w:p>
            <w:pPr>
              <w:spacing w:line="240" w:lineRule="auto"/>
              <w:jc w:val="left"/>
            </w:pPr>
            <w:r>
              <w:rPr>
                <w:rFonts w:ascii="Times New Roman" w:hAnsi="Times New Roman" w:eastAsia="Times New Roman"/>
                <w:b w:val="0"/>
                <w:caps w:val="0"/>
                <w:sz w:val="22"/>
              </w:rPr>
              <w:t>0.321</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0.690</w:t>
            </w:r>
          </w:p>
        </w:tc>
        <w:tc>
          <w:tcPr>
            <w:tcW w:type="dxa" w:w="1473"/>
          </w:tcPr>
          <w:p>
            <w:pPr>
              <w:spacing w:line="240" w:lineRule="auto"/>
              <w:jc w:val="left"/>
            </w:pPr>
            <w:r>
              <w:rPr>
                <w:rFonts w:ascii="Times New Roman" w:hAnsi="Times New Roman" w:eastAsia="Times New Roman"/>
                <w:b w:val="0"/>
                <w:caps w:val="0"/>
                <w:sz w:val="22"/>
              </w:rPr>
              <w:t>0.833</w:t>
            </w:r>
          </w:p>
        </w:tc>
        <w:tc>
          <w:tcPr>
            <w:tcW w:type="dxa" w:w="1473"/>
          </w:tcPr>
          <w:p>
            <w:pPr>
              <w:spacing w:line="240" w:lineRule="auto"/>
              <w:jc w:val="left"/>
            </w:pPr>
            <w:r>
              <w:rPr>
                <w:rFonts w:ascii="Times New Roman" w:hAnsi="Times New Roman" w:eastAsia="Times New Roman"/>
                <w:b w:val="0"/>
                <w:caps w:val="0"/>
                <w:sz w:val="22"/>
              </w:rPr>
              <w:t>0.755</w:t>
            </w:r>
          </w:p>
        </w:tc>
        <w:tc>
          <w:tcPr>
            <w:tcW w:type="dxa" w:w="1473"/>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Data Class dhe Feature Envy; Random Forest te Long Method; regresioni logjistik te Blob. Ndryshe nga Qasja A, ku precizioni del gjithmonë mbi recall-in, te modeli dallimi mes tyre shkon në të dy drejtimet dhe arrin 0.260. MCC-ja më e lartë e arritur është 0.723. Veçoritë që peshojnë më shumë te secila erë, të matura me permutim, janë këto (Figura 7):</w:t>
      </w:r>
    </w:p>
    <w:p>
      <w:pPr>
        <w:keepNext/>
        <w:jc w:val="center"/>
      </w:pPr>
      <w:r>
        <w:drawing>
          <wp:inline xmlns:a="http://schemas.openxmlformats.org/drawingml/2006/main" xmlns:pic="http://schemas.openxmlformats.org/drawingml/2006/picture">
            <wp:extent cx="5120640" cy="4356365"/>
            <wp:docPr id="9" name="Picture 9"/>
            <wp:cNvGraphicFramePr>
              <a:graphicFrameLocks noChangeAspect="1"/>
            </wp:cNvGraphicFramePr>
            <a:graphic>
              <a:graphicData uri="http://schemas.openxmlformats.org/drawingml/2006/picture">
                <pic:pic>
                  <pic:nvPicPr>
                    <pic:cNvPr id="0" name="rendesia_e_vecorive.png"/>
                    <pic:cNvPicPr/>
                  </pic:nvPicPr>
                  <pic:blipFill>
                    <a:blip r:embed="rId19"/>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Veçoritë me rëndësi më të lartë, të matura me permutim</w:t>
      </w:r>
    </w:p>
    <w:p>
      <w:pPr>
        <w:spacing w:line="360" w:lineRule="auto"/>
        <w:ind w:firstLine="360"/>
        <w:jc w:val="both"/>
      </w:pPr>
      <w:r>
        <w:rPr>
          <w:rFonts w:ascii="Times New Roman" w:hAnsi="Times New Roman" w:eastAsia="Times New Roman"/>
          <w:b w:val="0"/>
          <w:caps w:val="0"/>
          <w:sz w:val="24"/>
        </w:rPr>
        <w:t>Veçoria me rëndësinë më të lartë është CLOC te Blob (0.180), NOF te Data Class (0.107), MLOC te Feature Envy (0.109)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MCC-ja e çdo algoritmi, e pikëzuar me të njëjtat folde, jepet më poshtë bashkë me atë të rregullit. Algoritmi i dytë mbetet pas të parit me 0.002 deri në 0.028 pikë MCC (Tabela 5).</w:t>
      </w:r>
    </w:p>
    <w:p>
      <w:pPr>
        <w:keepNext/>
        <w:spacing w:line="240" w:lineRule="auto"/>
        <w:jc w:val="center"/>
      </w:pPr>
      <w:r>
        <w:rPr>
          <w:rFonts w:ascii="Times New Roman" w:hAnsi="Times New Roman" w:eastAsia="Times New Roman"/>
          <w:b w:val="0"/>
          <w:caps w:val="0"/>
          <w:sz w:val="22"/>
        </w:rPr>
        <w:t>Tabela 5. MCC e çdo algoritmi të Qasjes B,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Shumica</w:t>
            </w:r>
          </w:p>
        </w:tc>
        <w:tc>
          <w:tcPr>
            <w:tcW w:type="dxa" w:w="1473"/>
          </w:tcPr>
          <w:p>
            <w:pPr>
              <w:spacing w:line="240" w:lineRule="auto"/>
              <w:jc w:val="left"/>
            </w:pPr>
            <w:r>
              <w:rPr>
                <w:rFonts w:ascii="Times New Roman" w:hAnsi="Times New Roman" w:eastAsia="Times New Roman"/>
                <w:b/>
                <w:caps w:val="0"/>
                <w:sz w:val="22"/>
              </w:rPr>
              <w:t>Regresioni logjistik</w:t>
            </w:r>
          </w:p>
        </w:tc>
        <w:tc>
          <w:tcPr>
            <w:tcW w:type="dxa" w:w="1473"/>
          </w:tcPr>
          <w:p>
            <w:pPr>
              <w:spacing w:line="240" w:lineRule="auto"/>
              <w:jc w:val="left"/>
            </w:pPr>
            <w:r>
              <w:rPr>
                <w:rFonts w:ascii="Times New Roman" w:hAnsi="Times New Roman" w:eastAsia="Times New Roman"/>
                <w:b/>
                <w:caps w:val="0"/>
                <w:sz w:val="22"/>
              </w:rPr>
              <w:t>Random Forest</w:t>
            </w:r>
          </w:p>
        </w:tc>
        <w:tc>
          <w:tcPr>
            <w:tcW w:type="dxa" w:w="1473"/>
          </w:tcPr>
          <w:p>
            <w:pPr>
              <w:spacing w:line="240" w:lineRule="auto"/>
              <w:jc w:val="left"/>
            </w:pPr>
            <w:r>
              <w:rPr>
                <w:rFonts w:ascii="Times New Roman" w:hAnsi="Times New Roman" w:eastAsia="Times New Roman"/>
                <w:b/>
                <w:caps w:val="0"/>
                <w:sz w:val="22"/>
              </w:rPr>
              <w:t>Gradient Boosting</w:t>
            </w:r>
          </w:p>
        </w:tc>
        <w:tc>
          <w:tcPr>
            <w:tcW w:type="dxa" w:w="1473"/>
          </w:tcPr>
          <w:p>
            <w:pPr>
              <w:spacing w:line="240" w:lineRule="auto"/>
              <w:jc w:val="left"/>
            </w:pPr>
            <w:r>
              <w:rPr>
                <w:rFonts w:ascii="Times New Roman" w:hAnsi="Times New Roman" w:eastAsia="Times New Roman"/>
                <w:b/>
                <w:caps w:val="0"/>
                <w:sz w:val="22"/>
              </w:rPr>
              <w:t>Qasja 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0.539</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0.505</w:t>
            </w:r>
          </w:p>
        </w:tc>
        <w:tc>
          <w:tcPr>
            <w:tcW w:type="dxa" w:w="1473"/>
          </w:tcPr>
          <w:p>
            <w:pPr>
              <w:spacing w:line="240" w:lineRule="auto"/>
              <w:jc w:val="left"/>
            </w:pPr>
            <w:r>
              <w:rPr>
                <w:rFonts w:ascii="Times New Roman" w:hAnsi="Times New Roman" w:eastAsia="Times New Roman"/>
                <w:b w:val="0"/>
                <w:caps w:val="0"/>
                <w:sz w:val="22"/>
              </w:rPr>
              <w:t>0.336</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0.426</w:t>
            </w:r>
          </w:p>
        </w:tc>
        <w:tc>
          <w:tcPr>
            <w:tcW w:type="dxa" w:w="1473"/>
          </w:tcPr>
          <w:p>
            <w:pPr>
              <w:spacing w:line="240" w:lineRule="auto"/>
              <w:jc w:val="left"/>
            </w:pPr>
            <w:r>
              <w:rPr>
                <w:rFonts w:ascii="Times New Roman" w:hAnsi="Times New Roman" w:eastAsia="Times New Roman"/>
                <w:b w:val="0"/>
                <w:caps w:val="0"/>
                <w:sz w:val="22"/>
              </w:rPr>
              <w:t>0.471</w:t>
            </w:r>
          </w:p>
        </w:tc>
        <w:tc>
          <w:tcPr>
            <w:tcW w:type="dxa" w:w="1473"/>
          </w:tcPr>
          <w:p>
            <w:pPr>
              <w:spacing w:line="240" w:lineRule="auto"/>
              <w:jc w:val="left"/>
            </w:pPr>
            <w:r>
              <w:rPr>
                <w:rFonts w:ascii="Times New Roman" w:hAnsi="Times New Roman" w:eastAsia="Times New Roman"/>
                <w:b w:val="0"/>
                <w:caps w:val="0"/>
                <w:sz w:val="22"/>
              </w:rPr>
              <w:t>0.473</w:t>
            </w:r>
          </w:p>
        </w:tc>
        <w:tc>
          <w:tcPr>
            <w:tcW w:type="dxa" w:w="1473"/>
          </w:tcPr>
          <w:p>
            <w:pPr>
              <w:spacing w:line="240" w:lineRule="auto"/>
              <w:jc w:val="left"/>
            </w:pPr>
            <w:r>
              <w:rPr>
                <w:rFonts w:ascii="Times New Roman" w:hAnsi="Times New Roman" w:eastAsia="Times New Roman"/>
                <w:b w:val="0"/>
                <w:caps w:val="0"/>
                <w:sz w:val="22"/>
              </w:rPr>
              <w:t>0.367</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0.241</w:t>
            </w:r>
          </w:p>
        </w:tc>
        <w:tc>
          <w:tcPr>
            <w:tcW w:type="dxa" w:w="1473"/>
          </w:tcPr>
          <w:p>
            <w:pPr>
              <w:spacing w:line="240" w:lineRule="auto"/>
              <w:jc w:val="left"/>
            </w:pPr>
            <w:r>
              <w:rPr>
                <w:rFonts w:ascii="Times New Roman" w:hAnsi="Times New Roman" w:eastAsia="Times New Roman"/>
                <w:b w:val="0"/>
                <w:caps w:val="0"/>
                <w:sz w:val="22"/>
              </w:rPr>
              <w:t>0.296</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0.243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i papërcaktuar</w:t>
            </w:r>
          </w:p>
        </w:tc>
        <w:tc>
          <w:tcPr>
            <w:tcW w:type="dxa" w:w="1473"/>
          </w:tcPr>
          <w:p>
            <w:pPr>
              <w:spacing w:line="240" w:lineRule="auto"/>
              <w:jc w:val="left"/>
            </w:pPr>
            <w:r>
              <w:rPr>
                <w:rFonts w:ascii="Times New Roman" w:hAnsi="Times New Roman" w:eastAsia="Times New Roman"/>
                <w:b w:val="0"/>
                <w:caps w:val="0"/>
                <w:sz w:val="22"/>
              </w:rPr>
              <w:t>0.707</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0.700</w:t>
            </w:r>
          </w:p>
        </w:tc>
        <w:tc>
          <w:tcPr>
            <w:tcW w:type="dxa" w:w="1473"/>
          </w:tcPr>
          <w:p>
            <w:pPr>
              <w:spacing w:line="240" w:lineRule="auto"/>
              <w:jc w:val="left"/>
            </w:pPr>
            <w:r>
              <w:rPr>
                <w:rFonts w:ascii="Times New Roman" w:hAnsi="Times New Roman" w:eastAsia="Times New Roman"/>
                <w:b w:val="0"/>
                <w:caps w:val="0"/>
                <w:sz w:val="22"/>
              </w:rPr>
              <w:t>0.617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6).</w:t>
      </w:r>
    </w:p>
    <w:p>
      <w:pPr>
        <w:keepNext/>
        <w:spacing w:line="240" w:lineRule="auto"/>
        <w:jc w:val="center"/>
      </w:pPr>
      <w:r>
        <w:rPr>
          <w:rFonts w:ascii="Times New Roman" w:hAnsi="Times New Roman" w:eastAsia="Times New Roman"/>
          <w:b w:val="0"/>
          <w:caps w:val="0"/>
          <w:sz w:val="22"/>
        </w:rPr>
        <w:t>Tabela 6.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539</w:t>
            </w:r>
          </w:p>
        </w:tc>
        <w:tc>
          <w:tcPr>
            <w:tcW w:type="dxa" w:w="2209"/>
          </w:tcPr>
          <w:p>
            <w:pPr>
              <w:spacing w:line="240" w:lineRule="auto"/>
              <w:jc w:val="left"/>
            </w:pPr>
            <w:r>
              <w:rPr>
                <w:rFonts w:ascii="Times New Roman" w:hAnsi="Times New Roman" w:eastAsia="Times New Roman"/>
                <w:b w:val="0"/>
                <w:caps w:val="0"/>
                <w:sz w:val="22"/>
              </w:rPr>
              <w:t>58.8%</w:t>
            </w:r>
          </w:p>
        </w:tc>
        <w:tc>
          <w:tcPr>
            <w:tcW w:type="dxa" w:w="2209"/>
          </w:tcPr>
          <w:p>
            <w:pPr>
              <w:spacing w:line="240" w:lineRule="auto"/>
              <w:jc w:val="left"/>
            </w:pPr>
            <w:r>
              <w:rPr>
                <w:rFonts w:ascii="Times New Roman" w:hAnsi="Times New Roman" w:eastAsia="Times New Roman"/>
                <w:b w:val="0"/>
                <w:caps w:val="0"/>
                <w:sz w:val="22"/>
              </w:rPr>
              <w:t>c_CLOC (131), c_NOM (82), c_MAXCC (61)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414</w:t>
            </w:r>
          </w:p>
        </w:tc>
        <w:tc>
          <w:tcPr>
            <w:tcW w:type="dxa" w:w="2209"/>
          </w:tcPr>
          <w:p>
            <w:pPr>
              <w:spacing w:line="240" w:lineRule="auto"/>
              <w:jc w:val="left"/>
            </w:pPr>
            <w:r>
              <w:rPr>
                <w:rFonts w:ascii="Times New Roman" w:hAnsi="Times New Roman" w:eastAsia="Times New Roman"/>
                <w:b w:val="0"/>
                <w:caps w:val="0"/>
                <w:sz w:val="22"/>
              </w:rPr>
              <w:t>74.2%</w:t>
            </w:r>
          </w:p>
        </w:tc>
        <w:tc>
          <w:tcPr>
            <w:tcW w:type="dxa" w:w="2209"/>
          </w:tcPr>
          <w:p>
            <w:pPr>
              <w:spacing w:line="240" w:lineRule="auto"/>
              <w:jc w:val="left"/>
            </w:pPr>
            <w:r>
              <w:rPr>
                <w:rFonts w:ascii="Times New Roman" w:hAnsi="Times New Roman" w:eastAsia="Times New Roman"/>
                <w:b w:val="0"/>
                <w:caps w:val="0"/>
                <w:sz w:val="22"/>
              </w:rPr>
              <w:t>c_NOAM (122), c_CBO (108), c_NOF (27)</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112</w:t>
            </w:r>
          </w:p>
        </w:tc>
        <w:tc>
          <w:tcPr>
            <w:tcW w:type="dxa" w:w="2209"/>
          </w:tcPr>
          <w:p>
            <w:pPr>
              <w:spacing w:line="240" w:lineRule="auto"/>
              <w:jc w:val="left"/>
            </w:pPr>
            <w:r>
              <w:rPr>
                <w:rFonts w:ascii="Times New Roman" w:hAnsi="Times New Roman" w:eastAsia="Times New Roman"/>
                <w:b w:val="0"/>
                <w:caps w:val="0"/>
                <w:sz w:val="22"/>
              </w:rPr>
              <w:t>88.4%</w:t>
            </w:r>
          </w:p>
        </w:tc>
        <w:tc>
          <w:tcPr>
            <w:tcW w:type="dxa" w:w="2209"/>
          </w:tcPr>
          <w:p>
            <w:pPr>
              <w:spacing w:line="240" w:lineRule="auto"/>
              <w:jc w:val="left"/>
            </w:pPr>
            <w:r>
              <w:rPr>
                <w:rFonts w:ascii="Times New Roman" w:hAnsi="Times New Roman" w:eastAsia="Times New Roman"/>
                <w:b w:val="0"/>
                <w:caps w:val="0"/>
                <w:sz w:val="22"/>
              </w:rPr>
              <w:t>m_MLOC (28), m_NOAV (18), m_CINT (16)</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326</w:t>
            </w:r>
          </w:p>
        </w:tc>
        <w:tc>
          <w:tcPr>
            <w:tcW w:type="dxa" w:w="2209"/>
          </w:tcPr>
          <w:p>
            <w:pPr>
              <w:spacing w:line="240" w:lineRule="auto"/>
              <w:jc w:val="left"/>
            </w:pPr>
            <w:r>
              <w:rPr>
                <w:rFonts w:ascii="Times New Roman" w:hAnsi="Times New Roman" w:eastAsia="Times New Roman"/>
                <w:b w:val="0"/>
                <w:caps w:val="0"/>
                <w:sz w:val="22"/>
              </w:rPr>
              <w:t>91.7%</w:t>
            </w:r>
          </w:p>
        </w:tc>
        <w:tc>
          <w:tcPr>
            <w:tcW w:type="dxa" w:w="2209"/>
          </w:tcPr>
          <w:p>
            <w:pPr>
              <w:spacing w:line="240" w:lineRule="auto"/>
              <w:jc w:val="left"/>
            </w:pPr>
            <w:r>
              <w:rPr>
                <w:rFonts w:ascii="Times New Roman" w:hAnsi="Times New Roman" w:eastAsia="Times New Roman"/>
                <w:b w:val="0"/>
                <w:caps w:val="0"/>
                <w:sz w:val="22"/>
              </w:rPr>
              <w:t>m_MLOC (294), m_CC (3), m_NOAV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58.8% deri në 91.7%. Vetëm me metrikat e strategjisë, modelet arrijnë këtë MCC (Tabela 7):</w:t>
      </w:r>
    </w:p>
    <w:p>
      <w:pPr>
        <w:keepNext/>
        <w:spacing w:line="240" w:lineRule="auto"/>
        <w:jc w:val="center"/>
      </w:pPr>
      <w:r>
        <w:rPr>
          <w:rFonts w:ascii="Times New Roman" w:hAnsi="Times New Roman" w:eastAsia="Times New Roman"/>
          <w:b w:val="0"/>
          <w:caps w:val="0"/>
          <w:sz w:val="22"/>
        </w:rPr>
        <w:t>Tabela 7.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0.494</w:t>
            </w:r>
          </w:p>
        </w:tc>
        <w:tc>
          <w:tcPr>
            <w:tcW w:type="dxa" w:w="1768"/>
          </w:tcPr>
          <w:p>
            <w:pPr>
              <w:spacing w:line="240" w:lineRule="auto"/>
              <w:jc w:val="left"/>
            </w:pPr>
            <w:r>
              <w:rPr>
                <w:rFonts w:ascii="Times New Roman" w:hAnsi="Times New Roman" w:eastAsia="Times New Roman"/>
                <w:b w:val="0"/>
                <w:caps w:val="0"/>
                <w:sz w:val="22"/>
              </w:rPr>
              <w:t>0.539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0.395</w:t>
            </w:r>
          </w:p>
        </w:tc>
        <w:tc>
          <w:tcPr>
            <w:tcW w:type="dxa" w:w="1768"/>
          </w:tcPr>
          <w:p>
            <w:pPr>
              <w:spacing w:line="240" w:lineRule="auto"/>
              <w:jc w:val="left"/>
            </w:pPr>
            <w:r>
              <w:rPr>
                <w:rFonts w:ascii="Times New Roman" w:hAnsi="Times New Roman" w:eastAsia="Times New Roman"/>
                <w:b w:val="0"/>
                <w:caps w:val="0"/>
                <w:sz w:val="22"/>
              </w:rPr>
              <w:t>0.473</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0.191</w:t>
            </w:r>
          </w:p>
        </w:tc>
        <w:tc>
          <w:tcPr>
            <w:tcW w:type="dxa" w:w="1768"/>
          </w:tcPr>
          <w:p>
            <w:pPr>
              <w:spacing w:line="240" w:lineRule="auto"/>
              <w:jc w:val="left"/>
            </w:pPr>
            <w:r>
              <w:rPr>
                <w:rFonts w:ascii="Times New Roman" w:hAnsi="Times New Roman" w:eastAsia="Times New Roman"/>
                <w:b w:val="0"/>
                <w:caps w:val="0"/>
                <w:sz w:val="22"/>
              </w:rPr>
              <w:t>0.321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0.724</w:t>
            </w:r>
          </w:p>
        </w:tc>
        <w:tc>
          <w:tcPr>
            <w:tcW w:type="dxa" w:w="1768"/>
          </w:tcPr>
          <w:p>
            <w:pPr>
              <w:spacing w:line="240" w:lineRule="auto"/>
              <w:jc w:val="left"/>
            </w:pPr>
            <w:r>
              <w:rPr>
                <w:rFonts w:ascii="Times New Roman" w:hAnsi="Times New Roman" w:eastAsia="Times New Roman"/>
                <w:b w:val="0"/>
                <w:caps w:val="0"/>
                <w:sz w:val="22"/>
              </w:rPr>
              <w:t>0.723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Këtu dy qasjet vihen përballë mbi saktësisht të njëjtat mostra dhe me të njëjtën etiketë, siç e kërkon kriteri i PK2 te Nënkapitulli 3.3. Krahasohen MCC-ja, pajtimi mes tyre dhe dy mënyra për t'i bashkuar (Figura 8).</w:t>
      </w:r>
    </w:p>
    <w:p>
      <w:pPr>
        <w:keepNext/>
        <w:jc w:val="center"/>
      </w:pPr>
      <w:r>
        <w:drawing>
          <wp:inline xmlns:a="http://schemas.openxmlformats.org/drawingml/2006/main" xmlns:pic="http://schemas.openxmlformats.org/drawingml/2006/picture">
            <wp:extent cx="5120640" cy="2900601"/>
            <wp:docPr id="10" name="Picture 10"/>
            <wp:cNvGraphicFramePr>
              <a:graphicFrameLocks noChangeAspect="1"/>
            </wp:cNvGraphicFramePr>
            <a:graphic>
              <a:graphicData uri="http://schemas.openxmlformats.org/drawingml/2006/picture">
                <pic:pic>
                  <pic:nvPicPr>
                    <pic:cNvPr id="0" name="mcc_a_vs_b.png"/>
                    <pic:cNvPicPr/>
                  </pic:nvPicPr>
                  <pic:blipFill>
                    <a:blip r:embed="rId20"/>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Feature Envy, 0.078 pikë MCC, dhe më i madhi te Blob, 0.203 pikë. Pajtimi mes tyre matet me koeficientin kappa dhe me numrin e mostrave që shënon secila qasje, vetëm ose bashkë me tjetrën (Tabela 8; Figura 9).</w:t>
      </w:r>
    </w:p>
    <w:p>
      <w:pPr>
        <w:keepNext/>
        <w:spacing w:line="240" w:lineRule="auto"/>
        <w:jc w:val="center"/>
      </w:pPr>
      <w:r>
        <w:rPr>
          <w:rFonts w:ascii="Times New Roman" w:hAnsi="Times New Roman" w:eastAsia="Times New Roman"/>
          <w:b w:val="0"/>
          <w:caps w:val="0"/>
          <w:sz w:val="22"/>
        </w:rPr>
        <w:t>Tabela 8.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0.192</w:t>
            </w:r>
          </w:p>
        </w:tc>
        <w:tc>
          <w:tcPr>
            <w:tcW w:type="dxa" w:w="1473"/>
          </w:tcPr>
          <w:p>
            <w:pPr>
              <w:spacing w:line="240" w:lineRule="auto"/>
              <w:jc w:val="left"/>
            </w:pPr>
            <w:r>
              <w:rPr>
                <w:rFonts w:ascii="Times New Roman" w:hAnsi="Times New Roman" w:eastAsia="Times New Roman"/>
                <w:b w:val="0"/>
                <w:caps w:val="0"/>
                <w:sz w:val="22"/>
              </w:rPr>
              <w:t>74</w:t>
            </w:r>
          </w:p>
        </w:tc>
        <w:tc>
          <w:tcPr>
            <w:tcW w:type="dxa" w:w="1473"/>
          </w:tcPr>
          <w:p>
            <w:pPr>
              <w:spacing w:line="240" w:lineRule="auto"/>
              <w:jc w:val="left"/>
            </w:pPr>
            <w:r>
              <w:rPr>
                <w:rFonts w:ascii="Times New Roman" w:hAnsi="Times New Roman" w:eastAsia="Times New Roman"/>
                <w:b w:val="0"/>
                <w:caps w:val="0"/>
                <w:sz w:val="22"/>
              </w:rPr>
              <w:t>2</w:t>
            </w:r>
          </w:p>
        </w:tc>
        <w:tc>
          <w:tcPr>
            <w:tcW w:type="dxa" w:w="1473"/>
          </w:tcPr>
          <w:p>
            <w:pPr>
              <w:spacing w:line="240" w:lineRule="auto"/>
              <w:jc w:val="left"/>
            </w:pPr>
            <w:r>
              <w:rPr>
                <w:rFonts w:ascii="Times New Roman" w:hAnsi="Times New Roman" w:eastAsia="Times New Roman"/>
                <w:b w:val="0"/>
                <w:caps w:val="0"/>
                <w:sz w:val="22"/>
              </w:rPr>
              <w:t>465</w:t>
            </w:r>
          </w:p>
        </w:tc>
        <w:tc>
          <w:tcPr>
            <w:tcW w:type="dxa" w:w="1473"/>
          </w:tcPr>
          <w:p>
            <w:pPr>
              <w:spacing w:line="240" w:lineRule="auto"/>
              <w:jc w:val="left"/>
            </w:pPr>
            <w:r>
              <w:rPr>
                <w:rFonts w:ascii="Times New Roman" w:hAnsi="Times New Roman" w:eastAsia="Times New Roman"/>
                <w:b w:val="0"/>
                <w:caps w:val="0"/>
                <w:sz w:val="22"/>
              </w:rPr>
              <w:t>2223</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104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310</w:t>
            </w:r>
          </w:p>
        </w:tc>
        <w:tc>
          <w:tcPr>
            <w:tcW w:type="dxa" w:w="1473"/>
          </w:tcPr>
          <w:p>
            <w:pPr>
              <w:spacing w:line="240" w:lineRule="auto"/>
              <w:jc w:val="left"/>
            </w:pPr>
            <w:r>
              <w:rPr>
                <w:rFonts w:ascii="Times New Roman" w:hAnsi="Times New Roman" w:eastAsia="Times New Roman"/>
                <w:b w:val="0"/>
                <w:caps w:val="0"/>
                <w:sz w:val="22"/>
              </w:rPr>
              <w:t>2226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0.282</w:t>
            </w:r>
          </w:p>
        </w:tc>
        <w:tc>
          <w:tcPr>
            <w:tcW w:type="dxa" w:w="1473"/>
          </w:tcPr>
          <w:p>
            <w:pPr>
              <w:spacing w:line="240" w:lineRule="auto"/>
              <w:jc w:val="left"/>
            </w:pPr>
            <w:r>
              <w:rPr>
                <w:rFonts w:ascii="Times New Roman" w:hAnsi="Times New Roman" w:eastAsia="Times New Roman"/>
                <w:b w:val="0"/>
                <w:caps w:val="0"/>
                <w:sz w:val="22"/>
              </w:rPr>
              <w:t>29</w:t>
            </w:r>
          </w:p>
        </w:tc>
        <w:tc>
          <w:tcPr>
            <w:tcW w:type="dxa" w:w="1473"/>
          </w:tcPr>
          <w:p>
            <w:pPr>
              <w:spacing w:line="240" w:lineRule="auto"/>
              <w:jc w:val="left"/>
            </w:pPr>
            <w:r>
              <w:rPr>
                <w:rFonts w:ascii="Times New Roman" w:hAnsi="Times New Roman" w:eastAsia="Times New Roman"/>
                <w:b w:val="0"/>
                <w:caps w:val="0"/>
                <w:sz w:val="22"/>
              </w:rPr>
              <w:t>46</w:t>
            </w:r>
          </w:p>
        </w:tc>
        <w:tc>
          <w:tcPr>
            <w:tcW w:type="dxa" w:w="1473"/>
          </w:tcPr>
          <w:p>
            <w:pPr>
              <w:spacing w:line="240" w:lineRule="auto"/>
              <w:jc w:val="left"/>
            </w:pPr>
            <w:r>
              <w:rPr>
                <w:rFonts w:ascii="Times New Roman" w:hAnsi="Times New Roman" w:eastAsia="Times New Roman"/>
                <w:b w:val="0"/>
                <w:caps w:val="0"/>
                <w:sz w:val="22"/>
              </w:rPr>
              <w:t>83</w:t>
            </w:r>
          </w:p>
        </w:tc>
        <w:tc>
          <w:tcPr>
            <w:tcW w:type="dxa" w:w="1473"/>
          </w:tcPr>
          <w:p>
            <w:pPr>
              <w:spacing w:line="240" w:lineRule="auto"/>
              <w:jc w:val="left"/>
            </w:pPr>
            <w:r>
              <w:rPr>
                <w:rFonts w:ascii="Times New Roman" w:hAnsi="Times New Roman" w:eastAsia="Times New Roman"/>
                <w:b w:val="0"/>
                <w:caps w:val="0"/>
                <w:sz w:val="22"/>
              </w:rPr>
              <w:t>2291</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0.545</w:t>
            </w:r>
          </w:p>
        </w:tc>
        <w:tc>
          <w:tcPr>
            <w:tcW w:type="dxa" w:w="1473"/>
          </w:tcPr>
          <w:p>
            <w:pPr>
              <w:spacing w:line="240" w:lineRule="auto"/>
              <w:jc w:val="left"/>
            </w:pPr>
            <w:r>
              <w:rPr>
                <w:rFonts w:ascii="Times New Roman" w:hAnsi="Times New Roman" w:eastAsia="Times New Roman"/>
                <w:b w:val="0"/>
                <w:caps w:val="0"/>
                <w:sz w:val="22"/>
              </w:rPr>
              <w:t>137</w:t>
            </w:r>
          </w:p>
        </w:tc>
        <w:tc>
          <w:tcPr>
            <w:tcW w:type="dxa" w:w="1473"/>
          </w:tcPr>
          <w:p>
            <w:pPr>
              <w:spacing w:line="240" w:lineRule="auto"/>
              <w:jc w:val="left"/>
            </w:pPr>
            <w:r>
              <w:rPr>
                <w:rFonts w:ascii="Times New Roman" w:hAnsi="Times New Roman" w:eastAsia="Times New Roman"/>
                <w:b w:val="0"/>
                <w:caps w:val="0"/>
                <w:sz w:val="22"/>
              </w:rPr>
              <w:t>6</w:t>
            </w:r>
          </w:p>
        </w:tc>
        <w:tc>
          <w:tcPr>
            <w:tcW w:type="dxa" w:w="1473"/>
          </w:tcPr>
          <w:p>
            <w:pPr>
              <w:spacing w:line="240" w:lineRule="auto"/>
              <w:jc w:val="left"/>
            </w:pPr>
            <w:r>
              <w:rPr>
                <w:rFonts w:ascii="Times New Roman" w:hAnsi="Times New Roman" w:eastAsia="Times New Roman"/>
                <w:b w:val="0"/>
                <w:caps w:val="0"/>
                <w:sz w:val="22"/>
              </w:rPr>
              <w:t>189</w:t>
            </w:r>
          </w:p>
        </w:tc>
        <w:tc>
          <w:tcPr>
            <w:tcW w:type="dxa" w:w="1473"/>
          </w:tcPr>
          <w:p>
            <w:pPr>
              <w:spacing w:line="240" w:lineRule="auto"/>
              <w:jc w:val="left"/>
            </w:pPr>
            <w:r>
              <w:rPr>
                <w:rFonts w:ascii="Times New Roman" w:hAnsi="Times New Roman" w:eastAsia="Times New Roman"/>
                <w:b w:val="0"/>
                <w:caps w:val="0"/>
                <w:sz w:val="22"/>
              </w:rPr>
              <w:t>2306</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11" name="Picture 11"/>
            <wp:cNvGraphicFramePr>
              <a:graphicFrameLocks noChangeAspect="1"/>
            </wp:cNvGraphicFramePr>
            <a:graphic>
              <a:graphicData uri="http://schemas.openxmlformats.org/drawingml/2006/picture">
                <pic:pic>
                  <pic:nvPicPr>
                    <pic:cNvPr id="0" name="pajtimi_a_b.png"/>
                    <pic:cNvPicPr/>
                  </pic:nvPicPr>
                  <pic:blipFill>
                    <a:blip r:embed="rId21"/>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46 me 83. Dy qasjet u kombinuan edhe drejtpërdrejt, si bashkim (A∪B) dhe si prerje (A∩B), me këto vlera (Tabela 9):</w:t>
      </w:r>
    </w:p>
    <w:p>
      <w:pPr>
        <w:keepNext/>
        <w:spacing w:line="240" w:lineRule="auto"/>
        <w:jc w:val="center"/>
      </w:pPr>
      <w:r>
        <w:rPr>
          <w:rFonts w:ascii="Times New Roman" w:hAnsi="Times New Roman" w:eastAsia="Times New Roman"/>
          <w:b w:val="0"/>
          <w:caps w:val="0"/>
          <w:sz w:val="22"/>
        </w:rPr>
        <w:t>Tabela 9.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0.539</w:t>
            </w:r>
          </w:p>
        </w:tc>
        <w:tc>
          <w:tcPr>
            <w:tcW w:type="dxa" w:w="1473"/>
          </w:tcPr>
          <w:p>
            <w:pPr>
              <w:spacing w:line="240" w:lineRule="auto"/>
              <w:jc w:val="left"/>
            </w:pPr>
            <w:r>
              <w:rPr>
                <w:rFonts w:ascii="Times New Roman" w:hAnsi="Times New Roman" w:eastAsia="Times New Roman"/>
                <w:b w:val="0"/>
                <w:caps w:val="0"/>
                <w:sz w:val="22"/>
              </w:rPr>
              <w:t>0.540</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0.773</w:t>
            </w:r>
          </w:p>
        </w:tc>
        <w:tc>
          <w:tcPr>
            <w:tcW w:type="dxa" w:w="1473"/>
          </w:tcPr>
          <w:p>
            <w:pPr>
              <w:spacing w:line="240" w:lineRule="auto"/>
              <w:jc w:val="left"/>
            </w:pPr>
            <w:r>
              <w:rPr>
                <w:rFonts w:ascii="Times New Roman" w:hAnsi="Times New Roman" w:eastAsia="Times New Roman"/>
                <w:b w:val="0"/>
                <w:caps w:val="0"/>
                <w:sz w:val="22"/>
              </w:rPr>
              <w:t>0.824</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0.473</w:t>
            </w:r>
          </w:p>
        </w:tc>
        <w:tc>
          <w:tcPr>
            <w:tcW w:type="dxa" w:w="1473"/>
          </w:tcPr>
          <w:p>
            <w:pPr>
              <w:spacing w:line="240" w:lineRule="auto"/>
              <w:jc w:val="left"/>
            </w:pPr>
            <w:r>
              <w:rPr>
                <w:rFonts w:ascii="Times New Roman" w:hAnsi="Times New Roman" w:eastAsia="Times New Roman"/>
                <w:b w:val="0"/>
                <w:caps w:val="0"/>
                <w:sz w:val="22"/>
              </w:rPr>
              <w:t>0.481</w:t>
            </w:r>
          </w:p>
        </w:tc>
        <w:tc>
          <w:tcPr>
            <w:tcW w:type="dxa" w:w="1473"/>
          </w:tcPr>
          <w:p>
            <w:pPr>
              <w:spacing w:line="240" w:lineRule="auto"/>
              <w:jc w:val="left"/>
            </w:pPr>
            <w:r>
              <w:rPr>
                <w:rFonts w:ascii="Times New Roman" w:hAnsi="Times New Roman" w:eastAsia="Times New Roman"/>
                <w:b w:val="0"/>
                <w:caps w:val="0"/>
                <w:sz w:val="22"/>
              </w:rPr>
              <w:t>0.362</w:t>
            </w:r>
          </w:p>
        </w:tc>
        <w:tc>
          <w:tcPr>
            <w:tcW w:type="dxa" w:w="1473"/>
          </w:tcPr>
          <w:p>
            <w:pPr>
              <w:spacing w:line="240" w:lineRule="auto"/>
              <w:jc w:val="left"/>
            </w:pPr>
            <w:r>
              <w:rPr>
                <w:rFonts w:ascii="Times New Roman" w:hAnsi="Times New Roman" w:eastAsia="Times New Roman"/>
                <w:b w:val="0"/>
                <w:caps w:val="0"/>
                <w:sz w:val="22"/>
              </w:rPr>
              <w:t>0.606</w:t>
            </w:r>
          </w:p>
        </w:tc>
        <w:tc>
          <w:tcPr>
            <w:tcW w:type="dxa" w:w="1473"/>
          </w:tcPr>
          <w:p>
            <w:pPr>
              <w:spacing w:line="240" w:lineRule="auto"/>
              <w:jc w:val="left"/>
            </w:pPr>
            <w:r>
              <w:rPr>
                <w:rFonts w:ascii="Times New Roman" w:hAnsi="Times New Roman" w:eastAsia="Times New Roman"/>
                <w:b w:val="0"/>
                <w:caps w:val="0"/>
                <w:sz w:val="22"/>
              </w:rPr>
              <w:t>0.788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0.331</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0.370</w:t>
            </w:r>
          </w:p>
        </w:tc>
        <w:tc>
          <w:tcPr>
            <w:tcW w:type="dxa" w:w="1473"/>
          </w:tcPr>
          <w:p>
            <w:pPr>
              <w:spacing w:line="240" w:lineRule="auto"/>
              <w:jc w:val="left"/>
            </w:pPr>
            <w:r>
              <w:rPr>
                <w:rFonts w:ascii="Times New Roman" w:hAnsi="Times New Roman" w:eastAsia="Times New Roman"/>
                <w:b w:val="0"/>
                <w:caps w:val="0"/>
                <w:sz w:val="22"/>
              </w:rPr>
              <w:t>0.655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0.723</w:t>
            </w:r>
          </w:p>
        </w:tc>
        <w:tc>
          <w:tcPr>
            <w:tcW w:type="dxa" w:w="1473"/>
          </w:tcPr>
          <w:p>
            <w:pPr>
              <w:spacing w:line="240" w:lineRule="auto"/>
              <w:jc w:val="left"/>
            </w:pPr>
            <w:r>
              <w:rPr>
                <w:rFonts w:ascii="Times New Roman" w:hAnsi="Times New Roman" w:eastAsia="Times New Roman"/>
                <w:b w:val="0"/>
                <w:caps w:val="0"/>
                <w:sz w:val="22"/>
              </w:rPr>
              <w:t>0.622</w:t>
            </w:r>
          </w:p>
        </w:tc>
        <w:tc>
          <w:tcPr>
            <w:tcW w:type="dxa" w:w="1473"/>
          </w:tcPr>
          <w:p>
            <w:pPr>
              <w:spacing w:line="240" w:lineRule="auto"/>
              <w:jc w:val="left"/>
            </w:pPr>
            <w:r>
              <w:rPr>
                <w:rFonts w:ascii="Times New Roman" w:hAnsi="Times New Roman" w:eastAsia="Times New Roman"/>
                <w:b w:val="0"/>
                <w:caps w:val="0"/>
                <w:sz w:val="22"/>
              </w:rPr>
              <w:t>0.841</w:t>
            </w:r>
          </w:p>
        </w:tc>
        <w:tc>
          <w:tcPr>
            <w:tcW w:type="dxa" w:w="1473"/>
          </w:tcPr>
          <w:p>
            <w:pPr>
              <w:spacing w:line="240" w:lineRule="auto"/>
              <w:jc w:val="left"/>
            </w:pPr>
            <w:r>
              <w:rPr>
                <w:rFonts w:ascii="Times New Roman" w:hAnsi="Times New Roman" w:eastAsia="Times New Roman"/>
                <w:b w:val="0"/>
                <w:caps w:val="0"/>
                <w:sz w:val="22"/>
              </w:rPr>
              <w:t>0.912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(0.539 → 0.540), Data Class (0.473 → 0.481) dhe Feature Envy (0.321 → 0.331), ndërsa te Long Method mbetet e njëjtë. Te prerja, precizioni është të paktën 0.655 te çdo erë dhe arrin 0.912 te Long Method, ndërsa recall-i dhe MCC-ja janë nën ato të modelit te të katër erërat. 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Motori i Nënkapitullit 4.7 u ekzekutua mbi tërë korpusin. Më poshtë jepet sa vende transformoi, pse refuzoi të tjerat, nëse rishkrimet kompilojnë dhe nëse era u hoq, në radhën e pyetjeve që shtron PK3. Mbi 4409 skedarë të korpusit u detektuan 15 800 vende ku motori ka një transformim; prej tyre 3532 u transformuan (Tabela 10).</w:t>
      </w:r>
    </w:p>
    <w:p>
      <w:pPr>
        <w:keepNext/>
        <w:spacing w:line="240" w:lineRule="auto"/>
        <w:jc w:val="center"/>
      </w:pPr>
      <w:r>
        <w:rPr>
          <w:rFonts w:ascii="Times New Roman" w:hAnsi="Times New Roman" w:eastAsia="Times New Roman"/>
          <w:b w:val="0"/>
          <w:caps w:val="0"/>
          <w:sz w:val="22"/>
        </w:rPr>
        <w:t>Tabela 10.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 Refuzimet ndahen sipas arsyes, kuptimi i së cilës jepet te Shtojca 8.4, dhe rishkrimet e aplikuara sipas verdiktit të verifikimit (Tabela 11; Tabela 12).</w:t>
      </w:r>
    </w:p>
    <w:p>
      <w:pPr>
        <w:keepNext/>
        <w:spacing w:line="240" w:lineRule="auto"/>
        <w:jc w:val="center"/>
      </w:pPr>
      <w:r>
        <w:rPr>
          <w:rFonts w:ascii="Times New Roman" w:hAnsi="Times New Roman" w:eastAsia="Times New Roman"/>
          <w:b w:val="0"/>
          <w:caps w:val="0"/>
          <w:sz w:val="22"/>
        </w:rPr>
        <w:t>Tabela 11.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12.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 Çdo entitet i rishkruar u mat sërish, për të parë nëse detektori ende ndez mbi të (Tabela 13).</w:t>
      </w:r>
    </w:p>
    <w:p>
      <w:pPr>
        <w:keepNext/>
        <w:spacing w:line="240" w:lineRule="auto"/>
        <w:jc w:val="center"/>
      </w:pPr>
      <w:r>
        <w:rPr>
          <w:rFonts w:ascii="Times New Roman" w:hAnsi="Times New Roman" w:eastAsia="Times New Roman"/>
          <w:b w:val="0"/>
          <w:caps w:val="0"/>
          <w:sz w:val="22"/>
        </w:rPr>
        <w:t>Tabela 13.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 Edhe metrika që e ndez detektorin u mat para dhe pas; mesoret mbi vendet e aplikuara janë (Tabela 14):</w:t>
      </w:r>
    </w:p>
    <w:p>
      <w:pPr>
        <w:keepNext/>
        <w:spacing w:line="240" w:lineRule="auto"/>
        <w:jc w:val="center"/>
      </w:pPr>
      <w:r>
        <w:rPr>
          <w:rFonts w:ascii="Times New Roman" w:hAnsi="Times New Roman" w:eastAsia="Times New Roman"/>
          <w:b w:val="0"/>
          <w:caps w:val="0"/>
          <w:sz w:val="22"/>
        </w:rPr>
        <w:t>Tabela 14.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 E gjithë rrjedha, nga vendi i detektuar te era e hequr, jepet në një figurë, ku çdo shirit shprehet si pjesë e vendeve të detektuara (Figura 10):</w:t>
      </w:r>
    </w:p>
    <w:p>
      <w:pPr>
        <w:keepNext/>
        <w:jc w:val="center"/>
      </w:pPr>
      <w:r>
        <w:drawing>
          <wp:inline xmlns:a="http://schemas.openxmlformats.org/drawingml/2006/main" xmlns:pic="http://schemas.openxmlformats.org/drawingml/2006/picture">
            <wp:extent cx="5120640" cy="2141806"/>
            <wp:docPr id="12" name="Picture 12"/>
            <wp:cNvGraphicFramePr>
              <a:graphicFrameLocks noChangeAspect="1"/>
            </wp:cNvGraphicFramePr>
            <a:graphic>
              <a:graphicData uri="http://schemas.openxmlformats.org/drawingml/2006/picture">
                <pic:pic>
                  <pic:nvPicPr>
                    <pic:cNvPr id="0" name="rrjedha_e_refaktorimit.png"/>
                    <pic:cNvPicPr/>
                  </pic:nvPicPr>
                  <pic:blipFill>
                    <a:blip r:embed="rId22"/>
                    <a:stretch>
                      <a:fillRect/>
                    </a:stretch>
                  </pic:blipFill>
                  <pic:spPr>
                    <a:xfrm>
                      <a:off x="0" y="0"/>
                      <a:ext cx="5120640" cy="21418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zgjedhur me farë të Nënkapitullit 4.7, prej 60 skedarësh dhe 201 rishkrimesh, i njëjti rishkrim u kompilua i vetëm dhe brenda projektit të vet (Tabela 15).</w:t>
      </w:r>
    </w:p>
    <w:p>
      <w:pPr>
        <w:keepNext/>
        <w:spacing w:line="240" w:lineRule="auto"/>
        <w:jc w:val="center"/>
      </w:pPr>
      <w:r>
        <w:rPr>
          <w:rFonts w:ascii="Times New Roman" w:hAnsi="Times New Roman" w:eastAsia="Times New Roman"/>
          <w:b w:val="0"/>
          <w:caps w:val="0"/>
          <w:sz w:val="22"/>
        </w:rPr>
        <w:t>Tabela 15.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 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Sipas rubrikës së Nënkapitullit 4.7 u lexua një mostër e zgjedhur me farë, prej 60 rishkrimesh, 20 për çdo transformim (Tabela 16; Figura 11).</w:t>
      </w:r>
    </w:p>
    <w:p>
      <w:pPr>
        <w:keepNext/>
        <w:spacing w:line="240" w:lineRule="auto"/>
        <w:jc w:val="center"/>
      </w:pPr>
      <w:r>
        <w:rPr>
          <w:rFonts w:ascii="Times New Roman" w:hAnsi="Times New Roman" w:eastAsia="Times New Roman"/>
          <w:b w:val="0"/>
          <w:caps w:val="0"/>
          <w:sz w:val="22"/>
        </w:rPr>
        <w:t>Tabela 16. Pranueshmëria e rishkrimeve sipas rishikuesit</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jc w:val="left"/>
            </w:pPr>
            <w:r>
              <w:rPr>
                <w:rFonts w:ascii="Times New Roman" w:hAnsi="Times New Roman" w:eastAsia="Times New Roman"/>
                <w:b/>
                <w:caps w:val="0"/>
                <w:sz w:val="22"/>
              </w:rPr>
              <w:t>Transformimi</w:t>
            </w:r>
          </w:p>
        </w:tc>
        <w:tc>
          <w:tcPr>
            <w:tcW w:type="dxa" w:w="1263"/>
          </w:tcPr>
          <w:p>
            <w:pPr>
              <w:spacing w:line="240" w:lineRule="auto"/>
              <w:jc w:val="left"/>
            </w:pPr>
            <w:r>
              <w:rPr>
                <w:rFonts w:ascii="Times New Roman" w:hAnsi="Times New Roman" w:eastAsia="Times New Roman"/>
                <w:b/>
                <w:caps w:val="0"/>
                <w:sz w:val="22"/>
              </w:rPr>
              <w:t>Të lexuara</w:t>
            </w:r>
          </w:p>
        </w:tc>
        <w:tc>
          <w:tcPr>
            <w:tcW w:type="dxa" w:w="1263"/>
          </w:tcPr>
          <w:p>
            <w:pPr>
              <w:spacing w:line="240" w:lineRule="auto"/>
              <w:jc w:val="left"/>
            </w:pPr>
            <w:r>
              <w:rPr>
                <w:rFonts w:ascii="Times New Roman" w:hAnsi="Times New Roman" w:eastAsia="Times New Roman"/>
                <w:b/>
                <w:caps w:val="0"/>
                <w:sz w:val="22"/>
              </w:rPr>
              <w:t>Ashtu si është</w:t>
            </w:r>
          </w:p>
        </w:tc>
        <w:tc>
          <w:tcPr>
            <w:tcW w:type="dxa" w:w="1263"/>
          </w:tcPr>
          <w:p>
            <w:pPr>
              <w:spacing w:line="240" w:lineRule="auto"/>
              <w:jc w:val="left"/>
            </w:pPr>
            <w:r>
              <w:rPr>
                <w:rFonts w:ascii="Times New Roman" w:hAnsi="Times New Roman" w:eastAsia="Times New Roman"/>
                <w:b/>
                <w:caps w:val="0"/>
                <w:sz w:val="22"/>
              </w:rPr>
              <w:t>Pas ndreqjeje</w:t>
            </w:r>
          </w:p>
        </w:tc>
        <w:tc>
          <w:tcPr>
            <w:tcW w:type="dxa" w:w="1263"/>
          </w:tcPr>
          <w:p>
            <w:pPr>
              <w:spacing w:line="240" w:lineRule="auto"/>
              <w:jc w:val="left"/>
            </w:pPr>
            <w:r>
              <w:rPr>
                <w:rFonts w:ascii="Times New Roman" w:hAnsi="Times New Roman" w:eastAsia="Times New Roman"/>
                <w:b/>
                <w:caps w:val="0"/>
                <w:sz w:val="22"/>
              </w:rPr>
              <w:t>Të refuzuara</w:t>
            </w:r>
          </w:p>
        </w:tc>
        <w:tc>
          <w:tcPr>
            <w:tcW w:type="dxa" w:w="1263"/>
          </w:tcPr>
          <w:p>
            <w:pPr>
              <w:spacing w:line="240" w:lineRule="auto"/>
              <w:jc w:val="left"/>
            </w:pPr>
            <w:r>
              <w:rPr>
                <w:rFonts w:ascii="Times New Roman" w:hAnsi="Times New Roman" w:eastAsia="Times New Roman"/>
                <w:b/>
                <w:caps w:val="0"/>
                <w:sz w:val="22"/>
              </w:rPr>
              <w:t>Të pranueshme</w:t>
            </w:r>
          </w:p>
        </w:tc>
        <w:tc>
          <w:tcPr>
            <w:tcW w:type="dxa" w:w="1263"/>
          </w:tcPr>
          <w:p>
            <w:pPr>
              <w:spacing w:line="240" w:lineRule="auto"/>
              <w:jc w:val="left"/>
            </w:pPr>
            <w:r>
              <w:rPr>
                <w:rFonts w:ascii="Times New Roman" w:hAnsi="Times New Roman" w:eastAsia="Times New Roman"/>
                <w:b/>
                <w:caps w:val="0"/>
                <w:sz w:val="22"/>
              </w:rPr>
              <w:t>IB 95%</w:t>
            </w:r>
          </w:p>
        </w:tc>
      </w:tr>
      <w:tr>
        <w:tc>
          <w:tcPr>
            <w:tcW w:type="dxa" w:w="1263"/>
          </w:tcPr>
          <w:p>
            <w:pPr>
              <w:spacing w:line="240" w:lineRule="auto"/>
              <w:jc w:val="left"/>
            </w:pPr>
            <w:r>
              <w:rPr>
                <w:rFonts w:ascii="Times New Roman" w:hAnsi="Times New Roman" w:eastAsia="Times New Roman"/>
                <w:b w:val="0"/>
                <w:caps w:val="0"/>
                <w:sz w:val="22"/>
              </w:rPr>
              <w:t>Extract Method</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13</w:t>
            </w:r>
          </w:p>
        </w:tc>
        <w:tc>
          <w:tcPr>
            <w:tcW w:type="dxa" w:w="1263"/>
          </w:tcPr>
          <w:p>
            <w:pPr>
              <w:spacing w:line="240" w:lineRule="auto"/>
              <w:jc w:val="left"/>
            </w:pPr>
            <w:r>
              <w:rPr>
                <w:rFonts w:ascii="Times New Roman" w:hAnsi="Times New Roman" w:eastAsia="Times New Roman"/>
                <w:b w:val="0"/>
                <w:caps w:val="0"/>
                <w:sz w:val="22"/>
              </w:rPr>
              <w:t>7</w:t>
            </w:r>
          </w:p>
        </w:tc>
        <w:tc>
          <w:tcPr>
            <w:tcW w:type="dxa" w:w="1263"/>
          </w:tcPr>
          <w:p>
            <w:pPr>
              <w:spacing w:line="240" w:lineRule="auto"/>
              <w:jc w:val="left"/>
            </w:pPr>
            <w:r>
              <w:rPr>
                <w:rFonts w:ascii="Times New Roman" w:hAnsi="Times New Roman" w:eastAsia="Times New Roman"/>
                <w:b w:val="0"/>
                <w:caps w:val="0"/>
                <w:sz w:val="22"/>
              </w:rPr>
              <w:t>65%</w:t>
            </w:r>
          </w:p>
        </w:tc>
        <w:tc>
          <w:tcPr>
            <w:tcW w:type="dxa" w:w="1263"/>
          </w:tcPr>
          <w:p>
            <w:pPr>
              <w:spacing w:line="240" w:lineRule="auto"/>
              <w:jc w:val="left"/>
            </w:pPr>
            <w:r>
              <w:rPr>
                <w:rFonts w:ascii="Times New Roman" w:hAnsi="Times New Roman" w:eastAsia="Times New Roman"/>
                <w:b w:val="0"/>
                <w:caps w:val="0"/>
                <w:sz w:val="22"/>
              </w:rPr>
              <w:t>[0.43, 0.82]</w:t>
            </w:r>
          </w:p>
        </w:tc>
      </w:tr>
      <w:tr>
        <w:tc>
          <w:tcPr>
            <w:tcW w:type="dxa" w:w="1263"/>
          </w:tcPr>
          <w:p>
            <w:pPr>
              <w:spacing w:line="240" w:lineRule="auto"/>
              <w:jc w:val="left"/>
            </w:pPr>
            <w:r>
              <w:rPr>
                <w:rFonts w:ascii="Times New Roman" w:hAnsi="Times New Roman" w:eastAsia="Times New Roman"/>
                <w:b w:val="0"/>
                <w:caps w:val="0"/>
                <w:sz w:val="22"/>
              </w:rPr>
              <w:t>Introduce Parameter Object</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[0.00, 0.16]</w:t>
            </w:r>
          </w:p>
        </w:tc>
      </w:tr>
      <w:tr>
        <w:tc>
          <w:tcPr>
            <w:tcW w:type="dxa" w:w="1263"/>
          </w:tcPr>
          <w:p>
            <w:pPr>
              <w:spacing w:line="240" w:lineRule="auto"/>
              <w:jc w:val="left"/>
            </w:pPr>
            <w:r>
              <w:rPr>
                <w:rFonts w:ascii="Times New Roman" w:hAnsi="Times New Roman" w:eastAsia="Times New Roman"/>
                <w:b w:val="0"/>
                <w:caps w:val="0"/>
                <w:sz w:val="22"/>
              </w:rPr>
              <w:t>Replace Nested Conditional with Guard Clauses</w:t>
            </w:r>
          </w:p>
        </w:tc>
        <w:tc>
          <w:tcPr>
            <w:tcW w:type="dxa" w:w="1263"/>
          </w:tcPr>
          <w:p>
            <w:pPr>
              <w:spacing w:line="240" w:lineRule="auto"/>
              <w:jc w:val="left"/>
            </w:pPr>
            <w:r>
              <w:rPr>
                <w:rFonts w:ascii="Times New Roman" w:hAnsi="Times New Roman" w:eastAsia="Times New Roman"/>
                <w:b w:val="0"/>
                <w:caps w:val="0"/>
                <w:sz w:val="22"/>
              </w:rPr>
              <w:t>20</w:t>
            </w:r>
          </w:p>
        </w:tc>
        <w:tc>
          <w:tcPr>
            <w:tcW w:type="dxa" w:w="1263"/>
          </w:tcPr>
          <w:p>
            <w:pPr>
              <w:spacing w:line="240" w:lineRule="auto"/>
              <w:jc w:val="left"/>
            </w:pPr>
            <w:r>
              <w:rPr>
                <w:rFonts w:ascii="Times New Roman" w:hAnsi="Times New Roman" w:eastAsia="Times New Roman"/>
                <w:b w:val="0"/>
                <w:caps w:val="0"/>
                <w:sz w:val="22"/>
              </w:rPr>
              <w:t>3</w:t>
            </w:r>
          </w:p>
        </w:tc>
        <w:tc>
          <w:tcPr>
            <w:tcW w:type="dxa" w:w="1263"/>
          </w:tcPr>
          <w:p>
            <w:pPr>
              <w:spacing w:line="240" w:lineRule="auto"/>
              <w:jc w:val="left"/>
            </w:pPr>
            <w:r>
              <w:rPr>
                <w:rFonts w:ascii="Times New Roman" w:hAnsi="Times New Roman" w:eastAsia="Times New Roman"/>
                <w:b w:val="0"/>
                <w:caps w:val="0"/>
                <w:sz w:val="22"/>
              </w:rPr>
              <w:t>17</w:t>
            </w:r>
          </w:p>
        </w:tc>
        <w:tc>
          <w:tcPr>
            <w:tcW w:type="dxa" w:w="1263"/>
          </w:tcPr>
          <w:p>
            <w:pPr>
              <w:spacing w:line="240" w:lineRule="auto"/>
              <w:jc w:val="left"/>
            </w:pPr>
            <w:r>
              <w:rPr>
                <w:rFonts w:ascii="Times New Roman" w:hAnsi="Times New Roman" w:eastAsia="Times New Roman"/>
                <w:b w:val="0"/>
                <w:caps w:val="0"/>
                <w:sz w:val="22"/>
              </w:rPr>
              <w:t>0</w:t>
            </w:r>
          </w:p>
        </w:tc>
        <w:tc>
          <w:tcPr>
            <w:tcW w:type="dxa" w:w="1263"/>
          </w:tcPr>
          <w:p>
            <w:pPr>
              <w:spacing w:line="240" w:lineRule="auto"/>
              <w:jc w:val="left"/>
            </w:pPr>
            <w:r>
              <w:rPr>
                <w:rFonts w:ascii="Times New Roman" w:hAnsi="Times New Roman" w:eastAsia="Times New Roman"/>
                <w:b w:val="0"/>
                <w:caps w:val="0"/>
                <w:sz w:val="22"/>
              </w:rPr>
              <w:t>100%</w:t>
            </w:r>
          </w:p>
        </w:tc>
        <w:tc>
          <w:tcPr>
            <w:tcW w:type="dxa" w:w="1263"/>
          </w:tcPr>
          <w:p>
            <w:pPr>
              <w:spacing w:line="240" w:lineRule="auto"/>
              <w:jc w:val="left"/>
            </w:pPr>
            <w:r>
              <w:rPr>
                <w:rFonts w:ascii="Times New Roman" w:hAnsi="Times New Roman" w:eastAsia="Times New Roman"/>
                <w:b w:val="0"/>
                <w:caps w:val="0"/>
                <w:sz w:val="22"/>
              </w:rPr>
              <w:t>[0.84, 1.00]</w:t>
            </w:r>
          </w:p>
        </w:tc>
      </w:tr>
    </w:tbl>
    <w:p>
      <w:pPr>
        <w:spacing w:line="240" w:lineRule="auto" w:after="0"/>
      </w:pPr>
    </w:p>
    <w:p>
      <w:pPr>
        <w:keepNext/>
        <w:jc w:val="center"/>
      </w:pPr>
      <w:r>
        <w:drawing>
          <wp:inline xmlns:a="http://schemas.openxmlformats.org/drawingml/2006/main" xmlns:pic="http://schemas.openxmlformats.org/drawingml/2006/picture">
            <wp:extent cx="5120640" cy="2258432"/>
            <wp:docPr id="13" name="Picture 13"/>
            <wp:cNvGraphicFramePr>
              <a:graphicFrameLocks noChangeAspect="1"/>
            </wp:cNvGraphicFramePr>
            <a:graphic>
              <a:graphicData uri="http://schemas.openxmlformats.org/drawingml/2006/picture">
                <pic:pic>
                  <pic:nvPicPr>
                    <pic:cNvPr id="0" name="pranueshmeria_e_rishkrimeve.png"/>
                    <pic:cNvPicPr/>
                  </pic:nvPicPr>
                  <pic:blipFill>
                    <a:blip r:embed="rId23"/>
                    <a:stretch>
                      <a:fillRect/>
                    </a:stretch>
                  </pic:blipFill>
                  <pic:spPr>
                    <a:xfrm>
                      <a:off x="0" y="0"/>
                      <a:ext cx="5120640" cy="225843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Pranueshmëria e rishkrimeve sipas transformimit</w:t>
      </w:r>
    </w:p>
    <w:p>
      <w:pPr>
        <w:spacing w:line="360" w:lineRule="auto"/>
        <w:ind w:firstLine="360"/>
        <w:jc w:val="both"/>
      </w:pPr>
      <w:r>
        <w:rPr>
          <w:rFonts w:ascii="Times New Roman" w:hAnsi="Times New Roman" w:eastAsia="Times New Roman"/>
          <w:b w:val="0"/>
          <w:caps w:val="0"/>
          <w:sz w:val="24"/>
        </w:rPr>
        <w:t>Të pranueshme dolën te Replace Nested Conditional with Guard Clauses 20 nga 20 (3 ashtu si janë dhe 17 pas një ndreqjeje); te Extract Method 13 nga 20 (13 pas një ndreqjeje); te Introduce Parameter Object asnjë. Përfitim strukturor u gjykua te 14 nga 20 te Extract Method, 0 nga 20 te Introduce Parameter Object dhe 20 nga 20 te Replace Nested Conditional with Guard Clauses. Gjithsej 26 nga 60 rishkrimet u gjykuan pa përfitim strukturor. E ripeshuar me madhësitë reale të shtresave, norma e pranueshmërisë mbi tërë vendet e rishkruara është 62.9%.</w:t>
      </w:r>
    </w:p>
    <w:p>
      <w:pPr>
        <w:spacing w:line="360" w:lineRule="auto"/>
        <w:ind w:firstLine="360"/>
        <w:jc w:val="both"/>
      </w:pPr>
      <w:r>
        <w:rPr>
          <w:rFonts w:ascii="Times New Roman" w:hAnsi="Times New Roman" w:eastAsia="Times New Roman"/>
          <w:b w:val="0"/>
          <w:caps w:val="0"/>
          <w:sz w:val="24"/>
        </w:rPr>
        <w:t>Një rishkrim u gjykua se e ndryshon sjelljen, gjë që është dështim i parakushteve dhe raportohet si i tillë. Të gjitha rishkrimet e mostrës, përfshirë këtë, e kishin kaluar kontrollin e kompilatorit. Prej tyre, rishikuesi refuzoi 27 rishkrime.</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17):</w:t>
      </w:r>
    </w:p>
    <w:p>
      <w:pPr>
        <w:keepNext/>
        <w:spacing w:line="240" w:lineRule="auto"/>
        <w:jc w:val="center"/>
      </w:pPr>
      <w:r>
        <w:rPr>
          <w:rFonts w:ascii="Times New Roman" w:hAnsi="Times New Roman" w:eastAsia="Times New Roman"/>
          <w:b w:val="0"/>
          <w:caps w:val="0"/>
          <w:sz w:val="22"/>
        </w:rPr>
        <w:t>Tabela 17.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 E bashkuar mbi erërat, niveli kritik del me 25.3% kundrejt 21.7% të niveleve të tjera, renditje e kundërt me atë të erërave veç e veç (paradoksi i Simpson-it): Brain Method ka normë 30.4% dhe 45.0% vende kritike, ndërsa Deep Nesting ka 2.1% dhe 2.5%. Prandaj tabela nuk bashkohet. Brenda çdo niveli ashpërsie, arsyet e refuzimit kanë këtë përbërje (Tabela 18; Figura 12):</w:t>
      </w:r>
    </w:p>
    <w:p>
      <w:pPr>
        <w:keepNext/>
        <w:spacing w:line="240" w:lineRule="auto"/>
        <w:jc w:val="center"/>
      </w:pPr>
      <w:r>
        <w:rPr>
          <w:rFonts w:ascii="Times New Roman" w:hAnsi="Times New Roman" w:eastAsia="Times New Roman"/>
          <w:b w:val="0"/>
          <w:caps w:val="0"/>
          <w:sz w:val="22"/>
        </w:rPr>
        <w:t>Tabela 18.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6886"/>
            <wp:docPr id="14" name="Picture 14"/>
            <wp:cNvGraphicFramePr>
              <a:graphicFrameLocks noChangeAspect="1"/>
            </wp:cNvGraphicFramePr>
            <a:graphic>
              <a:graphicData uri="http://schemas.openxmlformats.org/drawingml/2006/picture">
                <pic:pic>
                  <pic:nvPicPr>
                    <pic:cNvPr id="0" name="refuzimet_sipas_ashpersise.png"/>
                    <pic:cNvPicPr/>
                  </pic:nvPicPr>
                  <pic:blipFill>
                    <a:blip r:embed="rId24"/>
                    <a:stretch>
                      <a:fillRect/>
                    </a:stretch>
                  </pic:blipFill>
                  <pic:spPr>
                    <a:xfrm>
                      <a:off x="0" y="0"/>
                      <a:ext cx="5120640" cy="270688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12.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Të njëjtat hapa, të ndarë sipas transformimit, japin këto vlera. Përqindja e të transformuarave llogaritet mbi vendet, dy kolonat pasuese mbi të transformuarat, dhe kolona e fundit vjen nga mostra e lexuar më sipër (Tabela 19):</w:t>
      </w:r>
    </w:p>
    <w:p>
      <w:pPr>
        <w:keepNext/>
        <w:spacing w:line="240" w:lineRule="auto"/>
        <w:jc w:val="center"/>
      </w:pPr>
      <w:r>
        <w:rPr>
          <w:rFonts w:ascii="Times New Roman" w:hAnsi="Times New Roman" w:eastAsia="Times New Roman"/>
          <w:b w:val="0"/>
          <w:caps w:val="0"/>
          <w:sz w:val="22"/>
        </w:rPr>
        <w:t>Tabela 19. Rezultati i refaktorimit sipas transformimit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Transformimi</w:t>
            </w:r>
          </w:p>
        </w:tc>
        <w:tc>
          <w:tcPr>
            <w:tcW w:type="dxa" w:w="1473"/>
          </w:tcPr>
          <w:p>
            <w:pPr>
              <w:spacing w:line="240" w:lineRule="auto"/>
              <w:jc w:val="left"/>
            </w:pPr>
            <w:r>
              <w:rPr>
                <w:rFonts w:ascii="Times New Roman" w:hAnsi="Times New Roman" w:eastAsia="Times New Roman"/>
                <w:b/>
                <w:caps w:val="0"/>
                <w:sz w:val="22"/>
              </w:rPr>
              <w:t>Vende</w:t>
            </w:r>
          </w:p>
        </w:tc>
        <w:tc>
          <w:tcPr>
            <w:tcW w:type="dxa" w:w="1473"/>
          </w:tcPr>
          <w:p>
            <w:pPr>
              <w:spacing w:line="240" w:lineRule="auto"/>
              <w:jc w:val="left"/>
            </w:pPr>
            <w:r>
              <w:rPr>
                <w:rFonts w:ascii="Times New Roman" w:hAnsi="Times New Roman" w:eastAsia="Times New Roman"/>
                <w:b/>
                <w:caps w:val="0"/>
                <w:sz w:val="22"/>
              </w:rPr>
              <w:t>Të transformuara</w:t>
            </w:r>
          </w:p>
        </w:tc>
        <w:tc>
          <w:tcPr>
            <w:tcW w:type="dxa" w:w="1473"/>
          </w:tcPr>
          <w:p>
            <w:pPr>
              <w:spacing w:line="240" w:lineRule="auto"/>
              <w:jc w:val="left"/>
            </w:pPr>
            <w:r>
              <w:rPr>
                <w:rFonts w:ascii="Times New Roman" w:hAnsi="Times New Roman" w:eastAsia="Times New Roman"/>
                <w:b/>
                <w:caps w:val="0"/>
                <w:sz w:val="22"/>
              </w:rPr>
              <w:t>Pa gabim të ri</w:t>
            </w:r>
          </w:p>
        </w:tc>
        <w:tc>
          <w:tcPr>
            <w:tcW w:type="dxa" w:w="1473"/>
          </w:tcPr>
          <w:p>
            <w:pPr>
              <w:spacing w:line="240" w:lineRule="auto"/>
              <w:jc w:val="left"/>
            </w:pPr>
            <w:r>
              <w:rPr>
                <w:rFonts w:ascii="Times New Roman" w:hAnsi="Times New Roman" w:eastAsia="Times New Roman"/>
                <w:b/>
                <w:caps w:val="0"/>
                <w:sz w:val="22"/>
              </w:rPr>
              <w:t>Era u hoq</w:t>
            </w:r>
          </w:p>
        </w:tc>
        <w:tc>
          <w:tcPr>
            <w:tcW w:type="dxa" w:w="1473"/>
          </w:tcPr>
          <w:p>
            <w:pPr>
              <w:spacing w:line="240" w:lineRule="auto"/>
              <w:jc w:val="left"/>
            </w:pPr>
            <w:r>
              <w:rPr>
                <w:rFonts w:ascii="Times New Roman" w:hAnsi="Times New Roman" w:eastAsia="Times New Roman"/>
                <w:b/>
                <w:caps w:val="0"/>
                <w:sz w:val="22"/>
              </w:rPr>
              <w:t>Të pranueshme (mostra)</w:t>
            </w:r>
          </w:p>
        </w:tc>
      </w:tr>
      <w:tr>
        <w:tc>
          <w:tcPr>
            <w:tcW w:type="dxa" w:w="1473"/>
          </w:tcPr>
          <w:p>
            <w:pPr>
              <w:spacing w:line="240" w:lineRule="auto"/>
              <w:jc w:val="left"/>
            </w:pPr>
            <w:r>
              <w:rPr>
                <w:rFonts w:ascii="Times New Roman" w:hAnsi="Times New Roman" w:eastAsia="Times New Roman"/>
                <w:b w:val="0"/>
                <w:caps w:val="0"/>
                <w:sz w:val="22"/>
              </w:rPr>
              <w:t>Extract Method</w:t>
            </w:r>
          </w:p>
        </w:tc>
        <w:tc>
          <w:tcPr>
            <w:tcW w:type="dxa" w:w="1473"/>
          </w:tcPr>
          <w:p>
            <w:pPr>
              <w:spacing w:line="240" w:lineRule="auto"/>
              <w:jc w:val="left"/>
            </w:pPr>
            <w:r>
              <w:rPr>
                <w:rFonts w:ascii="Times New Roman" w:hAnsi="Times New Roman" w:eastAsia="Times New Roman"/>
                <w:b w:val="0"/>
                <w:caps w:val="0"/>
                <w:sz w:val="22"/>
              </w:rPr>
              <w:t>10 115</w:t>
            </w:r>
          </w:p>
        </w:tc>
        <w:tc>
          <w:tcPr>
            <w:tcW w:type="dxa" w:w="1473"/>
          </w:tcPr>
          <w:p>
            <w:pPr>
              <w:spacing w:line="240" w:lineRule="auto"/>
              <w:jc w:val="left"/>
            </w:pPr>
            <w:r>
              <w:rPr>
                <w:rFonts w:ascii="Times New Roman" w:hAnsi="Times New Roman" w:eastAsia="Times New Roman"/>
                <w:b w:val="0"/>
                <w:caps w:val="0"/>
                <w:sz w:val="22"/>
              </w:rPr>
              <w:t>3298 (32.6%)</w:t>
            </w:r>
          </w:p>
        </w:tc>
        <w:tc>
          <w:tcPr>
            <w:tcW w:type="dxa" w:w="1473"/>
          </w:tcPr>
          <w:p>
            <w:pPr>
              <w:spacing w:line="240" w:lineRule="auto"/>
              <w:jc w:val="left"/>
            </w:pPr>
            <w:r>
              <w:rPr>
                <w:rFonts w:ascii="Times New Roman" w:hAnsi="Times New Roman" w:eastAsia="Times New Roman"/>
                <w:b w:val="0"/>
                <w:caps w:val="0"/>
                <w:sz w:val="22"/>
              </w:rPr>
              <w:t>3239 (98.2%)</w:t>
            </w:r>
          </w:p>
        </w:tc>
        <w:tc>
          <w:tcPr>
            <w:tcW w:type="dxa" w:w="1473"/>
          </w:tcPr>
          <w:p>
            <w:pPr>
              <w:spacing w:line="240" w:lineRule="auto"/>
              <w:jc w:val="left"/>
            </w:pPr>
            <w:r>
              <w:rPr>
                <w:rFonts w:ascii="Times New Roman" w:hAnsi="Times New Roman" w:eastAsia="Times New Roman"/>
                <w:b w:val="0"/>
                <w:caps w:val="0"/>
                <w:sz w:val="22"/>
              </w:rPr>
              <w:t>2087 (63.3%)</w:t>
            </w:r>
          </w:p>
        </w:tc>
        <w:tc>
          <w:tcPr>
            <w:tcW w:type="dxa" w:w="1473"/>
          </w:tcPr>
          <w:p>
            <w:pPr>
              <w:spacing w:line="240" w:lineRule="auto"/>
              <w:jc w:val="left"/>
            </w:pPr>
            <w:r>
              <w:rPr>
                <w:rFonts w:ascii="Times New Roman" w:hAnsi="Times New Roman" w:eastAsia="Times New Roman"/>
                <w:b w:val="0"/>
                <w:caps w:val="0"/>
                <w:sz w:val="22"/>
              </w:rPr>
              <w:t>65%</w:t>
            </w:r>
          </w:p>
        </w:tc>
      </w:tr>
      <w:tr>
        <w:tc>
          <w:tcPr>
            <w:tcW w:type="dxa" w:w="1473"/>
          </w:tcPr>
          <w:p>
            <w:pPr>
              <w:spacing w:line="240" w:lineRule="auto"/>
              <w:jc w:val="left"/>
            </w:pPr>
            <w:r>
              <w:rPr>
                <w:rFonts w:ascii="Times New Roman" w:hAnsi="Times New Roman" w:eastAsia="Times New Roman"/>
                <w:b w:val="0"/>
                <w:caps w:val="0"/>
                <w:sz w:val="22"/>
              </w:rPr>
              <w:t>Introduce Parameter Object</w:t>
            </w:r>
          </w:p>
        </w:tc>
        <w:tc>
          <w:tcPr>
            <w:tcW w:type="dxa" w:w="1473"/>
          </w:tcPr>
          <w:p>
            <w:pPr>
              <w:spacing w:line="240" w:lineRule="auto"/>
              <w:jc w:val="left"/>
            </w:pPr>
            <w:r>
              <w:rPr>
                <w:rFonts w:ascii="Times New Roman" w:hAnsi="Times New Roman" w:eastAsia="Times New Roman"/>
                <w:b w:val="0"/>
                <w:caps w:val="0"/>
                <w:sz w:val="22"/>
              </w:rPr>
              <w:t>1842</w:t>
            </w:r>
          </w:p>
        </w:tc>
        <w:tc>
          <w:tcPr>
            <w:tcW w:type="dxa" w:w="1473"/>
          </w:tcPr>
          <w:p>
            <w:pPr>
              <w:spacing w:line="240" w:lineRule="auto"/>
              <w:jc w:val="left"/>
            </w:pPr>
            <w:r>
              <w:rPr>
                <w:rFonts w:ascii="Times New Roman" w:hAnsi="Times New Roman" w:eastAsia="Times New Roman"/>
                <w:b w:val="0"/>
                <w:caps w:val="0"/>
                <w:sz w:val="22"/>
              </w:rPr>
              <w:t>155 (8.4%)</w:t>
            </w:r>
          </w:p>
        </w:tc>
        <w:tc>
          <w:tcPr>
            <w:tcW w:type="dxa" w:w="1473"/>
          </w:tcPr>
          <w:p>
            <w:pPr>
              <w:spacing w:line="240" w:lineRule="auto"/>
              <w:jc w:val="left"/>
            </w:pPr>
            <w:r>
              <w:rPr>
                <w:rFonts w:ascii="Times New Roman" w:hAnsi="Times New Roman" w:eastAsia="Times New Roman"/>
                <w:b w:val="0"/>
                <w:caps w:val="0"/>
                <w:sz w:val="22"/>
              </w:rPr>
              <w:t>153 (98.7%)</w:t>
            </w:r>
          </w:p>
        </w:tc>
        <w:tc>
          <w:tcPr>
            <w:tcW w:type="dxa" w:w="1473"/>
          </w:tcPr>
          <w:p>
            <w:pPr>
              <w:spacing w:line="240" w:lineRule="auto"/>
              <w:jc w:val="left"/>
            </w:pPr>
            <w:r>
              <w:rPr>
                <w:rFonts w:ascii="Times New Roman" w:hAnsi="Times New Roman" w:eastAsia="Times New Roman"/>
                <w:b w:val="0"/>
                <w:caps w:val="0"/>
                <w:sz w:val="22"/>
              </w:rPr>
              <w:t>155 (100.0%)</w:t>
            </w:r>
          </w:p>
        </w:tc>
        <w:tc>
          <w:tcPr>
            <w:tcW w:type="dxa" w:w="1473"/>
          </w:tcPr>
          <w:p>
            <w:pPr>
              <w:spacing w:line="240" w:lineRule="auto"/>
              <w:jc w:val="left"/>
            </w:pPr>
            <w:r>
              <w:rPr>
                <w:rFonts w:ascii="Times New Roman" w:hAnsi="Times New Roman" w:eastAsia="Times New Roman"/>
                <w:b w:val="0"/>
                <w:caps w:val="0"/>
                <w:sz w:val="22"/>
              </w:rPr>
              <w:t>0%</w:t>
            </w:r>
          </w:p>
        </w:tc>
      </w:tr>
      <w:tr>
        <w:tc>
          <w:tcPr>
            <w:tcW w:type="dxa" w:w="1473"/>
          </w:tcPr>
          <w:p>
            <w:pPr>
              <w:spacing w:line="240" w:lineRule="auto"/>
              <w:jc w:val="left"/>
            </w:pPr>
            <w:r>
              <w:rPr>
                <w:rFonts w:ascii="Times New Roman" w:hAnsi="Times New Roman" w:eastAsia="Times New Roman"/>
                <w:b w:val="0"/>
                <w:caps w:val="0"/>
                <w:sz w:val="22"/>
              </w:rPr>
              <w:t>Replace Nested Conditional with Guard Clauses</w:t>
            </w:r>
          </w:p>
        </w:tc>
        <w:tc>
          <w:tcPr>
            <w:tcW w:type="dxa" w:w="1473"/>
          </w:tcPr>
          <w:p>
            <w:pPr>
              <w:spacing w:line="240" w:lineRule="auto"/>
              <w:jc w:val="left"/>
            </w:pPr>
            <w:r>
              <w:rPr>
                <w:rFonts w:ascii="Times New Roman" w:hAnsi="Times New Roman" w:eastAsia="Times New Roman"/>
                <w:b w:val="0"/>
                <w:caps w:val="0"/>
                <w:sz w:val="22"/>
              </w:rPr>
              <w:t>3827</w:t>
            </w:r>
          </w:p>
        </w:tc>
        <w:tc>
          <w:tcPr>
            <w:tcW w:type="dxa" w:w="1473"/>
          </w:tcPr>
          <w:p>
            <w:pPr>
              <w:spacing w:line="240" w:lineRule="auto"/>
              <w:jc w:val="left"/>
            </w:pPr>
            <w:r>
              <w:rPr>
                <w:rFonts w:ascii="Times New Roman" w:hAnsi="Times New Roman" w:eastAsia="Times New Roman"/>
                <w:b w:val="0"/>
                <w:caps w:val="0"/>
                <w:sz w:val="22"/>
              </w:rPr>
              <w:t>79 (2.1%)</w:t>
            </w:r>
          </w:p>
        </w:tc>
        <w:tc>
          <w:tcPr>
            <w:tcW w:type="dxa" w:w="1473"/>
          </w:tcPr>
          <w:p>
            <w:pPr>
              <w:spacing w:line="240" w:lineRule="auto"/>
              <w:jc w:val="left"/>
            </w:pPr>
            <w:r>
              <w:rPr>
                <w:rFonts w:ascii="Times New Roman" w:hAnsi="Times New Roman" w:eastAsia="Times New Roman"/>
                <w:b w:val="0"/>
                <w:caps w:val="0"/>
                <w:sz w:val="22"/>
              </w:rPr>
              <w:t>79 (100.0%)</w:t>
            </w:r>
          </w:p>
        </w:tc>
        <w:tc>
          <w:tcPr>
            <w:tcW w:type="dxa" w:w="1473"/>
          </w:tcPr>
          <w:p>
            <w:pPr>
              <w:spacing w:line="240" w:lineRule="auto"/>
              <w:jc w:val="left"/>
            </w:pPr>
            <w:r>
              <w:rPr>
                <w:rFonts w:ascii="Times New Roman" w:hAnsi="Times New Roman" w:eastAsia="Times New Roman"/>
                <w:b w:val="0"/>
                <w:caps w:val="0"/>
                <w:sz w:val="22"/>
              </w:rPr>
              <w:t>45 (57.0%)</w:t>
            </w:r>
          </w:p>
        </w:tc>
        <w:tc>
          <w:tcPr>
            <w:tcW w:type="dxa" w:w="1473"/>
          </w:tcPr>
          <w:p>
            <w:pPr>
              <w:spacing w:line="240" w:lineRule="auto"/>
              <w:jc w:val="left"/>
            </w:pPr>
            <w:r>
              <w:rPr>
                <w:rFonts w:ascii="Times New Roman" w:hAnsi="Times New Roman" w:eastAsia="Times New Roman"/>
                <w:b w:val="0"/>
                <w:caps w:val="0"/>
                <w:sz w:val="22"/>
              </w:rPr>
              <w:t>100%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 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Me këtë nënkapitull nisin vëzhgimet dytësore. Ai nuk i përgjigjet drejtpërdrejt një pyetjeje, por tregon sa varen shifrat e Nënkapitullit 5.1 nga pragjet e zgjedhura. Secili prag i strategjive u zhvendos veç me faktorët e Nënkapitullit 4.9, ndërsa të tjerët mbetën te vlerat e botuara. Rreshtat renditen sipas amplitudës, pra dallimit mes MCC-së më të lartë dhe më të ulët që jep pragu (Tabela 20; Figura 13):</w:t>
      </w:r>
    </w:p>
    <w:p>
      <w:pPr>
        <w:keepNext/>
        <w:spacing w:line="240" w:lineRule="auto"/>
        <w:jc w:val="center"/>
      </w:pPr>
      <w:r>
        <w:rPr>
          <w:rFonts w:ascii="Times New Roman" w:hAnsi="Times New Roman" w:eastAsia="Times New Roman"/>
          <w:b w:val="0"/>
          <w:caps w:val="0"/>
          <w:sz w:val="22"/>
        </w:rPr>
        <w:t>Tabela 20.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0.617</w:t>
            </w:r>
          </w:p>
        </w:tc>
        <w:tc>
          <w:tcPr>
            <w:tcW w:type="dxa" w:w="1768"/>
          </w:tcPr>
          <w:p>
            <w:pPr>
              <w:spacing w:line="240" w:lineRule="auto"/>
              <w:jc w:val="left"/>
            </w:pPr>
            <w:r>
              <w:rPr>
                <w:rFonts w:ascii="Times New Roman" w:hAnsi="Times New Roman" w:eastAsia="Times New Roman"/>
                <w:b w:val="0"/>
                <w:caps w:val="0"/>
                <w:sz w:val="22"/>
              </w:rPr>
              <w:t>0.341 – 0.724</w:t>
            </w:r>
          </w:p>
        </w:tc>
        <w:tc>
          <w:tcPr>
            <w:tcW w:type="dxa" w:w="1768"/>
          </w:tcPr>
          <w:p>
            <w:pPr>
              <w:spacing w:line="240" w:lineRule="auto"/>
              <w:jc w:val="left"/>
            </w:pPr>
            <w:r>
              <w:rPr>
                <w:rFonts w:ascii="Times New Roman" w:hAnsi="Times New Roman" w:eastAsia="Times New Roman"/>
                <w:b w:val="0"/>
                <w:caps w:val="0"/>
                <w:sz w:val="22"/>
              </w:rPr>
              <w:t>0.383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0.264 – 0.405</w:t>
            </w:r>
          </w:p>
        </w:tc>
        <w:tc>
          <w:tcPr>
            <w:tcW w:type="dxa" w:w="1768"/>
          </w:tcPr>
          <w:p>
            <w:pPr>
              <w:spacing w:line="240" w:lineRule="auto"/>
              <w:jc w:val="left"/>
            </w:pPr>
            <w:r>
              <w:rPr>
                <w:rFonts w:ascii="Times New Roman" w:hAnsi="Times New Roman" w:eastAsia="Times New Roman"/>
                <w:b w:val="0"/>
                <w:caps w:val="0"/>
                <w:sz w:val="22"/>
              </w:rPr>
              <w:t>0.140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0.256 – 0.357</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0.161 – 0.252</w:t>
            </w:r>
          </w:p>
        </w:tc>
        <w:tc>
          <w:tcPr>
            <w:tcW w:type="dxa" w:w="1768"/>
          </w:tcPr>
          <w:p>
            <w:pPr>
              <w:spacing w:line="240" w:lineRule="auto"/>
              <w:jc w:val="left"/>
            </w:pPr>
            <w:r>
              <w:rPr>
                <w:rFonts w:ascii="Times New Roman" w:hAnsi="Times New Roman" w:eastAsia="Times New Roman"/>
                <w:b w:val="0"/>
                <w:caps w:val="0"/>
                <w:sz w:val="22"/>
              </w:rPr>
              <w:t>0.091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0.269 – 0.353</w:t>
            </w:r>
          </w:p>
        </w:tc>
        <w:tc>
          <w:tcPr>
            <w:tcW w:type="dxa" w:w="1768"/>
          </w:tcPr>
          <w:p>
            <w:pPr>
              <w:spacing w:line="240" w:lineRule="auto"/>
              <w:jc w:val="left"/>
            </w:pPr>
            <w:r>
              <w:rPr>
                <w:rFonts w:ascii="Times New Roman" w:hAnsi="Times New Roman" w:eastAsia="Times New Roman"/>
                <w:b w:val="0"/>
                <w:caps w:val="0"/>
                <w:sz w:val="22"/>
              </w:rPr>
              <w:t>0.084</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0.181 – 0.244</w:t>
            </w:r>
          </w:p>
        </w:tc>
        <w:tc>
          <w:tcPr>
            <w:tcW w:type="dxa" w:w="1768"/>
          </w:tcPr>
          <w:p>
            <w:pPr>
              <w:spacing w:line="240" w:lineRule="auto"/>
              <w:jc w:val="left"/>
            </w:pPr>
            <w:r>
              <w:rPr>
                <w:rFonts w:ascii="Times New Roman" w:hAnsi="Times New Roman" w:eastAsia="Times New Roman"/>
                <w:b w:val="0"/>
                <w:caps w:val="0"/>
                <w:sz w:val="22"/>
              </w:rPr>
              <w:t>0.063</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0.328 – 0.367</w:t>
            </w:r>
          </w:p>
        </w:tc>
        <w:tc>
          <w:tcPr>
            <w:tcW w:type="dxa" w:w="1768"/>
          </w:tcPr>
          <w:p>
            <w:pPr>
              <w:spacing w:line="240" w:lineRule="auto"/>
              <w:jc w:val="left"/>
            </w:pPr>
            <w:r>
              <w:rPr>
                <w:rFonts w:ascii="Times New Roman" w:hAnsi="Times New Roman" w:eastAsia="Times New Roman"/>
                <w:b w:val="0"/>
                <w:caps w:val="0"/>
                <w:sz w:val="22"/>
              </w:rPr>
              <w:t>0.039</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0.243</w:t>
            </w:r>
          </w:p>
        </w:tc>
        <w:tc>
          <w:tcPr>
            <w:tcW w:type="dxa" w:w="1768"/>
          </w:tcPr>
          <w:p>
            <w:pPr>
              <w:spacing w:line="240" w:lineRule="auto"/>
              <w:jc w:val="left"/>
            </w:pPr>
            <w:r>
              <w:rPr>
                <w:rFonts w:ascii="Times New Roman" w:hAnsi="Times New Roman" w:eastAsia="Times New Roman"/>
                <w:b w:val="0"/>
                <w:caps w:val="0"/>
                <w:sz w:val="22"/>
              </w:rPr>
              <w:t>0.232 – 0.265</w:t>
            </w:r>
          </w:p>
        </w:tc>
        <w:tc>
          <w:tcPr>
            <w:tcW w:type="dxa" w:w="1768"/>
          </w:tcPr>
          <w:p>
            <w:pPr>
              <w:spacing w:line="240" w:lineRule="auto"/>
              <w:jc w:val="left"/>
            </w:pPr>
            <w:r>
              <w:rPr>
                <w:rFonts w:ascii="Times New Roman" w:hAnsi="Times New Roman" w:eastAsia="Times New Roman"/>
                <w:b w:val="0"/>
                <w:caps w:val="0"/>
                <w:sz w:val="22"/>
              </w:rPr>
              <w:t>0.033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0.336</w:t>
            </w:r>
          </w:p>
        </w:tc>
        <w:tc>
          <w:tcPr>
            <w:tcW w:type="dxa" w:w="1768"/>
          </w:tcPr>
          <w:p>
            <w:pPr>
              <w:spacing w:line="240" w:lineRule="auto"/>
              <w:jc w:val="left"/>
            </w:pPr>
            <w:r>
              <w:rPr>
                <w:rFonts w:ascii="Times New Roman" w:hAnsi="Times New Roman" w:eastAsia="Times New Roman"/>
                <w:b w:val="0"/>
                <w:caps w:val="0"/>
                <w:sz w:val="22"/>
              </w:rPr>
              <w:t>0.320 – 0.342</w:t>
            </w:r>
          </w:p>
        </w:tc>
        <w:tc>
          <w:tcPr>
            <w:tcW w:type="dxa" w:w="1768"/>
          </w:tcPr>
          <w:p>
            <w:pPr>
              <w:spacing w:line="240" w:lineRule="auto"/>
              <w:jc w:val="left"/>
            </w:pPr>
            <w:r>
              <w:rPr>
                <w:rFonts w:ascii="Times New Roman" w:hAnsi="Times New Roman" w:eastAsia="Times New Roman"/>
                <w:b w:val="0"/>
                <w:caps w:val="0"/>
                <w:sz w:val="22"/>
              </w:rPr>
              <w:t>0.022</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0.367</w:t>
            </w:r>
          </w:p>
        </w:tc>
        <w:tc>
          <w:tcPr>
            <w:tcW w:type="dxa" w:w="1768"/>
          </w:tcPr>
          <w:p>
            <w:pPr>
              <w:spacing w:line="240" w:lineRule="auto"/>
              <w:jc w:val="left"/>
            </w:pPr>
            <w:r>
              <w:rPr>
                <w:rFonts w:ascii="Times New Roman" w:hAnsi="Times New Roman" w:eastAsia="Times New Roman"/>
                <w:b w:val="0"/>
                <w:caps w:val="0"/>
                <w:sz w:val="22"/>
              </w:rPr>
              <w:t>0.363 – 0.369</w:t>
            </w:r>
          </w:p>
        </w:tc>
        <w:tc>
          <w:tcPr>
            <w:tcW w:type="dxa" w:w="1768"/>
          </w:tcPr>
          <w:p>
            <w:pPr>
              <w:spacing w:line="240" w:lineRule="auto"/>
              <w:jc w:val="left"/>
            </w:pPr>
            <w:r>
              <w:rPr>
                <w:rFonts w:ascii="Times New Roman" w:hAnsi="Times New Roman" w:eastAsia="Times New Roman"/>
                <w:b w:val="0"/>
                <w:caps w:val="0"/>
                <w:sz w:val="22"/>
              </w:rPr>
              <w:t>0.006</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5" name="Picture 15"/>
            <wp:cNvGraphicFramePr>
              <a:graphicFrameLocks noChangeAspect="1"/>
            </wp:cNvGraphicFramePr>
            <a:graphic>
              <a:graphicData uri="http://schemas.openxmlformats.org/drawingml/2006/picture">
                <pic:pic>
                  <pic:nvPicPr>
                    <pic:cNvPr id="0" name="ndjeshmeria_e_pragjeve.png"/>
                    <pic:cNvPicPr/>
                  </pic:nvPicPr>
                  <pic:blipFill>
                    <a:blip r:embed="rId25"/>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13.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te Data Class, Blob dhe Feature Envy asnjë prag nuk e lëviz MCC-në më shumë se 0.140. Vlera me MCC-në më të lartë është long_method_loc = 15 në vend të 30 te Long Method (MCC 0.724; recall 0.470 → 0.926, precizion 0.888 → 0.625) dhe feature_envy_fdp = 10 në vend të 5 te Feature Envy (MCC 0.252; recall 0.188 → 0.224, precizion 0.413 → 0.381).</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21):</w:t>
      </w:r>
    </w:p>
    <w:p>
      <w:pPr>
        <w:keepNext/>
        <w:spacing w:line="240" w:lineRule="auto"/>
        <w:jc w:val="center"/>
      </w:pPr>
      <w:r>
        <w:rPr>
          <w:rFonts w:ascii="Times New Roman" w:hAnsi="Times New Roman" w:eastAsia="Times New Roman"/>
          <w:b w:val="0"/>
          <w:caps w:val="0"/>
          <w:sz w:val="22"/>
        </w:rPr>
        <w:t>Tabela 21.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0.336</w:t>
            </w:r>
          </w:p>
        </w:tc>
        <w:tc>
          <w:tcPr>
            <w:tcW w:type="dxa" w:w="1473"/>
          </w:tcPr>
          <w:p>
            <w:pPr>
              <w:spacing w:line="240" w:lineRule="auto"/>
              <w:jc w:val="left"/>
            </w:pPr>
            <w:r>
              <w:rPr>
                <w:rFonts w:ascii="Times New Roman" w:hAnsi="Times New Roman" w:eastAsia="Times New Roman"/>
                <w:b w:val="0"/>
                <w:caps w:val="0"/>
                <w:sz w:val="22"/>
              </w:rPr>
              <w:t>0.337</w:t>
            </w:r>
          </w:p>
        </w:tc>
        <w:tc>
          <w:tcPr>
            <w:tcW w:type="dxa" w:w="1473"/>
          </w:tcPr>
          <w:p>
            <w:pPr>
              <w:spacing w:line="240" w:lineRule="auto"/>
              <w:jc w:val="left"/>
            </w:pPr>
            <w:r>
              <w:rPr>
                <w:rFonts w:ascii="Times New Roman" w:hAnsi="Times New Roman" w:eastAsia="Times New Roman"/>
                <w:b w:val="0"/>
                <w:caps w:val="0"/>
                <w:sz w:val="22"/>
              </w:rPr>
              <w:t>0.174 → 0.196</w:t>
            </w:r>
          </w:p>
        </w:tc>
        <w:tc>
          <w:tcPr>
            <w:tcW w:type="dxa" w:w="1473"/>
          </w:tcPr>
          <w:p>
            <w:pPr>
              <w:spacing w:line="240" w:lineRule="auto"/>
              <w:jc w:val="left"/>
            </w:pPr>
            <w:r>
              <w:rPr>
                <w:rFonts w:ascii="Times New Roman" w:hAnsi="Times New Roman" w:eastAsia="Times New Roman"/>
                <w:b w:val="0"/>
                <w:caps w:val="0"/>
                <w:sz w:val="22"/>
              </w:rPr>
              <w:t>0.816 → 0.753</w:t>
            </w:r>
          </w:p>
        </w:tc>
        <w:tc>
          <w:tcPr>
            <w:tcW w:type="dxa" w:w="1473"/>
          </w:tcPr>
          <w:p>
            <w:pPr>
              <w:spacing w:line="240" w:lineRule="auto"/>
              <w:jc w:val="left"/>
            </w:pPr>
            <w:r>
              <w:rPr>
                <w:rFonts w:ascii="Times New Roman" w:hAnsi="Times New Roman" w:eastAsia="Times New Roman"/>
                <w:b w:val="0"/>
                <w:caps w:val="0"/>
                <w:sz w:val="22"/>
              </w:rPr>
              <w:t>god_class_tcc = 0.5 (1×), 0.6667 (2×); god_class_wmc = 23.5 (1×), 35.25 (1×)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0.367</w:t>
            </w:r>
          </w:p>
        </w:tc>
        <w:tc>
          <w:tcPr>
            <w:tcW w:type="dxa" w:w="1473"/>
          </w:tcPr>
          <w:p>
            <w:pPr>
              <w:spacing w:line="240" w:lineRule="auto"/>
              <w:jc w:val="left"/>
            </w:pPr>
            <w:r>
              <w:rPr>
                <w:rFonts w:ascii="Times New Roman" w:hAnsi="Times New Roman" w:eastAsia="Times New Roman"/>
                <w:b w:val="0"/>
                <w:caps w:val="0"/>
                <w:sz w:val="22"/>
              </w:rPr>
              <w:t>0.405</w:t>
            </w:r>
          </w:p>
        </w:tc>
        <w:tc>
          <w:tcPr>
            <w:tcW w:type="dxa" w:w="1473"/>
          </w:tcPr>
          <w:p>
            <w:pPr>
              <w:spacing w:line="240" w:lineRule="auto"/>
              <w:jc w:val="left"/>
            </w:pPr>
            <w:r>
              <w:rPr>
                <w:rFonts w:ascii="Times New Roman" w:hAnsi="Times New Roman" w:eastAsia="Times New Roman"/>
                <w:b w:val="0"/>
                <w:caps w:val="0"/>
                <w:sz w:val="22"/>
              </w:rPr>
              <w:t>0.230 → 0.345</w:t>
            </w:r>
          </w:p>
        </w:tc>
        <w:tc>
          <w:tcPr>
            <w:tcW w:type="dxa" w:w="1473"/>
          </w:tcPr>
          <w:p>
            <w:pPr>
              <w:spacing w:line="240" w:lineRule="auto"/>
              <w:jc w:val="left"/>
            </w:pPr>
            <w:r>
              <w:rPr>
                <w:rFonts w:ascii="Times New Roman" w:hAnsi="Times New Roman" w:eastAsia="Times New Roman"/>
                <w:b w:val="0"/>
                <w:caps w:val="0"/>
                <w:sz w:val="22"/>
              </w:rPr>
              <w:t>0.765 → 0.657</w:t>
            </w:r>
          </w:p>
        </w:tc>
        <w:tc>
          <w:tcPr>
            <w:tcW w:type="dxa" w:w="1473"/>
          </w:tcPr>
          <w:p>
            <w:pPr>
              <w:spacing w:line="240" w:lineRule="auto"/>
              <w:jc w:val="left"/>
            </w:pPr>
            <w:r>
              <w:rPr>
                <w:rFonts w:ascii="Times New Roman" w:hAnsi="Times New Roman" w:eastAsia="Times New Roman"/>
                <w:b w:val="0"/>
                <w:caps w:val="0"/>
                <w:sz w:val="22"/>
              </w:rPr>
              <w:t>data_class_public_members = 2.5 (5×)</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0.243</w:t>
            </w:r>
          </w:p>
        </w:tc>
        <w:tc>
          <w:tcPr>
            <w:tcW w:type="dxa" w:w="1473"/>
          </w:tcPr>
          <w:p>
            <w:pPr>
              <w:spacing w:line="240" w:lineRule="auto"/>
              <w:jc w:val="left"/>
            </w:pPr>
            <w:r>
              <w:rPr>
                <w:rFonts w:ascii="Times New Roman" w:hAnsi="Times New Roman" w:eastAsia="Times New Roman"/>
                <w:b w:val="0"/>
                <w:caps w:val="0"/>
                <w:sz w:val="22"/>
              </w:rPr>
              <w:t>0.224</w:t>
            </w:r>
          </w:p>
        </w:tc>
        <w:tc>
          <w:tcPr>
            <w:tcW w:type="dxa" w:w="1473"/>
          </w:tcPr>
          <w:p>
            <w:pPr>
              <w:spacing w:line="240" w:lineRule="auto"/>
              <w:jc w:val="left"/>
            </w:pPr>
            <w:r>
              <w:rPr>
                <w:rFonts w:ascii="Times New Roman" w:hAnsi="Times New Roman" w:eastAsia="Times New Roman"/>
                <w:b w:val="0"/>
                <w:caps w:val="0"/>
                <w:sz w:val="22"/>
              </w:rPr>
              <w:t>0.188 → 0.194</w:t>
            </w:r>
          </w:p>
        </w:tc>
        <w:tc>
          <w:tcPr>
            <w:tcW w:type="dxa" w:w="1473"/>
          </w:tcPr>
          <w:p>
            <w:pPr>
              <w:spacing w:line="240" w:lineRule="auto"/>
              <w:jc w:val="left"/>
            </w:pPr>
            <w:r>
              <w:rPr>
                <w:rFonts w:ascii="Times New Roman" w:hAnsi="Times New Roman" w:eastAsia="Times New Roman"/>
                <w:b w:val="0"/>
                <w:caps w:val="0"/>
                <w:sz w:val="22"/>
              </w:rPr>
              <w:t>0.413 → 0.360</w:t>
            </w:r>
          </w:p>
        </w:tc>
        <w:tc>
          <w:tcPr>
            <w:tcW w:type="dxa" w:w="1473"/>
          </w:tcPr>
          <w:p>
            <w:pPr>
              <w:spacing w:line="240" w:lineRule="auto"/>
              <w:jc w:val="left"/>
            </w:pPr>
            <w:r>
              <w:rPr>
                <w:rFonts w:ascii="Times New Roman" w:hAnsi="Times New Roman" w:eastAsia="Times New Roman"/>
                <w:b w:val="0"/>
                <w:caps w:val="0"/>
                <w:sz w:val="22"/>
              </w:rPr>
              <w:t>feature_envy_fdp = 10.0 (1×); feature_envy_laa = 0.25 (1×), 0.5 (1×), 0.6667 (2×)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0.617</w:t>
            </w:r>
          </w:p>
        </w:tc>
        <w:tc>
          <w:tcPr>
            <w:tcW w:type="dxa" w:w="1473"/>
          </w:tcPr>
          <w:p>
            <w:pPr>
              <w:spacing w:line="240" w:lineRule="auto"/>
              <w:jc w:val="left"/>
            </w:pPr>
            <w:r>
              <w:rPr>
                <w:rFonts w:ascii="Times New Roman" w:hAnsi="Times New Roman" w:eastAsia="Times New Roman"/>
                <w:b w:val="0"/>
                <w:caps w:val="0"/>
                <w:sz w:val="22"/>
              </w:rPr>
              <w:t>0.698</w:t>
            </w:r>
          </w:p>
        </w:tc>
        <w:tc>
          <w:tcPr>
            <w:tcW w:type="dxa" w:w="1473"/>
          </w:tcPr>
          <w:p>
            <w:pPr>
              <w:spacing w:line="240" w:lineRule="auto"/>
              <w:jc w:val="left"/>
            </w:pPr>
            <w:r>
              <w:rPr>
                <w:rFonts w:ascii="Times New Roman" w:hAnsi="Times New Roman" w:eastAsia="Times New Roman"/>
                <w:b w:val="0"/>
                <w:caps w:val="0"/>
                <w:sz w:val="22"/>
              </w:rPr>
              <w:t>0.470 → 0.796</w:t>
            </w:r>
          </w:p>
        </w:tc>
        <w:tc>
          <w:tcPr>
            <w:tcW w:type="dxa" w:w="1473"/>
          </w:tcPr>
          <w:p>
            <w:pPr>
              <w:spacing w:line="240" w:lineRule="auto"/>
              <w:jc w:val="left"/>
            </w:pPr>
            <w:r>
              <w:rPr>
                <w:rFonts w:ascii="Times New Roman" w:hAnsi="Times New Roman" w:eastAsia="Times New Roman"/>
                <w:b w:val="0"/>
                <w:caps w:val="0"/>
                <w:sz w:val="22"/>
              </w:rPr>
              <w:t>0.888 → 0.680</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Data Class; te Long Method ranë dakord për pragun, por jo për vlerën; te Blob tri folde lëvizën god_class_tcc dhe dy folde lëvizën god_class_wmc; te Feature Envy katër folde lëvizën feature_envy_laa dhe një fold lëvizi feature_envy_fdp. Recall-i u rrit te të katër erërat, precizioni te asnjëra, dhe MCC-ja te tri nga katër erërat. Për Long Method, vlera më e mirë e zhvendosjes së pragut mbi tërë korpusin është 0.724, ndërsa kalibrimi jashtë fold-it jep 0.698.</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Detektorët e Qasjes A krahasohen këtu me PMD-në, një mjet të lirë e të përhapur që zbaton rregulla të ngjashme, mbi të njëjtat mostra dhe me të njëjtin pikëzim. PMD 7.27.0 u ekzekutua mbi të njëjtat 512 depo, me pragjet e veta të parazgjedhura, dhe u pikëzua me të njëjtin kod dhe të njëjtin agregim si Qasja A. Të dyja kolonat rillogariten nga i njëjti skedar në të njëjtin ekzekutim (Tabela 22).</w:t>
      </w:r>
    </w:p>
    <w:p>
      <w:pPr>
        <w:keepNext/>
        <w:spacing w:line="240" w:lineRule="auto"/>
        <w:jc w:val="center"/>
      </w:pPr>
      <w:r>
        <w:rPr>
          <w:rFonts w:ascii="Times New Roman" w:hAnsi="Times New Roman" w:eastAsia="Times New Roman"/>
          <w:b w:val="0"/>
          <w:caps w:val="0"/>
          <w:sz w:val="22"/>
        </w:rPr>
        <w:t>Tabela 22.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0.342</w:t>
            </w:r>
          </w:p>
        </w:tc>
        <w:tc>
          <w:tcPr>
            <w:tcW w:type="dxa" w:w="1768"/>
          </w:tcPr>
          <w:p>
            <w:pPr>
              <w:spacing w:line="240" w:lineRule="auto"/>
              <w:jc w:val="left"/>
            </w:pPr>
            <w:r>
              <w:rPr>
                <w:rFonts w:ascii="Times New Roman" w:hAnsi="Times New Roman" w:eastAsia="Times New Roman"/>
                <w:b w:val="0"/>
                <w:caps w:val="0"/>
                <w:sz w:val="22"/>
              </w:rPr>
              <w:t>-0.088 deri +0.008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2035</w:t>
            </w:r>
          </w:p>
        </w:tc>
        <w:tc>
          <w:tcPr>
            <w:tcW w:type="dxa" w:w="1768"/>
          </w:tcPr>
          <w:p>
            <w:pPr>
              <w:spacing w:line="240" w:lineRule="auto"/>
              <w:jc w:val="left"/>
            </w:pPr>
            <w:r>
              <w:rPr>
                <w:rFonts w:ascii="Times New Roman" w:hAnsi="Times New Roman" w:eastAsia="Times New Roman"/>
                <w:b w:val="0"/>
                <w:caps w:val="0"/>
                <w:sz w:val="22"/>
              </w:rPr>
              <w:t>0.382</w:t>
            </w:r>
          </w:p>
        </w:tc>
        <w:tc>
          <w:tcPr>
            <w:tcW w:type="dxa" w:w="1768"/>
          </w:tcPr>
          <w:p>
            <w:pPr>
              <w:spacing w:line="240" w:lineRule="auto"/>
              <w:jc w:val="left"/>
            </w:pPr>
            <w:r>
              <w:rPr>
                <w:rFonts w:ascii="Times New Roman" w:hAnsi="Times New Roman" w:eastAsia="Times New Roman"/>
                <w:b w:val="0"/>
                <w:caps w:val="0"/>
                <w:sz w:val="22"/>
              </w:rPr>
              <w:t>0.487</w:t>
            </w:r>
          </w:p>
        </w:tc>
        <w:tc>
          <w:tcPr>
            <w:tcW w:type="dxa" w:w="1768"/>
          </w:tcPr>
          <w:p>
            <w:pPr>
              <w:spacing w:line="240" w:lineRule="auto"/>
              <w:jc w:val="left"/>
            </w:pPr>
            <w:r>
              <w:rPr>
                <w:rFonts w:ascii="Times New Roman" w:hAnsi="Times New Roman" w:eastAsia="Times New Roman"/>
                <w:b w:val="0"/>
                <w:caps w:val="0"/>
                <w:sz w:val="22"/>
              </w:rPr>
              <w:t>+0.054 deri +0.158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2038</w:t>
            </w:r>
          </w:p>
        </w:tc>
        <w:tc>
          <w:tcPr>
            <w:tcW w:type="dxa" w:w="1768"/>
          </w:tcPr>
          <w:p>
            <w:pPr>
              <w:spacing w:line="240" w:lineRule="auto"/>
              <w:jc w:val="left"/>
            </w:pPr>
            <w:r>
              <w:rPr>
                <w:rFonts w:ascii="Times New Roman" w:hAnsi="Times New Roman" w:eastAsia="Times New Roman"/>
                <w:b w:val="0"/>
                <w:caps w:val="0"/>
                <w:sz w:val="22"/>
              </w:rPr>
              <w:t>0.319</w:t>
            </w:r>
          </w:p>
        </w:tc>
        <w:tc>
          <w:tcPr>
            <w:tcW w:type="dxa" w:w="1768"/>
          </w:tcPr>
          <w:p>
            <w:pPr>
              <w:spacing w:line="240" w:lineRule="auto"/>
              <w:jc w:val="left"/>
            </w:pPr>
            <w:r>
              <w:rPr>
                <w:rFonts w:ascii="Times New Roman" w:hAnsi="Times New Roman" w:eastAsia="Times New Roman"/>
                <w:b w:val="0"/>
                <w:caps w:val="0"/>
                <w:sz w:val="22"/>
              </w:rPr>
              <w:t>0.365</w:t>
            </w:r>
          </w:p>
        </w:tc>
        <w:tc>
          <w:tcPr>
            <w:tcW w:type="dxa" w:w="1768"/>
          </w:tcPr>
          <w:p>
            <w:pPr>
              <w:spacing w:line="240" w:lineRule="auto"/>
              <w:jc w:val="left"/>
            </w:pPr>
            <w:r>
              <w:rPr>
                <w:rFonts w:ascii="Times New Roman" w:hAnsi="Times New Roman" w:eastAsia="Times New Roman"/>
                <w:b w:val="0"/>
                <w:caps w:val="0"/>
                <w:sz w:val="22"/>
              </w:rPr>
              <w:t>-0.012 deri +0.101</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2051</w:t>
            </w:r>
          </w:p>
        </w:tc>
        <w:tc>
          <w:tcPr>
            <w:tcW w:type="dxa" w:w="1768"/>
          </w:tcPr>
          <w:p>
            <w:pPr>
              <w:spacing w:line="240" w:lineRule="auto"/>
              <w:jc w:val="left"/>
            </w:pPr>
            <w:r>
              <w:rPr>
                <w:rFonts w:ascii="Times New Roman" w:hAnsi="Times New Roman" w:eastAsia="Times New Roman"/>
                <w:b w:val="0"/>
                <w:caps w:val="0"/>
                <w:sz w:val="22"/>
              </w:rPr>
              <w:t>0.056</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2063</w:t>
            </w:r>
          </w:p>
        </w:tc>
        <w:tc>
          <w:tcPr>
            <w:tcW w:type="dxa" w:w="1768"/>
          </w:tcPr>
          <w:p>
            <w:pPr>
              <w:spacing w:line="240" w:lineRule="auto"/>
              <w:jc w:val="left"/>
            </w:pPr>
            <w:r>
              <w:rPr>
                <w:rFonts w:ascii="Times New Roman" w:hAnsi="Times New Roman" w:eastAsia="Times New Roman"/>
                <w:b w:val="0"/>
                <w:caps w:val="0"/>
                <w:sz w:val="22"/>
              </w:rPr>
              <w:t>0.221</w:t>
            </w:r>
          </w:p>
        </w:tc>
        <w:tc>
          <w:tcPr>
            <w:tcW w:type="dxa" w:w="1768"/>
          </w:tcPr>
          <w:p>
            <w:pPr>
              <w:spacing w:line="240" w:lineRule="auto"/>
              <w:jc w:val="left"/>
            </w:pPr>
            <w:r>
              <w:rPr>
                <w:rFonts w:ascii="Times New Roman" w:hAnsi="Times New Roman" w:eastAsia="Times New Roman"/>
                <w:b w:val="0"/>
                <w:caps w:val="0"/>
                <w:sz w:val="22"/>
              </w:rPr>
              <w:t>0.615</w:t>
            </w:r>
          </w:p>
        </w:tc>
        <w:tc>
          <w:tcPr>
            <w:tcW w:type="dxa" w:w="1768"/>
          </w:tcPr>
          <w:p>
            <w:pPr>
              <w:spacing w:line="240" w:lineRule="auto"/>
              <w:jc w:val="left"/>
            </w:pPr>
            <w:r>
              <w:rPr>
                <w:rFonts w:ascii="Times New Roman" w:hAnsi="Times New Roman" w:eastAsia="Times New Roman"/>
                <w:b w:val="0"/>
                <w:caps w:val="0"/>
                <w:sz w:val="22"/>
              </w:rPr>
              <w:t>+0.316 deri +0.475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 Për Feature Envy PMD nuk ka rregull, prandaj rreshti i saj ka vetëm MCC-në e LawOfDemeter-it, rregullit më të afërt, dhe nuk ka kolonë krahasimi. Nga ekzekutimi, 537 skedarë nuk u lexuan dot nga PMD dhe 13 depo nuk u përpunuan fare. Mostrat e atyre depove janë hequr nga të dyja kolonat e tabelës, ndaj emëruesi i saj është më i vogël se ai i Qasjes A, e cila vlerësoi 9046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 Me bootstrap sipas depos (2000 rimostrime, Nënkapitulli 4.9), MCC-ja e secilës qasje dhe dallimi mes tyre kanë këto intervale besimi 95% (Tabela 23; Figura 14):</w:t>
      </w:r>
    </w:p>
    <w:p>
      <w:pPr>
        <w:keepNext/>
        <w:spacing w:line="240" w:lineRule="auto"/>
        <w:jc w:val="center"/>
      </w:pPr>
      <w:r>
        <w:rPr>
          <w:rFonts w:ascii="Times New Roman" w:hAnsi="Times New Roman" w:eastAsia="Times New Roman"/>
          <w:b w:val="0"/>
          <w:caps w:val="0"/>
          <w:sz w:val="22"/>
        </w:rPr>
        <w:t>Tabela 23.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[0.274, 0.393]</w:t>
            </w:r>
          </w:p>
        </w:tc>
        <w:tc>
          <w:tcPr>
            <w:tcW w:type="dxa" w:w="1768"/>
          </w:tcPr>
          <w:p>
            <w:pPr>
              <w:spacing w:line="240" w:lineRule="auto"/>
              <w:jc w:val="left"/>
            </w:pPr>
            <w:r>
              <w:rPr>
                <w:rFonts w:ascii="Times New Roman" w:hAnsi="Times New Roman" w:eastAsia="Times New Roman"/>
                <w:b w:val="0"/>
                <w:caps w:val="0"/>
                <w:sz w:val="22"/>
              </w:rPr>
              <w:t>[0.494, 0.581]</w:t>
            </w:r>
          </w:p>
        </w:tc>
        <w:tc>
          <w:tcPr>
            <w:tcW w:type="dxa" w:w="1768"/>
          </w:tcPr>
          <w:p>
            <w:pPr>
              <w:spacing w:line="240" w:lineRule="auto"/>
              <w:jc w:val="left"/>
            </w:pPr>
            <w:r>
              <w:rPr>
                <w:rFonts w:ascii="Times New Roman" w:hAnsi="Times New Roman" w:eastAsia="Times New Roman"/>
                <w:b w:val="0"/>
                <w:caps w:val="0"/>
                <w:sz w:val="22"/>
              </w:rPr>
              <w:t>[0.138, 0.271]</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[0.313, 0.423]</w:t>
            </w:r>
          </w:p>
        </w:tc>
        <w:tc>
          <w:tcPr>
            <w:tcW w:type="dxa" w:w="1768"/>
          </w:tcPr>
          <w:p>
            <w:pPr>
              <w:spacing w:line="240" w:lineRule="auto"/>
              <w:jc w:val="left"/>
            </w:pPr>
            <w:r>
              <w:rPr>
                <w:rFonts w:ascii="Times New Roman" w:hAnsi="Times New Roman" w:eastAsia="Times New Roman"/>
                <w:b w:val="0"/>
                <w:caps w:val="0"/>
                <w:sz w:val="22"/>
              </w:rPr>
              <w:t>[0.419, 0.530]</w:t>
            </w:r>
          </w:p>
        </w:tc>
        <w:tc>
          <w:tcPr>
            <w:tcW w:type="dxa" w:w="1768"/>
          </w:tcPr>
          <w:p>
            <w:pPr>
              <w:spacing w:line="240" w:lineRule="auto"/>
              <w:jc w:val="left"/>
            </w:pPr>
            <w:r>
              <w:rPr>
                <w:rFonts w:ascii="Times New Roman" w:hAnsi="Times New Roman" w:eastAsia="Times New Roman"/>
                <w:b w:val="0"/>
                <w:caps w:val="0"/>
                <w:sz w:val="22"/>
              </w:rPr>
              <w:t>[0.050, 0.163]</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[0.158, 0.330]</w:t>
            </w:r>
          </w:p>
        </w:tc>
        <w:tc>
          <w:tcPr>
            <w:tcW w:type="dxa" w:w="1768"/>
          </w:tcPr>
          <w:p>
            <w:pPr>
              <w:spacing w:line="240" w:lineRule="auto"/>
              <w:jc w:val="left"/>
            </w:pPr>
            <w:r>
              <w:rPr>
                <w:rFonts w:ascii="Times New Roman" w:hAnsi="Times New Roman" w:eastAsia="Times New Roman"/>
                <w:b w:val="0"/>
                <w:caps w:val="0"/>
                <w:sz w:val="22"/>
              </w:rPr>
              <w:t>[0.246, 0.398]</w:t>
            </w:r>
          </w:p>
        </w:tc>
        <w:tc>
          <w:tcPr>
            <w:tcW w:type="dxa" w:w="1768"/>
          </w:tcPr>
          <w:p>
            <w:pPr>
              <w:spacing w:line="240" w:lineRule="auto"/>
              <w:jc w:val="left"/>
            </w:pPr>
            <w:r>
              <w:rPr>
                <w:rFonts w:ascii="Times New Roman" w:hAnsi="Times New Roman" w:eastAsia="Times New Roman"/>
                <w:b w:val="0"/>
                <w:caps w:val="0"/>
                <w:sz w:val="22"/>
              </w:rPr>
              <w:t>[-0.012, 0.166]</w:t>
            </w:r>
          </w:p>
        </w:tc>
        <w:tc>
          <w:tcPr>
            <w:tcW w:type="dxa" w:w="1768"/>
          </w:tcPr>
          <w:p>
            <w:pPr>
              <w:spacing w:line="240" w:lineRule="auto"/>
              <w:jc w:val="left"/>
            </w:pPr>
            <w:r>
              <w:rPr>
                <w:rFonts w:ascii="Times New Roman" w:hAnsi="Times New Roman" w:eastAsia="Times New Roman"/>
                <w:b w:val="0"/>
                <w:caps w:val="0"/>
                <w:sz w:val="22"/>
              </w:rPr>
              <w:t>jo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[0.559, 0.667]</w:t>
            </w:r>
          </w:p>
        </w:tc>
        <w:tc>
          <w:tcPr>
            <w:tcW w:type="dxa" w:w="1768"/>
          </w:tcPr>
          <w:p>
            <w:pPr>
              <w:spacing w:line="240" w:lineRule="auto"/>
              <w:jc w:val="left"/>
            </w:pPr>
            <w:r>
              <w:rPr>
                <w:rFonts w:ascii="Times New Roman" w:hAnsi="Times New Roman" w:eastAsia="Times New Roman"/>
                <w:b w:val="0"/>
                <w:caps w:val="0"/>
                <w:sz w:val="22"/>
              </w:rPr>
              <w:t>[0.681, 0.768]</w:t>
            </w:r>
          </w:p>
        </w:tc>
        <w:tc>
          <w:tcPr>
            <w:tcW w:type="dxa" w:w="1768"/>
          </w:tcPr>
          <w:p>
            <w:pPr>
              <w:spacing w:line="240" w:lineRule="auto"/>
              <w:jc w:val="left"/>
            </w:pPr>
            <w:r>
              <w:rPr>
                <w:rFonts w:ascii="Times New Roman" w:hAnsi="Times New Roman" w:eastAsia="Times New Roman"/>
                <w:b w:val="0"/>
                <w:caps w:val="0"/>
                <w:sz w:val="22"/>
              </w:rPr>
              <w:t>[0.050, 0.165]</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6" name="Picture 16"/>
            <wp:cNvGraphicFramePr>
              <a:graphicFrameLocks noChangeAspect="1"/>
            </wp:cNvGraphicFramePr>
            <a:graphic>
              <a:graphicData uri="http://schemas.openxmlformats.org/drawingml/2006/picture">
                <pic:pic>
                  <pic:nvPicPr>
                    <pic:cNvPr id="0" name="intervalet_e_besimit.png"/>
                    <pic:cNvPicPr/>
                  </pic:nvPicPr>
                  <pic:blipFill>
                    <a:blip r:embed="rId26"/>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14.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tri nga katër erërat. Intervali më i gjerë i dallimit është te Feature Envy, 0.178 pikë MCC. Kur Qasja A merr pragun e saj më të mirë nga analiza e ndjeshmërisë e Nënkapitullit 5.5, dallimi ka këto intervale (Tabela 24):</w:t>
      </w:r>
    </w:p>
    <w:p>
      <w:pPr>
        <w:keepNext/>
        <w:spacing w:line="240" w:lineRule="auto"/>
        <w:jc w:val="center"/>
      </w:pPr>
      <w:r>
        <w:rPr>
          <w:rFonts w:ascii="Times New Roman" w:hAnsi="Times New Roman" w:eastAsia="Times New Roman"/>
          <w:b w:val="0"/>
          <w:caps w:val="0"/>
          <w:sz w:val="22"/>
        </w:rPr>
        <w:t>Tabela 24.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[0.118, 0.243]</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[0.019, 0.120]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99.5%</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[-0.035, 0.140]</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89.0%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[-0.040, 0.039]</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50.2%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dhe Data Class. Te Feature Envy dhe Long Method intervali e përfshin zeron; shenja pozitive ruhet në këtë pjesë të rimostrimeve: Feature Envy (89.0%) dhe Long Method (50.2%).</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25):</w:t>
      </w:r>
    </w:p>
    <w:p>
      <w:pPr>
        <w:keepNext/>
        <w:spacing w:line="240" w:lineRule="auto"/>
        <w:jc w:val="center"/>
      </w:pPr>
      <w:r>
        <w:rPr>
          <w:rFonts w:ascii="Times New Roman" w:hAnsi="Times New Roman" w:eastAsia="Times New Roman"/>
          <w:b w:val="0"/>
          <w:caps w:val="0"/>
          <w:sz w:val="22"/>
        </w:rPr>
        <w:t>Tabela 25.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0.312</w:t>
            </w:r>
          </w:p>
        </w:tc>
        <w:tc>
          <w:tcPr>
            <w:tcW w:type="dxa" w:w="2209"/>
          </w:tcPr>
          <w:p>
            <w:pPr>
              <w:spacing w:line="240" w:lineRule="auto"/>
              <w:jc w:val="left"/>
            </w:pPr>
            <w:r>
              <w:rPr>
                <w:rFonts w:ascii="Times New Roman" w:hAnsi="Times New Roman" w:eastAsia="Times New Roman"/>
                <w:b w:val="0"/>
                <w:caps w:val="0"/>
                <w:sz w:val="22"/>
              </w:rPr>
              <w:t>0.674</w:t>
            </w:r>
          </w:p>
        </w:tc>
        <w:tc>
          <w:tcPr>
            <w:tcW w:type="dxa" w:w="2209"/>
          </w:tcPr>
          <w:p>
            <w:pPr>
              <w:spacing w:line="240" w:lineRule="auto"/>
              <w:jc w:val="left"/>
            </w:pPr>
            <w:r>
              <w:rPr>
                <w:rFonts w:ascii="Times New Roman" w:hAnsi="Times New Roman" w:eastAsia="Times New Roman"/>
                <w:b w:val="0"/>
                <w:caps w:val="0"/>
                <w:sz w:val="22"/>
              </w:rPr>
              <w:t>2909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0.396</w:t>
            </w:r>
          </w:p>
        </w:tc>
        <w:tc>
          <w:tcPr>
            <w:tcW w:type="dxa" w:w="2209"/>
          </w:tcPr>
          <w:p>
            <w:pPr>
              <w:spacing w:line="240" w:lineRule="auto"/>
              <w:jc w:val="left"/>
            </w:pPr>
            <w:r>
              <w:rPr>
                <w:rFonts w:ascii="Times New Roman" w:hAnsi="Times New Roman" w:eastAsia="Times New Roman"/>
                <w:b w:val="0"/>
                <w:caps w:val="0"/>
                <w:sz w:val="22"/>
              </w:rPr>
              <w:t>0.702</w:t>
            </w:r>
          </w:p>
        </w:tc>
        <w:tc>
          <w:tcPr>
            <w:tcW w:type="dxa" w:w="2209"/>
          </w:tcPr>
          <w:p>
            <w:pPr>
              <w:spacing w:line="240" w:lineRule="auto"/>
              <w:jc w:val="left"/>
            </w:pPr>
            <w:r>
              <w:rPr>
                <w:rFonts w:ascii="Times New Roman" w:hAnsi="Times New Roman" w:eastAsia="Times New Roman"/>
                <w:b w:val="0"/>
                <w:caps w:val="0"/>
                <w:sz w:val="22"/>
              </w:rPr>
              <w:t>2903</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-0.071</w:t>
            </w:r>
          </w:p>
        </w:tc>
        <w:tc>
          <w:tcPr>
            <w:tcW w:type="dxa" w:w="2209"/>
          </w:tcPr>
          <w:p>
            <w:pPr>
              <w:spacing w:line="240" w:lineRule="auto"/>
              <w:jc w:val="left"/>
            </w:pPr>
            <w:r>
              <w:rPr>
                <w:rFonts w:ascii="Times New Roman" w:hAnsi="Times New Roman" w:eastAsia="Times New Roman"/>
                <w:b w:val="0"/>
                <w:caps w:val="0"/>
                <w:sz w:val="22"/>
              </w:rPr>
              <w:t>0.513</w:t>
            </w:r>
          </w:p>
        </w:tc>
        <w:tc>
          <w:tcPr>
            <w:tcW w:type="dxa" w:w="2209"/>
          </w:tcPr>
          <w:p>
            <w:pPr>
              <w:spacing w:line="240" w:lineRule="auto"/>
              <w:jc w:val="left"/>
            </w:pPr>
            <w:r>
              <w:rPr>
                <w:rFonts w:ascii="Times New Roman" w:hAnsi="Times New Roman" w:eastAsia="Times New Roman"/>
                <w:b w:val="0"/>
                <w:caps w:val="0"/>
                <w:sz w:val="22"/>
              </w:rPr>
              <w:t>1471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0.567</w:t>
            </w:r>
          </w:p>
        </w:tc>
        <w:tc>
          <w:tcPr>
            <w:tcW w:type="dxa" w:w="2209"/>
          </w:tcPr>
          <w:p>
            <w:pPr>
              <w:spacing w:line="240" w:lineRule="auto"/>
              <w:jc w:val="left"/>
            </w:pPr>
            <w:r>
              <w:rPr>
                <w:rFonts w:ascii="Times New Roman" w:hAnsi="Times New Roman" w:eastAsia="Times New Roman"/>
                <w:b w:val="0"/>
                <w:caps w:val="0"/>
                <w:sz w:val="22"/>
              </w:rPr>
              <w:t>0.787</w:t>
            </w:r>
          </w:p>
        </w:tc>
        <w:tc>
          <w:tcPr>
            <w:tcW w:type="dxa" w:w="2209"/>
          </w:tcPr>
          <w:p>
            <w:pPr>
              <w:spacing w:line="240" w:lineRule="auto"/>
              <w:jc w:val="left"/>
            </w:pPr>
            <w:r>
              <w:rPr>
                <w:rFonts w:ascii="Times New Roman" w:hAnsi="Times New Roman" w:eastAsia="Times New Roman"/>
                <w:b w:val="0"/>
                <w:caps w:val="0"/>
                <w:sz w:val="22"/>
              </w:rPr>
              <w:t>1495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0.567 te asnjë erë. 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26).</w:t>
      </w:r>
    </w:p>
    <w:p>
      <w:pPr>
        <w:keepNext/>
        <w:spacing w:line="240" w:lineRule="auto"/>
        <w:jc w:val="center"/>
      </w:pPr>
      <w:r>
        <w:rPr>
          <w:rFonts w:ascii="Times New Roman" w:hAnsi="Times New Roman" w:eastAsia="Times New Roman"/>
          <w:b w:val="0"/>
          <w:caps w:val="0"/>
          <w:sz w:val="22"/>
        </w:rPr>
        <w:t>Tabela 26.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0.243 – 0.617</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0.413 – 0.888</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0.174 – 0.470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0.321 – 0.723</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0.078 – 0.203</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3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të pranueshme për zhvilluesin (të ripeshuara)</w:t>
            </w:r>
          </w:p>
        </w:tc>
        <w:tc>
          <w:tcPr>
            <w:tcW w:type="dxa" w:w="2209"/>
          </w:tcPr>
          <w:p>
            <w:pPr>
              <w:spacing w:line="240" w:lineRule="auto"/>
              <w:jc w:val="left"/>
            </w:pPr>
            <w:r>
              <w:rPr>
                <w:rFonts w:ascii="Times New Roman" w:hAnsi="Times New Roman" w:eastAsia="Times New Roman"/>
                <w:b w:val="0"/>
                <w:caps w:val="0"/>
                <w:sz w:val="22"/>
              </w:rPr>
              <w:t>62.9%</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shpesh të drejtë, por i humbin shumicën e rasteve që rishikuesit i shënojnë, nga 53% te Long Method deri në 83%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Këto humbje nuk shpërndahen njësoj mbi të gjitha rastet. Shfaqjet e qarta të erës, ato që rishikuesit i quajtën major, kapen më lehtë se ato të butat (Nënkapitulli 5.1): strategjitë reagojnë ndaj tepricës së dukshme dhe heshtin para asaj që mezi dallohet.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Data Class dhe Feature Envy zhvendosja e çdo pragu mezi e lëviz MCC-në (Nënkapitulli 5.5), ndaj shifrat e tyre flasin për kodin dhe jo për pragun. Te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gjë që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Long Method, dallimi mes pragut më të mirë të gjetur mbi gjithë korpusin dhe atij të kalibruar (Nënkapitulli 5.5) është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Sipas vlerës së matur,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Blob (+0.158), Data Class (+0.028) dhe Long Method (+0.107), ndërsa te Feature Envy (-0.052) del nën rregullin. Metrikat e tjera shtojnë më së shumti te Feature Envy (+0.130) dhe pothuajse asgjë te Long Method. Strategjive u mungon pra kryesisht kufiri i duhur, dhe te disa erëra edhe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tri nga katër erërat kur korpusi rimostrohet sipas depos, pra nuk është artefakt i një korpusi të veçantë. Por intervalet janë të gjera, dhe renditja e erërave mes tyre nuk qëndron: dallimi mes Data Class-it dhe Blob-it, për shembull, humbet brenda tyre. Te Feature Envy intervali i dallimit e përfshin zeron edhe me pragjet e botuara, pra përparësia e modelit atje nuk dallohet nga rastësia e rimostrimit. Kur rregullit i jepet pragu i tij më i mirë, përparësia zhduket edhe te Long Method, ku rregulli kishte rezultatin më të mirë mes erërave.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59% deri në 92% të verdikteve një matje e vetme e mban shënimin, dhe matja më e shpeshtë vendimtare është CLOC te Blob, NOAM te Data Class, MLOC te Feature Envy, MLOC te Long Method. Zhvilluesi merr kështu një fjali me të njëjtën formë si klauzola e një strategjie. Që matja vendimtare më e shpeshtë te Feature Envy është gjatësia e metodës, e jo qasja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Blob, Data Class dhe Long Method, ndërsa te Feature Envy rregulli kap shumë raste që modeli i humb. Bashkimi i dy qasjeve ndihmon pak ose aspak, sepse bashkë me rastet e sakta të rregullit vijnë edhe pozitivët e tij të rremë, dhe mbi një bashkësi ku shumica e etiketave janë negative ky shkëmbim mezi del në fitim.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që motori mund ta provojë.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te metodat ku ndihma do të vlente më shumë.</w:t>
      </w:r>
    </w:p>
    <w:p>
      <w:pPr>
        <w:spacing w:line="360" w:lineRule="auto"/>
        <w:ind w:firstLine="360"/>
        <w:jc w:val="both"/>
      </w:pPr>
      <w:r>
        <w:rPr>
          <w:rFonts w:ascii="Times New Roman" w:hAnsi="Times New Roman" w:eastAsia="Times New Roman"/>
          <w:b w:val="0"/>
          <w:caps w:val="0"/>
          <w:sz w:val="24"/>
        </w:rPr>
        <w:t>Rezultatet e refaktorimit lexohen më qartë sipas transformimit (tabela e fundit e Nënkapitullit 5.4), sepse shifrat e përgjithshme janë shuma e tri sjelljeve të ndryshme. Extract Method jep 93% të rishkrimeve, ndaj i përcakton ato: aplikohet te 33% e vendeve të veta, 98% e rishkrimeve të tij nuk shtojnë gabim, era hiqet te 63%, dhe një zhvillues do të pranonte 65% të tyre, pasi t'i japë metodës së re një emër. Guard Clauses aplikohet vetëm te 2.1% e vendeve, sepse pranon një formë të vetme, por kur aplikohet nuk shton asnjë gabim dhe u pranua në çdo rast të lexuar. Introduce Parameter Object e heq erën sipas matjes te çdo rishkrim, por asnjë nuk u pranua, sepse e zhvendos listën e gjatë nga metoda te konstruktori. Një shifër e përgjithshme e mirë mund të fshehë pra një transformim që nuk i shërben zhvilluesit, dhe anasjelltas.</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Leximi i rishkrimeve (Nënkapitulli 5.4) e përmbys këtë renditje. Transformimi që e heq erën me ndërtim, Introduce Parameter Object, nuk u pranua asnjëherë: klasa e re merr emrin e metodës, mban të gjithë parametrat dhe shpaketohet në rreshtat e parë, ndaj lista e gjatë kalon nga metoda te konstruktori dhe thirrjet nuk lexohen më mirë. Era zhduket sipas matjes, jo sipas lexuesit. Fowler (2018) e propozon këtë transformim për parametra që udhëtojnë bashkë si një koncept, jo për çdo listë që kalon një prag, dhe ky dallim nuk matet me numrin e parametrave. Guard Clauses, përkundrazi, u pranua te 20 nga 20 rishkrimet e lexuara, zakonisht pas një ndreqjeje të vogël: motori e shkruan kushtin si mohim të plotë, !(raw != null), aty ku një zhvillues do të shkruante raw == null.</w:t>
      </w:r>
    </w:p>
    <w:p>
      <w:pPr>
        <w:spacing w:line="360" w:lineRule="auto"/>
        <w:ind w:firstLine="360"/>
        <w:jc w:val="both"/>
      </w:pPr>
      <w:r>
        <w:rPr>
          <w:rFonts w:ascii="Times New Roman" w:hAnsi="Times New Roman" w:eastAsia="Times New Roman"/>
          <w:b w:val="0"/>
          <w:caps w:val="0"/>
          <w:sz w:val="24"/>
        </w:rPr>
        <w:t>Extract Method u pranua te 13 nga 20 rishkrime, kur blloku i nxjerrë kishte një përgjegjësi të qartë, dhe gjithmonë pas ndreqjes së emrit «extracted», të cilin një motor determinist nuk e zgjedh dot. U refuzua kur nxirrte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pPr>
        <w:spacing w:line="360" w:lineRule="auto"/>
        <w:ind w:firstLine="360"/>
        <w:jc w:val="both"/>
      </w:pPr>
      <w:r>
        <w:rPr>
          <w:rFonts w:ascii="Times New Roman" w:hAnsi="Times New Roman" w:eastAsia="Times New Roman"/>
          <w:b w:val="0"/>
          <w:caps w:val="0"/>
          <w:sz w:val="24"/>
        </w:rPr>
        <w:t>Leximi gjeti edhe një rishkrim që nuk kompilon dhe që kontrolli i kompilatorit e kishte lënë të kalonte. Extract Method nxori një bllok që cakton një variabël vetëm brenda një if-i, por nuk ia kaloi metodës së re as variablën, as vlerën e saj të mëparshme. Gabimi «cannot find symbol» që shtonte ishte i të njëjtit lloj si qindra të tjerë që skedari i izoluar kishte tashmë, prandaj toleranca «pa lloj të ri gabimi» nuk e dalloi. Është defekt i analizës së daljeve në motor dhe provë konkrete e kufirit të asaj tolerance.</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prandaj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prandaj krahasimi i dy qasjeve mbi të njëjtat mostra është i ndershëm. Refuzimi si parim e mbajti motorin larg kodit që nuk e kuptonte, dhe dëmi mbeti te pakica e raportuar: gabim i ri kompilimi te 1.6% e rishkrimeve.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Blob, Data Class dhe Long Method me dallim që mbetet mbi zero kur korpusi rimostrohet, dhe shumica e verdikteve të tij, nga 59% deri në 92%, u shpjeguan me një matje të vetme, ndaj fitimi nuk erdhi në kurriz të shpjegueshmërisë. Kur dy qasjet pajtohen, precizioni nuk bie nën 0.655, çka i jep zhvilluesit një sinjal të fortë. Te refaktorimi, vetëm 1.6% e rishkrimeve shtuan gabim të ri, dhe rojet e Guard Clauses u gjykuan të pranueshme te 20 nga 20 rishkrimet e lexuara.</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dalin të parat metrikat e madhësisë (CLOC dhe NOM), ndërsa TCC dhe ATFD, kushtet e kohezionit dhe të qasjes në të dhëna të huaja mbi të cilat është ndërtuar God Class, nuk kanë rëndësi të matshme. E dyta: shtimi i një detektori që mbështetet vetëm te madhësia e ngre përputhjen me rishikuesit për të njëjtën erë, nga MCC 0.336 në 0.474.</w:t>
      </w:r>
    </w:p>
    <w:p>
      <w:pPr>
        <w:spacing w:line="360" w:lineRule="auto"/>
        <w:ind w:firstLine="360"/>
        <w:jc w:val="both"/>
      </w:pPr>
      <w:r>
        <w:rPr>
          <w:rFonts w:ascii="Times New Roman" w:hAnsi="Times New Roman" w:eastAsia="Times New Roman"/>
          <w:b w:val="0"/>
          <w:caps w:val="0"/>
          <w:sz w:val="24"/>
        </w:rPr>
        <w:t>E treta vjen nga vetë mospërputhjet. Nga 295 raste që rishikuesit i quajtën Blob dhe strategjia nuk i ndezi, 208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Long Method, pak te Blob dhe Data Class, e uli te Feature Envy,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 (2018) e trajton atë si hap përgatitor, jo si ilaç. Extract Method e ka të njëjtin cen në shkallë më të vogël, përmes listës së gjatë të parametrave që lë pas, dhe Introduce Parameter Object, ashtu si e zbaton motori, e heq erën nga matja pa e hequr nga kodi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dhe Lewowski (2023), të cilët trajnuan tetë algoritme mbi të njëjtin dataset MLCQ, me metrikat e PMD-së dhe të CODEBEAT-it si veçori. Konfigurimi i tyre DS1 e quan pozitive një mostër kur mesorja e ashpërsive të saj është mbi «none»; ky punim përdor mesataren e rrumbullakosur (Nënkapitulli 4.3), dhe të dy kriteret japin të njëjtën etiketë kur mostra ka një ose dy rishikime. Tabela vë përballë MCC-në e të dy qasjeve këtu me mesoren më të mirë të MCC-së që raportojnë ata (Tabela 27).</w:t>
      </w:r>
    </w:p>
    <w:p>
      <w:pPr>
        <w:keepNext/>
        <w:spacing w:line="240" w:lineRule="auto"/>
        <w:jc w:val="center"/>
      </w:pPr>
      <w:r>
        <w:rPr>
          <w:rFonts w:ascii="Times New Roman" w:hAnsi="Times New Roman" w:eastAsia="Times New Roman"/>
          <w:b w:val="0"/>
          <w:caps w:val="0"/>
          <w:sz w:val="22"/>
        </w:rPr>
        <w:t>Tabela 27. Krahasimi i MCC-së me Madeyski dhe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0.336</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0.367</w:t>
            </w:r>
          </w:p>
        </w:tc>
        <w:tc>
          <w:tcPr>
            <w:tcW w:type="dxa" w:w="2209"/>
          </w:tcPr>
          <w:p>
            <w:pPr>
              <w:spacing w:line="240" w:lineRule="auto"/>
              <w:jc w:val="left"/>
            </w:pPr>
            <w:r>
              <w:rPr>
                <w:rFonts w:ascii="Times New Roman" w:hAnsi="Times New Roman" w:eastAsia="Times New Roman"/>
                <w:b w:val="0"/>
                <w:caps w:val="0"/>
                <w:sz w:val="22"/>
              </w:rPr>
              <w:t>0.473</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0.243</w:t>
            </w:r>
          </w:p>
        </w:tc>
        <w:tc>
          <w:tcPr>
            <w:tcW w:type="dxa" w:w="2209"/>
          </w:tcPr>
          <w:p>
            <w:pPr>
              <w:spacing w:line="240" w:lineRule="auto"/>
              <w:jc w:val="left"/>
            </w:pPr>
            <w:r>
              <w:rPr>
                <w:rFonts w:ascii="Times New Roman" w:hAnsi="Times New Roman" w:eastAsia="Times New Roman"/>
                <w:b w:val="0"/>
                <w:caps w:val="0"/>
                <w:sz w:val="22"/>
              </w:rPr>
              <w:t>0.321</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0.617</w:t>
            </w:r>
          </w:p>
        </w:tc>
        <w:tc>
          <w:tcPr>
            <w:tcW w:type="dxa" w:w="2209"/>
          </w:tcPr>
          <w:p>
            <w:pPr>
              <w:spacing w:line="240" w:lineRule="auto"/>
              <w:jc w:val="left"/>
            </w:pPr>
            <w:r>
              <w:rPr>
                <w:rFonts w:ascii="Times New Roman" w:hAnsi="Times New Roman" w:eastAsia="Times New Roman"/>
                <w:b w:val="0"/>
                <w:caps w:val="0"/>
                <w:sz w:val="22"/>
              </w:rPr>
              <w:t>0.723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Data Class dhe Long Method modelet e këtij punimi dalin nën ato të tyre; te Blob dalin mbi to; te Feature Envy janë në të njëjtin nivel. Dallimi i validimit e bën të pritshme që shifrat këtu të mos jenë më të larta: ata e ndajnë bashkësinë me validim të kryqëzuar me pesë folde, të shtresuar sipas klasës por jo të grupuar sipas projektit, ndaj e njëjta depo mund ta ushqejë trajnimin dhe të vlerësohet në të njëjtën kohë, që është rrjedhja që ky punim e shmang me GroupKFold. Ata raportojnë edhe mesoren e 120 ekzekutimeve me hiperparametra të optimizuar për MCC, ndërsa këtu modelet kanë parametra të fiksuar dhe një ekzekutim të vetëm jashtë fold-it. Me një ndarje më të rreptë dhe pa optimizim të hiperparametrave,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dy punimet arrijnë pothuajse të njëjtën vlerë, 0.32 këtu kundrejt 0.31 atje, dhe për të dy është era me performancën më të ulët. Kjo ndodh edhe pse veçoritë ndryshojnë: ky punim mat për çdo metodë ATFD, LAA, FDP dhe rreshtat efektivë, ndërsa ata përdorin metrika të mjeteve të përgjithshme. Shpjegimi më i mundshëm nuk janë pra veçoritë, por etiketa: dy rishikues të së njëjtës metodë pajtohen për Feature Envy me MCC -0.07, pra jo më shumë se rastësia (Nënkapitulli 5.7).</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0.35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dhe Lassenius (2006) gjetën se vlerësimi i erërave nga zhvilluesit është subjektiv, dhe ky punim e mat këtë mbi MLCQ. Dy rishikues të së njëjtës mostër pajtohen me MCC 0.31 deri në 0.57 te Blob, Data Class dhe Long Method, një pajtim i moderuar, ndërsa te Feature Envy pajtimi është -0.07, pra jo më i mirë se rastësia. Etiketa e agreguar është mesatare e disa gjykimeve dhe e zbut zhurmën e secilit, ndaj një model mund të pajtohet me të më shumë sesa pajtohen dy rishikues mes tyre, siç ndodh te Blob, Data Class, Feature Envy dhe Long Method. Kjo nuk e bën modelin më të mirë se njeriun, por tregon se shifrat e fushës duhen lexuar kundrejt këtij pajtimi, dhe se një erë mbi të cilën vetë rishikuesit nuk pajtohen nuk mund të detektohet mirë nga asnjë qasje.</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dhe Marinescu (2006) ruajnë precizion të lartë mbi MLCQ, por humbin shumicën e rasteve. PMD-ja, që zbaton të njëjtat strategji me pragjet e veta, nuk del përpara në asnjë krahasim kur merret parasysh intervali i besimit (Nënkapitulli 5.6), ndaj recall-i i ulët nuk është defekt i zbatimit tonë. Te refaktorimi, motori ndjek parimin e Opdyke (1992): transformimi aplikohet vetëm kur parakushtet provohen. Tsantalis dhe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28).</w:t>
      </w:r>
    </w:p>
    <w:p>
      <w:pPr>
        <w:keepNext/>
        <w:spacing w:line="240" w:lineRule="auto"/>
        <w:jc w:val="center"/>
      </w:pPr>
      <w:r>
        <w:rPr>
          <w:rFonts w:ascii="Times New Roman" w:hAnsi="Times New Roman" w:eastAsia="Times New Roman"/>
          <w:b w:val="0"/>
          <w:caps w:val="0"/>
          <w:sz w:val="22"/>
        </w:rPr>
        <w:t>Tabela 28.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dhe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0.41–0.89, recall 0.17–0.47</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0.35–0.76</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0.35–0.76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dhe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0.32–0.72; 0.32 te Feature Envy</w:t>
            </w:r>
          </w:p>
        </w:tc>
        <w:tc>
          <w:tcPr>
            <w:tcW w:type="dxa" w:w="2209"/>
          </w:tcPr>
          <w:p>
            <w:pPr>
              <w:spacing w:line="240" w:lineRule="auto"/>
              <w:jc w:val="left"/>
            </w:pPr>
            <w:r>
              <w:rPr>
                <w:rFonts w:ascii="Times New Roman" w:hAnsi="Times New Roman" w:eastAsia="Times New Roman"/>
                <w:b w:val="0"/>
                <w:caps w:val="0"/>
                <w:sz w:val="22"/>
              </w:rPr>
              <w:t>i njëjti brez</w:t>
            </w:r>
          </w:p>
        </w:tc>
      </w:tr>
      <w:tr>
        <w:tc>
          <w:tcPr>
            <w:tcW w:type="dxa" w:w="2209"/>
          </w:tcPr>
          <w:p>
            <w:pPr>
              <w:spacing w:line="240" w:lineRule="auto"/>
              <w:jc w:val="left"/>
            </w:pPr>
            <w:r>
              <w:rPr>
                <w:rFonts w:ascii="Times New Roman" w:hAnsi="Times New Roman" w:eastAsia="Times New Roman"/>
                <w:b w:val="0"/>
                <w:caps w:val="0"/>
                <w:sz w:val="22"/>
              </w:rPr>
              <w:t>Mäntylä dhe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-0.07–0.57</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0.243 deri në 0.617, më e larta te Long Method dhe më e ulëta te Feature Envy.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por jo te çdo erë. Sipas vlerës së matur, modeli i mësuar mbi metrikat e sistemit e ngre MCC-në te të katër erërat: brezi kalon nga 0.243–0.617 në 0.321–0.723, dhe intervalet bootstrap sipas depos e vendosin këtë përparësi mbi zero te tri nga katër erërat. Te Feature Envy dallimi nuk ndahet nga zeroja, pra atje përmirësimi nuk provohet. Fitimi vjen kryesisht nga recall-i, që rritet te çdo erë. Kur rregullit i jepet pragu i tij më i mirë nga analiza e ndjeshmërisë, dallimi nuk ndahet më nga zeroja as te Long Method (Nënkapitulli 5.7). Kur modeli sheh vetëm metrikat e strategjisë, fitimi nuk mbetet te çdo erë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Pretendimin për strukturën e ngushton leximi me sy: pas ripeshimit sipas transformimit, një zhvillues do t'i pranonte 62.9% të vendeve të rishkruara, ndërsa nga rishkrimet e Introduce Parameter Object asnjë.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te dy nga tri transformimet,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29):</w:t>
      </w:r>
    </w:p>
    <w:p>
      <w:pPr>
        <w:keepNext/>
        <w:spacing w:line="240" w:lineRule="auto"/>
        <w:jc w:val="center"/>
      </w:pPr>
      <w:r>
        <w:rPr>
          <w:rFonts w:ascii="Times New Roman" w:hAnsi="Times New Roman" w:eastAsia="Times New Roman"/>
          <w:b w:val="0"/>
          <w:caps w:val="0"/>
          <w:sz w:val="22"/>
        </w:rPr>
        <w:t>Tabela 29.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0.243–0.617</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 sipas vlerës së matur; te Feature Envy dallimi nuk ndahet nga zeroja</w:t>
            </w:r>
          </w:p>
        </w:tc>
        <w:tc>
          <w:tcPr>
            <w:tcW w:type="dxa" w:w="2209"/>
          </w:tcPr>
          <w:p>
            <w:pPr>
              <w:spacing w:line="240" w:lineRule="auto"/>
              <w:jc w:val="left"/>
            </w:pPr>
            <w:r>
              <w:rPr>
                <w:rFonts w:ascii="Times New Roman" w:hAnsi="Times New Roman" w:eastAsia="Times New Roman"/>
                <w:b w:val="0"/>
                <w:caps w:val="0"/>
                <w:sz w:val="22"/>
              </w:rPr>
              <w:t>MCC 0.321–0.723</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për strukturën te dy nga tri transformimet;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 62.9% e rishkrimeve të pranueshme</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mes rishikuesve, i moderuar te tri erëra dhe pothuajse i munguar te Feature Envy, i vë gjithashtu një tavan çdo detektori, përtej të cilit gabimi i përket paqartësisë së vetë erës: një erë që vetë njerëzit nuk e dallojnë njësoj nuk mësohet dot nga të dhënat e tyre.</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lihet mjetit për rreth një në katër vende, por si propozim që zhvilluesi e lexon dhe e kalon nëpër testet e projektit, jo si ndryshim i garantuar: mjeti provon parakushtet dhe kompilimin, jo sjelljen, dhe refuzon çdo gjë që nuk e provon.</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Kufizimet kryesore të sistemit dhe të vlerësimit, pasoja e secilit për rezultatet dhe mënyra si u trajtua, janë përmbledhur në tabelë; paragrafët pasues i shtjellojnë (Tabela 30).</w:t>
      </w:r>
    </w:p>
    <w:p>
      <w:pPr>
        <w:keepNext/>
        <w:spacing w:line="240" w:lineRule="auto"/>
        <w:jc w:val="center"/>
      </w:pPr>
      <w:r>
        <w:rPr>
          <w:rFonts w:ascii="Times New Roman" w:hAnsi="Times New Roman" w:eastAsia="Times New Roman"/>
          <w:b w:val="0"/>
          <w:caps w:val="0"/>
          <w:sz w:val="22"/>
        </w:rPr>
        <w:t>Tabela 30. Kufizimet e sistemit dhe pasojat e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Kufizimi</w:t>
            </w:r>
          </w:p>
        </w:tc>
        <w:tc>
          <w:tcPr>
            <w:tcW w:type="dxa" w:w="2946"/>
          </w:tcPr>
          <w:p>
            <w:pPr>
              <w:spacing w:line="240" w:lineRule="auto"/>
              <w:jc w:val="left"/>
            </w:pPr>
            <w:r>
              <w:rPr>
                <w:rFonts w:ascii="Times New Roman" w:hAnsi="Times New Roman" w:eastAsia="Times New Roman"/>
                <w:b/>
                <w:caps w:val="0"/>
                <w:sz w:val="22"/>
              </w:rPr>
              <w:t>Pasoja për rezultatet</w:t>
            </w:r>
          </w:p>
        </w:tc>
        <w:tc>
          <w:tcPr>
            <w:tcW w:type="dxa" w:w="2946"/>
          </w:tcPr>
          <w:p>
            <w:pPr>
              <w:spacing w:line="240" w:lineRule="auto"/>
              <w:jc w:val="left"/>
            </w:pPr>
            <w:r>
              <w:rPr>
                <w:rFonts w:ascii="Times New Roman" w:hAnsi="Times New Roman" w:eastAsia="Times New Roman"/>
                <w:b/>
                <w:caps w:val="0"/>
                <w:sz w:val="22"/>
              </w:rPr>
              <w:t>Si u trajtua</w:t>
            </w:r>
          </w:p>
        </w:tc>
      </w:tr>
      <w:tr>
        <w:tc>
          <w:tcPr>
            <w:tcW w:type="dxa" w:w="2946"/>
          </w:tcPr>
          <w:p>
            <w:pPr>
              <w:spacing w:line="240" w:lineRule="auto"/>
              <w:jc w:val="left"/>
            </w:pPr>
            <w:r>
              <w:rPr>
                <w:rFonts w:ascii="Times New Roman" w:hAnsi="Times New Roman" w:eastAsia="Times New Roman"/>
                <w:b w:val="0"/>
                <w:caps w:val="0"/>
                <w:sz w:val="22"/>
              </w:rPr>
              <w:t>Analizë sintaksore, pa zgjidhje simbolesh</w:t>
            </w:r>
          </w:p>
        </w:tc>
        <w:tc>
          <w:tcPr>
            <w:tcW w:type="dxa" w:w="2946"/>
          </w:tcPr>
          <w:p>
            <w:pPr>
              <w:spacing w:line="240" w:lineRule="auto"/>
              <w:jc w:val="left"/>
            </w:pPr>
            <w:r>
              <w:rPr>
                <w:rFonts w:ascii="Times New Roman" w:hAnsi="Times New Roman" w:eastAsia="Times New Roman"/>
                <w:b w:val="0"/>
                <w:caps w:val="0"/>
                <w:sz w:val="22"/>
              </w:rPr>
              <w:t>Automatizohen vetëm tri transformime; ATFD-ja matet në mënyrë konservative</w:t>
            </w:r>
          </w:p>
        </w:tc>
        <w:tc>
          <w:tcPr>
            <w:tcW w:type="dxa" w:w="2946"/>
          </w:tcPr>
          <w:p>
            <w:pPr>
              <w:spacing w:line="240" w:lineRule="auto"/>
              <w:jc w:val="left"/>
            </w:pPr>
            <w:r>
              <w:rPr>
                <w:rFonts w:ascii="Times New Roman" w:hAnsi="Times New Roman" w:eastAsia="Times New Roman"/>
                <w:b w:val="0"/>
                <w:caps w:val="0"/>
                <w:sz w:val="22"/>
              </w:rPr>
              <w:t>Transformimi refuzohet kur parakushti nuk provohet (3.4, 4.4)</w:t>
            </w:r>
          </w:p>
        </w:tc>
      </w:tr>
      <w:tr>
        <w:tc>
          <w:tcPr>
            <w:tcW w:type="dxa" w:w="2946"/>
          </w:tcPr>
          <w:p>
            <w:pPr>
              <w:spacing w:line="240" w:lineRule="auto"/>
              <w:jc w:val="left"/>
            </w:pPr>
            <w:r>
              <w:rPr>
                <w:rFonts w:ascii="Times New Roman" w:hAnsi="Times New Roman" w:eastAsia="Times New Roman"/>
                <w:b w:val="0"/>
                <w:caps w:val="0"/>
                <w:sz w:val="22"/>
              </w:rPr>
              <w:t>Verifikim vetëm me kompilator, shpesh i skedarit të izoluar</w:t>
            </w:r>
          </w:p>
        </w:tc>
        <w:tc>
          <w:tcPr>
            <w:tcW w:type="dxa" w:w="2946"/>
          </w:tcPr>
          <w:p>
            <w:pPr>
              <w:spacing w:line="240" w:lineRule="auto"/>
              <w:jc w:val="left"/>
            </w:pPr>
            <w:r>
              <w:rPr>
                <w:rFonts w:ascii="Times New Roman" w:hAnsi="Times New Roman" w:eastAsia="Times New Roman"/>
                <w:b w:val="0"/>
                <w:caps w:val="0"/>
                <w:sz w:val="22"/>
              </w:rPr>
              <w:t>«Pa lloj të ri gabimi» nuk është garanci; sjellja e programit nuk u mat</w:t>
            </w:r>
          </w:p>
        </w:tc>
        <w:tc>
          <w:tcPr>
            <w:tcW w:type="dxa" w:w="2946"/>
          </w:tcPr>
          <w:p>
            <w:pPr>
              <w:spacing w:line="240" w:lineRule="auto"/>
              <w:jc w:val="left"/>
            </w:pPr>
            <w:r>
              <w:rPr>
                <w:rFonts w:ascii="Times New Roman" w:hAnsi="Times New Roman" w:eastAsia="Times New Roman"/>
                <w:b w:val="0"/>
                <w:caps w:val="0"/>
                <w:sz w:val="22"/>
              </w:rPr>
              <w:t>Mostër e kompiluar brenda projektit dhe 60 rishkrime të lexuara (5.4)</w:t>
            </w:r>
          </w:p>
        </w:tc>
      </w:tr>
      <w:tr>
        <w:tc>
          <w:tcPr>
            <w:tcW w:type="dxa" w:w="2946"/>
          </w:tcPr>
          <w:p>
            <w:pPr>
              <w:spacing w:line="240" w:lineRule="auto"/>
              <w:jc w:val="left"/>
            </w:pPr>
            <w:r>
              <w:rPr>
                <w:rFonts w:ascii="Times New Roman" w:hAnsi="Times New Roman" w:eastAsia="Times New Roman"/>
                <w:b w:val="0"/>
                <w:caps w:val="0"/>
                <w:sz w:val="22"/>
              </w:rPr>
              <w:t>Rishkrime që shtojnë gabim kompilimi</w:t>
            </w:r>
          </w:p>
        </w:tc>
        <w:tc>
          <w:tcPr>
            <w:tcW w:type="dxa" w:w="2946"/>
          </w:tcPr>
          <w:p>
            <w:pPr>
              <w:spacing w:line="240" w:lineRule="auto"/>
              <w:jc w:val="left"/>
            </w:pPr>
            <w:r>
              <w:rPr>
                <w:rFonts w:ascii="Times New Roman" w:hAnsi="Times New Roman" w:eastAsia="Times New Roman"/>
                <w:b w:val="0"/>
                <w:caps w:val="0"/>
                <w:sz w:val="22"/>
              </w:rPr>
              <w:t>58 rishkrime (1.6%); disa të tjera e kalojnë verifikimin pa qenë të sakta</w:t>
            </w:r>
          </w:p>
        </w:tc>
        <w:tc>
          <w:tcPr>
            <w:tcW w:type="dxa" w:w="2946"/>
          </w:tcPr>
          <w:p>
            <w:pPr>
              <w:spacing w:line="240" w:lineRule="auto"/>
              <w:jc w:val="left"/>
            </w:pPr>
            <w:r>
              <w:rPr>
                <w:rFonts w:ascii="Times New Roman" w:hAnsi="Times New Roman" w:eastAsia="Times New Roman"/>
                <w:b w:val="0"/>
                <w:caps w:val="0"/>
                <w:sz w:val="22"/>
              </w:rPr>
              <w:t>Nuk hyjnë në patch; numërohen dhe raportohen veç (5.4, 6.6)</w:t>
            </w:r>
          </w:p>
        </w:tc>
      </w:tr>
      <w:tr>
        <w:tc>
          <w:tcPr>
            <w:tcW w:type="dxa" w:w="2946"/>
          </w:tcPr>
          <w:p>
            <w:pPr>
              <w:spacing w:line="240" w:lineRule="auto"/>
              <w:jc w:val="left"/>
            </w:pPr>
            <w:r>
              <w:rPr>
                <w:rFonts w:ascii="Times New Roman" w:hAnsi="Times New Roman" w:eastAsia="Times New Roman"/>
                <w:b w:val="0"/>
                <w:caps w:val="0"/>
                <w:sz w:val="22"/>
              </w:rPr>
              <w:t>Cilësia e rishkrimeve e gjykuar nga një rishikues i vetëm</w:t>
            </w:r>
          </w:p>
        </w:tc>
        <w:tc>
          <w:tcPr>
            <w:tcW w:type="dxa" w:w="2946"/>
          </w:tcPr>
          <w:p>
            <w:pPr>
              <w:spacing w:line="240" w:lineRule="auto"/>
              <w:jc w:val="left"/>
            </w:pPr>
            <w:r>
              <w:rPr>
                <w:rFonts w:ascii="Times New Roman" w:hAnsi="Times New Roman" w:eastAsia="Times New Roman"/>
                <w:b w:val="0"/>
                <w:caps w:val="0"/>
                <w:sz w:val="22"/>
              </w:rPr>
              <w:t>Nuk ka pajtim mes rishikuesish për këtë gjykim</w:t>
            </w:r>
          </w:p>
        </w:tc>
        <w:tc>
          <w:tcPr>
            <w:tcW w:type="dxa" w:w="2946"/>
          </w:tcPr>
          <w:p>
            <w:pPr>
              <w:spacing w:line="240" w:lineRule="auto"/>
              <w:jc w:val="left"/>
            </w:pPr>
            <w:r>
              <w:rPr>
                <w:rFonts w:ascii="Times New Roman" w:hAnsi="Times New Roman" w:eastAsia="Times New Roman"/>
                <w:b w:val="0"/>
                <w:caps w:val="0"/>
                <w:sz w:val="22"/>
              </w:rPr>
              <w:t>Rubrikë e fiksuar, mostër e shtresuar, intervale Wilson (4.7)</w:t>
            </w:r>
          </w:p>
        </w:tc>
      </w:tr>
      <w:tr>
        <w:tc>
          <w:tcPr>
            <w:tcW w:type="dxa" w:w="2946"/>
          </w:tcPr>
          <w:p>
            <w:pPr>
              <w:spacing w:line="240" w:lineRule="auto"/>
              <w:jc w:val="left"/>
            </w:pPr>
            <w:r>
              <w:rPr>
                <w:rFonts w:ascii="Times New Roman" w:hAnsi="Times New Roman" w:eastAsia="Times New Roman"/>
                <w:b w:val="0"/>
                <w:caps w:val="0"/>
                <w:sz w:val="22"/>
              </w:rPr>
              <w:t>Një dataset i vetëm, katër erëra, gjykime njerëzore</w:t>
            </w:r>
          </w:p>
        </w:tc>
        <w:tc>
          <w:tcPr>
            <w:tcW w:type="dxa" w:w="2946"/>
          </w:tcPr>
          <w:p>
            <w:pPr>
              <w:spacing w:line="240" w:lineRule="auto"/>
              <w:jc w:val="left"/>
            </w:pPr>
            <w:r>
              <w:rPr>
                <w:rFonts w:ascii="Times New Roman" w:hAnsi="Times New Roman" w:eastAsia="Times New Roman"/>
                <w:b w:val="0"/>
                <w:caps w:val="0"/>
                <w:sz w:val="22"/>
              </w:rPr>
              <w:t>Tre detektorë nuk kanë të vërtetë bazë; etiketa varet nga agregimi</w:t>
            </w:r>
          </w:p>
        </w:tc>
        <w:tc>
          <w:tcPr>
            <w:tcW w:type="dxa" w:w="2946"/>
          </w:tcPr>
          <w:p>
            <w:pPr>
              <w:spacing w:line="240" w:lineRule="auto"/>
              <w:jc w:val="left"/>
            </w:pPr>
            <w:r>
              <w:rPr>
                <w:rFonts w:ascii="Times New Roman" w:hAnsi="Times New Roman" w:eastAsia="Times New Roman"/>
                <w:b w:val="0"/>
                <w:caps w:val="0"/>
                <w:sz w:val="22"/>
              </w:rPr>
              <w:t>Agregimet alternative dhe pajtimi mes rishikuesve raportohen (4.3, 5.7)</w:t>
            </w:r>
          </w:p>
        </w:tc>
      </w:tr>
      <w:tr>
        <w:tc>
          <w:tcPr>
            <w:tcW w:type="dxa" w:w="2946"/>
          </w:tcPr>
          <w:p>
            <w:pPr>
              <w:spacing w:line="240" w:lineRule="auto"/>
              <w:jc w:val="left"/>
            </w:pPr>
            <w:r>
              <w:rPr>
                <w:rFonts w:ascii="Times New Roman" w:hAnsi="Times New Roman" w:eastAsia="Times New Roman"/>
                <w:b w:val="0"/>
                <w:caps w:val="0"/>
                <w:sz w:val="22"/>
              </w:rPr>
              <w:t>Depo që nuk gjenden më</w:t>
            </w:r>
          </w:p>
        </w:tc>
        <w:tc>
          <w:tcPr>
            <w:tcW w:type="dxa" w:w="2946"/>
          </w:tcPr>
          <w:p>
            <w:pPr>
              <w:spacing w:line="240" w:lineRule="auto"/>
              <w:jc w:val="left"/>
            </w:pPr>
            <w:r>
              <w:rPr>
                <w:rFonts w:ascii="Times New Roman" w:hAnsi="Times New Roman" w:eastAsia="Times New Roman"/>
                <w:b w:val="0"/>
                <w:caps w:val="0"/>
                <w:sz w:val="22"/>
              </w:rPr>
              <w:t>Një pjesë e mostrave mungon nga vlerësimi</w:t>
            </w:r>
          </w:p>
        </w:tc>
        <w:tc>
          <w:tcPr>
            <w:tcW w:type="dxa" w:w="2946"/>
          </w:tcPr>
          <w:p>
            <w:pPr>
              <w:spacing w:line="240" w:lineRule="auto"/>
              <w:jc w:val="left"/>
            </w:pPr>
            <w:r>
              <w:rPr>
                <w:rFonts w:ascii="Times New Roman" w:hAnsi="Times New Roman" w:eastAsia="Times New Roman"/>
                <w:b w:val="0"/>
                <w:caps w:val="0"/>
                <w:sz w:val="22"/>
              </w:rPr>
              <w:t>Numërohen me shkakun në hyrje të Kapitullit 5</w:t>
            </w:r>
          </w:p>
        </w:tc>
      </w:tr>
      <w:tr>
        <w:tc>
          <w:tcPr>
            <w:tcW w:type="dxa" w:w="2946"/>
          </w:tcPr>
          <w:p>
            <w:pPr>
              <w:spacing w:line="240" w:lineRule="auto"/>
              <w:jc w:val="left"/>
            </w:pPr>
            <w:r>
              <w:rPr>
                <w:rFonts w:ascii="Times New Roman" w:hAnsi="Times New Roman" w:eastAsia="Times New Roman"/>
                <w:b w:val="0"/>
                <w:caps w:val="0"/>
                <w:sz w:val="22"/>
              </w:rPr>
              <w:t>Ashpërsia derivohet nga teprica mbi pragje</w:t>
            </w:r>
          </w:p>
        </w:tc>
        <w:tc>
          <w:tcPr>
            <w:tcW w:type="dxa" w:w="2946"/>
          </w:tcPr>
          <w:p>
            <w:pPr>
              <w:spacing w:line="240" w:lineRule="auto"/>
              <w:jc w:val="left"/>
            </w:pPr>
            <w:r>
              <w:rPr>
                <w:rFonts w:ascii="Times New Roman" w:hAnsi="Times New Roman" w:eastAsia="Times New Roman"/>
                <w:b w:val="0"/>
                <w:caps w:val="0"/>
                <w:sz w:val="22"/>
              </w:rPr>
              <w:t>Nuk përkon me ashpërsinë e rishikuesve</w:t>
            </w:r>
          </w:p>
        </w:tc>
        <w:tc>
          <w:tcPr>
            <w:tcW w:type="dxa" w:w="2946"/>
          </w:tcPr>
          <w:p>
            <w:pPr>
              <w:spacing w:line="240" w:lineRule="auto"/>
              <w:jc w:val="left"/>
            </w:pPr>
            <w:r>
              <w:rPr>
                <w:rFonts w:ascii="Times New Roman" w:hAnsi="Times New Roman" w:eastAsia="Times New Roman"/>
                <w:b w:val="0"/>
                <w:caps w:val="0"/>
                <w:sz w:val="22"/>
              </w:rPr>
              <w:t>Përdoret vetëm si renditje brenda mjetit (Shtojca 8.7)</w:t>
            </w:r>
          </w:p>
        </w:tc>
      </w:tr>
      <w:tr>
        <w:tc>
          <w:tcPr>
            <w:tcW w:type="dxa" w:w="2946"/>
          </w:tcPr>
          <w:p>
            <w:pPr>
              <w:spacing w:line="240" w:lineRule="auto"/>
              <w:jc w:val="left"/>
            </w:pPr>
            <w:r>
              <w:rPr>
                <w:rFonts w:ascii="Times New Roman" w:hAnsi="Times New Roman" w:eastAsia="Times New Roman"/>
                <w:b w:val="0"/>
                <w:caps w:val="0"/>
                <w:sz w:val="22"/>
              </w:rPr>
              <w:t>Algoritmi më i mirë zgjidhet mbi të njëjtat parashikime</w:t>
            </w:r>
          </w:p>
        </w:tc>
        <w:tc>
          <w:tcPr>
            <w:tcW w:type="dxa" w:w="2946"/>
          </w:tcPr>
          <w:p>
            <w:pPr>
              <w:spacing w:line="240" w:lineRule="auto"/>
              <w:jc w:val="left"/>
            </w:pPr>
            <w:r>
              <w:rPr>
                <w:rFonts w:ascii="Times New Roman" w:hAnsi="Times New Roman" w:eastAsia="Times New Roman"/>
                <w:b w:val="0"/>
                <w:caps w:val="0"/>
                <w:sz w:val="22"/>
              </w:rPr>
              <w:t>MCC-ja e Qasjes B anon lehtë lart</w:t>
            </w:r>
          </w:p>
        </w:tc>
        <w:tc>
          <w:tcPr>
            <w:tcW w:type="dxa" w:w="2946"/>
          </w:tcPr>
          <w:p>
            <w:pPr>
              <w:spacing w:line="240" w:lineRule="auto"/>
              <w:jc w:val="left"/>
            </w:pPr>
            <w:r>
              <w:rPr>
                <w:rFonts w:ascii="Times New Roman" w:hAnsi="Times New Roman" w:eastAsia="Times New Roman"/>
                <w:b w:val="0"/>
                <w:caps w:val="0"/>
                <w:sz w:val="22"/>
              </w:rPr>
              <w:t>Jepen të gjithë algoritmet; edhe më i dobëti e kalon rregullin te tri nga katër erërat (5.2, 6.6)</w:t>
            </w:r>
          </w:p>
        </w:tc>
      </w:tr>
      <w:tr>
        <w:tc>
          <w:tcPr>
            <w:tcW w:type="dxa" w:w="2946"/>
          </w:tcPr>
          <w:p>
            <w:pPr>
              <w:spacing w:line="240" w:lineRule="auto"/>
              <w:jc w:val="left"/>
            </w:pPr>
            <w:r>
              <w:rPr>
                <w:rFonts w:ascii="Times New Roman" w:hAnsi="Times New Roman" w:eastAsia="Times New Roman"/>
                <w:b w:val="0"/>
                <w:caps w:val="0"/>
                <w:sz w:val="22"/>
              </w:rPr>
              <w:t>Modele pa optimizim hiperparametrash, me një farë</w:t>
            </w:r>
          </w:p>
        </w:tc>
        <w:tc>
          <w:tcPr>
            <w:tcW w:type="dxa" w:w="2946"/>
          </w:tcPr>
          <w:p>
            <w:pPr>
              <w:spacing w:line="240" w:lineRule="auto"/>
              <w:jc w:val="left"/>
            </w:pPr>
            <w:r>
              <w:rPr>
                <w:rFonts w:ascii="Times New Roman" w:hAnsi="Times New Roman" w:eastAsia="Times New Roman"/>
                <w:b w:val="0"/>
                <w:caps w:val="0"/>
                <w:sz w:val="22"/>
              </w:rPr>
              <w:t>Pasiguria nga fara nuk matet</w:t>
            </w:r>
          </w:p>
        </w:tc>
        <w:tc>
          <w:tcPr>
            <w:tcW w:type="dxa" w:w="2946"/>
          </w:tcPr>
          <w:p>
            <w:pPr>
              <w:spacing w:line="240" w:lineRule="auto"/>
              <w:jc w:val="left"/>
            </w:pPr>
            <w:r>
              <w:rPr>
                <w:rFonts w:ascii="Times New Roman" w:hAnsi="Times New Roman" w:eastAsia="Times New Roman"/>
                <w:b w:val="0"/>
                <w:caps w:val="0"/>
                <w:sz w:val="22"/>
              </w:rPr>
              <w:t>Pasiguria nga korpusi matet me bootstrap sipas depos (4.9)</w:t>
            </w:r>
          </w:p>
        </w:tc>
      </w:tr>
      <w:tr>
        <w:tc>
          <w:tcPr>
            <w:tcW w:type="dxa" w:w="2946"/>
          </w:tcPr>
          <w:p>
            <w:pPr>
              <w:spacing w:line="240" w:lineRule="auto"/>
              <w:jc w:val="left"/>
            </w:pPr>
            <w:r>
              <w:rPr>
                <w:rFonts w:ascii="Times New Roman" w:hAnsi="Times New Roman" w:eastAsia="Times New Roman"/>
                <w:b w:val="0"/>
                <w:caps w:val="0"/>
                <w:sz w:val="22"/>
              </w:rPr>
              <w:t>Vetëm Java dhe kod me burim të hapur</w:t>
            </w:r>
          </w:p>
        </w:tc>
        <w:tc>
          <w:tcPr>
            <w:tcW w:type="dxa" w:w="2946"/>
          </w:tcPr>
          <w:p>
            <w:pPr>
              <w:spacing w:line="240" w:lineRule="auto"/>
              <w:jc w:val="left"/>
            </w:pPr>
            <w:r>
              <w:rPr>
                <w:rFonts w:ascii="Times New Roman" w:hAnsi="Times New Roman" w:eastAsia="Times New Roman"/>
                <w:b w:val="0"/>
                <w:caps w:val="0"/>
                <w:sz w:val="22"/>
              </w:rPr>
              <w:t>Transferimi te gjuhë ose kod industrial i mbyllur nuk provohet</w:t>
            </w:r>
          </w:p>
        </w:tc>
        <w:tc>
          <w:tcPr>
            <w:tcW w:type="dxa" w:w="2946"/>
          </w:tcPr>
          <w:p>
            <w:pPr>
              <w:spacing w:line="240" w:lineRule="auto"/>
              <w:jc w:val="left"/>
            </w:pPr>
            <w:r>
              <w:rPr>
                <w:rFonts w:ascii="Times New Roman" w:hAnsi="Times New Roman" w:eastAsia="Times New Roman"/>
                <w:b w:val="0"/>
                <w:caps w:val="0"/>
                <w:sz w:val="22"/>
              </w:rPr>
              <w:t>Deklarohet si kërcënim i vlefshmërisë së jashtme (4.13)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pajtim vetëm të moderuar mes rishikuesve, dhe pothuajse asnjë pajtim te Feature Envy;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Rishkrimet nuk dolën pa gabime, dhe këto raste janë pjesë e rezultatit. 58 nga 3532 rishkrime (1.6%) shtuan një lloj të ri gabimi kompilimi. Në mjet ato nuk hyjnë në patch dhe nuk shkruhen në disk, sepse të dyja e kërkojnë verifikimin, por tregojnë se motori prodhon edhe kod të gabuar, të cilin e ndal vetëm verifikimi. Disa raste të tjera e kalojnë verifikimin dhe prandaj do të hynin në patch. Dy nga 201 rishkrimet e kompiluara brenda projektit shtonin gabim që skedari i izoluar e fshihte. Leximi i 60 rishkrimeve gjeti një rishkrim të Extract Method që nuk kompilon dhe e ndryshon sjelljen, por që toleranca «pa lloj të ri gabimi» e la të kalonte (Nënkapitulli 6.1). Verifikimi i këtij punimi duhet lexuar pra si filtër i fortë, por jo i plotë, për gabimet e kompilimit, dhe aspak si provë e ruajtjes së sjelljes: një rishkrim që kompilon mund ta ndryshojë sjelljen pa e vënë re asnjë nga tri nivelet e kontrollit.</w:t>
      </w:r>
    </w:p>
    <w:p>
      <w:pPr>
        <w:spacing w:line="360" w:lineRule="auto"/>
        <w:ind w:firstLine="360"/>
        <w:jc w:val="both"/>
      </w:pPr>
      <w:r>
        <w:rPr>
          <w:rFonts w:ascii="Times New Roman" w:hAnsi="Times New Roman" w:eastAsia="Times New Roman"/>
          <w:b/>
          <w:caps w:val="0"/>
          <w:sz w:val="24"/>
        </w:rPr>
        <w:t>Zgjedhja e modelit.</w:t>
      </w:r>
      <w:r>
        <w:rPr>
          <w:rFonts w:ascii="Times New Roman" w:hAnsi="Times New Roman" w:eastAsia="Times New Roman"/>
          <w:b w:val="0"/>
          <w:caps w:val="0"/>
          <w:sz w:val="24"/>
        </w:rPr>
        <w:t xml:space="preserve"> Shifrat e Qasjes B janë të algoritmit më të mirë për secilën erë, të zgjedhur mbi të njëjtat parashikime jashtë fold-it mbi të cilat raportohet MCC-ja (Nënkapitulli 4.6). Pa një bashkësi të tretë vetëm për zgjedhjen, kjo e ngre lehtë shifrën e raportuar (Cawley &amp; Talbot, 2010), dhe intervalet bootstrap të Nënkapitullit 5.7 e mbajnë zgjedhjen të fiksuar, ndaj as ato nuk e përfshijnë këtë pasiguri. Sa peshon kjo kufizohet nga tabela e Nënkapitullit 5.2, ku jepen të gjithë algoritmet. Po të ishte caktuar paraprakisht një algoritëm i vetëm, pa e parë rezultatin, shifra nuk do të kishte anim zgjedhjeje, dhe në rastin më të keq, me algoritmin më të dobët, do të dilte 0.023 deri në 0.080 pikë MCC më e ulët. Edhe ky algoritëm e kalon rregullin te tri nga katër erërat; te Feature Envy regresioni logjistik (0.241) bie në nivelin e rregullit (0.243), erë ku dallimi nuk ndahej nga zeroja as me algoritmin më të mirë. Përfundimi i PK2 nuk varet pra nga cili algoritëm u zgjodh, ndërsa madhësia e fitimit duhet lexuar si vlerësim lehtësisht optimist.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prandaj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0.899);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Introduce Parameter Object që grupon vetëm parametrat që udhëtojnë bashkë në disa thirrje dhe i jep klasës një emër koncepti, jo emrin e metodës; Extract Method që nuk nxjerr një bllok të vetëm nga blloqe paralele dhe nuk prek kodin e gjeneruar.</w:t>
      </w:r>
    </w:p>
    <w:p>
      <w:pPr>
        <w:pStyle w:val="ListBullet"/>
        <w:spacing w:line="360" w:lineRule="auto"/>
        <w:jc w:val="both"/>
      </w:pPr>
      <w:r>
        <w:rPr>
          <w:rFonts w:ascii="Times New Roman" w:hAnsi="Times New Roman" w:eastAsia="Times New Roman"/>
          <w:b w:val="0"/>
          <w:caps w:val="0"/>
          <w:sz w:val="24"/>
        </w:rPr>
        <w:t>Ndreqja e analizës së daljeve te Extract Method, që një variabël e caktuar vetëm me kusht të hyjë si parametër, dhe kushte rojesh pa mohim të dyfishtë.</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lihet makinës vetëm aty ku ajo i provon parakushtet e veta dhe kompilatori nuk gjen gabim të ri, dhe kjo ndodh më rrallë sesa ndeshen erërat; edhe atëherë, ajo që provohet është kompilimi, jo sjellja.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me kompilator.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spacing w:line="360" w:lineRule="auto"/>
        <w:ind w:firstLine="360"/>
        <w:jc w:val="both"/>
      </w:pPr>
      <w:r>
        <w:rPr>
          <w:rFonts w:ascii="Times New Roman" w:hAnsi="Times New Roman" w:eastAsia="Times New Roman"/>
          <w:b w:val="0"/>
          <w:caps w:val="0"/>
          <w:sz w:val="24"/>
        </w:rPr>
        <w:t>Kufiri i kontributit të dytë duhet thënë po aq qartë sa vetë kontributi. Motori nuk provon ruajtjen e sjelljes; ai provon parakushte sintaksore dhe kompilim. Te 1.6% e vendeve të rishkruara lindi një gabim i ri kompilimi, dhe disa rishkrime të tjera e kaluan kontrollin pa qenë të sakta, ndërsa leximi me sy, i ripeshuar, i gjykoi të pranueshme 62.9% të rishkrimeve. Rishkrimi automatik i këtij punimi është pra propozim i verifikuar me kompilator, që zhvilluesi e rishikon dhe e kalon nëpër testet e veta, dhe jo refaktorim që garanton se programi sillet njësoj.</w:t>
      </w:r>
    </w:p>
    <w:p>
      <w:pPr>
        <w:pStyle w:val="Heading1"/>
        <w:pageBreakBefore/>
      </w:pPr>
      <w:r>
        <w:rPr>
          <w:rFonts w:ascii="Times New Roman" w:hAnsi="Times New Roman" w:eastAsia="Times New Roman"/>
          <w:b/>
          <w:caps/>
          <w:sz w:val="28"/>
        </w:rPr>
        <w:t>7 Referencat</w:t>
      </w:r>
    </w:p>
    <w:p>
      <w:pPr>
        <w:spacing w:line="360" w:lineRule="auto"/>
        <w:ind w:left="720" w:hanging="720"/>
        <w:jc w:val="left"/>
      </w:pPr>
      <w:r>
        <w:rPr>
          <w:rFonts w:ascii="Times New Roman" w:hAnsi="Times New Roman" w:eastAsia="Times New Roman"/>
          <w:b w:val="0"/>
          <w:i w:val="0"/>
          <w:caps w:val="0"/>
          <w:sz w:val="24"/>
        </w:rPr>
        <w:t xml:space="preserve">Arcelli Fontana, F., Mäntylä, M. V., Zanoni, M., &amp; Marino, A. (2016). Comparing and experimenting machine learning techniques for code smell detection. </w:t>
      </w:r>
      <w:r>
        <w:rPr>
          <w:rFonts w:ascii="Times New Roman" w:hAnsi="Times New Roman" w:eastAsia="Times New Roman"/>
          <w:b w:val="0"/>
          <w:i/>
          <w:caps w:val="0"/>
          <w:sz w:val="24"/>
        </w:rPr>
        <w:t>Empirical Software Engineering, 21</w:t>
      </w:r>
      <w:r>
        <w:rPr>
          <w:rFonts w:ascii="Times New Roman" w:hAnsi="Times New Roman" w:eastAsia="Times New Roman"/>
          <w:b w:val="0"/>
          <w:i w:val="0"/>
          <w:caps w:val="0"/>
          <w:sz w:val="24"/>
        </w:rPr>
        <w:t>(3), 1143–1191. https://doi.org/10.1007/s10664-015-9378-4</w:t>
      </w:r>
    </w:p>
    <w:p>
      <w:pPr>
        <w:spacing w:line="360" w:lineRule="auto"/>
        <w:ind w:left="720" w:hanging="720"/>
        <w:jc w:val="left"/>
      </w:pPr>
      <w:r>
        <w:rPr>
          <w:rFonts w:ascii="Times New Roman" w:hAnsi="Times New Roman" w:eastAsia="Times New Roman"/>
          <w:b w:val="0"/>
          <w:i w:val="0"/>
          <w:caps w:val="0"/>
          <w:sz w:val="24"/>
        </w:rPr>
        <w:t xml:space="preserve">Azeem, M. I., Palomba, F., Shi, L., &amp; Wang, Q. (2019). Machine learning techniques for code smell detection: A systematic literature review and meta-analysis. </w:t>
      </w:r>
      <w:r>
        <w:rPr>
          <w:rFonts w:ascii="Times New Roman" w:hAnsi="Times New Roman" w:eastAsia="Times New Roman"/>
          <w:b w:val="0"/>
          <w:i/>
          <w:caps w:val="0"/>
          <w:sz w:val="24"/>
        </w:rPr>
        <w:t>Information and Software Technology, 108</w:t>
      </w:r>
      <w:r>
        <w:rPr>
          <w:rFonts w:ascii="Times New Roman" w:hAnsi="Times New Roman" w:eastAsia="Times New Roman"/>
          <w:b w:val="0"/>
          <w:i w:val="0"/>
          <w:caps w:val="0"/>
          <w:sz w:val="24"/>
        </w:rPr>
        <w:t>, 115–138. https://doi.org/10.1016/j.infsof.2018.12.009</w:t>
      </w:r>
    </w:p>
    <w:p>
      <w:pPr>
        <w:spacing w:line="360" w:lineRule="auto"/>
        <w:ind w:left="720" w:hanging="720"/>
        <w:jc w:val="left"/>
      </w:pPr>
      <w:r>
        <w:rPr>
          <w:rFonts w:ascii="Times New Roman" w:hAnsi="Times New Roman" w:eastAsia="Times New Roman"/>
          <w:b w:val="0"/>
          <w:i w:val="0"/>
          <w:caps w:val="0"/>
          <w:sz w:val="24"/>
        </w:rPr>
        <w:t xml:space="preserve">Bavota, G., De Lucia, A., Di Penta, M., Oliveto, R., &amp; Palomba, F. (2015). An experimental investigation on the innate relationship between quality and refactoring. </w:t>
      </w:r>
      <w:r>
        <w:rPr>
          <w:rFonts w:ascii="Times New Roman" w:hAnsi="Times New Roman" w:eastAsia="Times New Roman"/>
          <w:b w:val="0"/>
          <w:i/>
          <w:caps w:val="0"/>
          <w:sz w:val="24"/>
        </w:rPr>
        <w:t>Journal of Systems and Software, 107</w:t>
      </w:r>
      <w:r>
        <w:rPr>
          <w:rFonts w:ascii="Times New Roman" w:hAnsi="Times New Roman" w:eastAsia="Times New Roman"/>
          <w:b w:val="0"/>
          <w:i w:val="0"/>
          <w:caps w:val="0"/>
          <w:sz w:val="24"/>
        </w:rPr>
        <w:t>, 1–14. https://doi.org/10.1016/j.jss.2015.05.024</w:t>
      </w:r>
    </w:p>
    <w:p>
      <w:pPr>
        <w:spacing w:line="360" w:lineRule="auto"/>
        <w:ind w:left="720" w:hanging="720"/>
        <w:jc w:val="left"/>
      </w:pPr>
      <w:r>
        <w:rPr>
          <w:rFonts w:ascii="Times New Roman" w:hAnsi="Times New Roman" w:eastAsia="Times New Roman"/>
          <w:b w:val="0"/>
          <w:i w:val="0"/>
          <w:caps w:val="0"/>
          <w:sz w:val="24"/>
        </w:rPr>
        <w:t xml:space="preserve">Bieman, J. M., &amp; Kang, B.-K. (1995). Cohesion and reuse in an object-oriented system. Në </w:t>
      </w:r>
      <w:r>
        <w:rPr>
          <w:rFonts w:ascii="Times New Roman" w:hAnsi="Times New Roman" w:eastAsia="Times New Roman"/>
          <w:b w:val="0"/>
          <w:i/>
          <w:caps w:val="0"/>
          <w:sz w:val="24"/>
        </w:rPr>
        <w:t>Proceedings of the 1995 Symposium on Software Reusability (SSR ’95)</w:t>
      </w:r>
      <w:r>
        <w:rPr>
          <w:rFonts w:ascii="Times New Roman" w:hAnsi="Times New Roman" w:eastAsia="Times New Roman"/>
          <w:b w:val="0"/>
          <w:i w:val="0"/>
          <w:caps w:val="0"/>
          <w:sz w:val="24"/>
        </w:rPr>
        <w:t xml:space="preserve"> (f. 259–262). ACM. https://doi.org/10.1145/211782.211856</w:t>
      </w:r>
    </w:p>
    <w:p>
      <w:pPr>
        <w:spacing w:line="360" w:lineRule="auto"/>
        <w:ind w:left="720" w:hanging="720"/>
        <w:jc w:val="left"/>
      </w:pPr>
      <w:r>
        <w:rPr>
          <w:rFonts w:ascii="Times New Roman" w:hAnsi="Times New Roman" w:eastAsia="Times New Roman"/>
          <w:b w:val="0"/>
          <w:i w:val="0"/>
          <w:caps w:val="0"/>
          <w:sz w:val="24"/>
        </w:rPr>
        <w:t xml:space="preserve">Breiman, L. (2001). Random forests. </w:t>
      </w:r>
      <w:r>
        <w:rPr>
          <w:rFonts w:ascii="Times New Roman" w:hAnsi="Times New Roman" w:eastAsia="Times New Roman"/>
          <w:b w:val="0"/>
          <w:i/>
          <w:caps w:val="0"/>
          <w:sz w:val="24"/>
        </w:rPr>
        <w:t>Machine Learning, 45</w:t>
      </w:r>
      <w:r>
        <w:rPr>
          <w:rFonts w:ascii="Times New Roman" w:hAnsi="Times New Roman" w:eastAsia="Times New Roman"/>
          <w:b w:val="0"/>
          <w:i w:val="0"/>
          <w:caps w:val="0"/>
          <w:sz w:val="24"/>
        </w:rPr>
        <w:t>(1), 5–32. https://doi.org/10.1023/A:1010933404324</w:t>
      </w:r>
    </w:p>
    <w:p>
      <w:pPr>
        <w:spacing w:line="360" w:lineRule="auto"/>
        <w:ind w:left="720" w:hanging="720"/>
        <w:jc w:val="left"/>
      </w:pPr>
      <w:r>
        <w:rPr>
          <w:rFonts w:ascii="Times New Roman" w:hAnsi="Times New Roman" w:eastAsia="Times New Roman"/>
          <w:b w:val="0"/>
          <w:i w:val="0"/>
          <w:caps w:val="0"/>
          <w:sz w:val="24"/>
        </w:rPr>
        <w:t xml:space="preserve">Brown, L. D., Cai, T. T., &amp; DasGupta, A. (2001). Interval estimation for a binomial proportion. </w:t>
      </w:r>
      <w:r>
        <w:rPr>
          <w:rFonts w:ascii="Times New Roman" w:hAnsi="Times New Roman" w:eastAsia="Times New Roman"/>
          <w:b w:val="0"/>
          <w:i/>
          <w:caps w:val="0"/>
          <w:sz w:val="24"/>
        </w:rPr>
        <w:t>Statistical Science, 16</w:t>
      </w:r>
      <w:r>
        <w:rPr>
          <w:rFonts w:ascii="Times New Roman" w:hAnsi="Times New Roman" w:eastAsia="Times New Roman"/>
          <w:b w:val="0"/>
          <w:i w:val="0"/>
          <w:caps w:val="0"/>
          <w:sz w:val="24"/>
        </w:rPr>
        <w:t>(2), 101–133. https://doi.org/10.1214/ss/1009213286</w:t>
      </w:r>
    </w:p>
    <w:p>
      <w:pPr>
        <w:spacing w:line="360" w:lineRule="auto"/>
        <w:ind w:left="720" w:hanging="720"/>
        <w:jc w:val="left"/>
      </w:pPr>
      <w:r>
        <w:rPr>
          <w:rFonts w:ascii="Times New Roman" w:hAnsi="Times New Roman" w:eastAsia="Times New Roman"/>
          <w:b w:val="0"/>
          <w:i w:val="0"/>
          <w:caps w:val="0"/>
          <w:sz w:val="24"/>
        </w:rPr>
        <w:t xml:space="preserve">Brunsfeld, M. (2026). </w:t>
      </w:r>
      <w:r>
        <w:rPr>
          <w:rFonts w:ascii="Times New Roman" w:hAnsi="Times New Roman" w:eastAsia="Times New Roman"/>
          <w:b w:val="0"/>
          <w:i/>
          <w:caps w:val="0"/>
          <w:sz w:val="24"/>
        </w:rPr>
        <w:t>Tree-sitter: An incremental parsing system for programming tools</w:t>
      </w:r>
      <w:r>
        <w:rPr>
          <w:rFonts w:ascii="Times New Roman" w:hAnsi="Times New Roman" w:eastAsia="Times New Roman"/>
          <w:b w:val="0"/>
          <w:i w:val="0"/>
          <w:caps w:val="0"/>
          <w:sz w:val="24"/>
        </w:rPr>
        <w:t xml:space="preserve"> (Versioni 0.26) [Softuer]. https://tree-sitter.github.io/tree-sitter/</w:t>
      </w:r>
    </w:p>
    <w:p>
      <w:pPr>
        <w:spacing w:line="360" w:lineRule="auto"/>
        <w:ind w:left="720" w:hanging="720"/>
        <w:jc w:val="left"/>
      </w:pPr>
      <w:r>
        <w:rPr>
          <w:rFonts w:ascii="Times New Roman" w:hAnsi="Times New Roman" w:eastAsia="Times New Roman"/>
          <w:b w:val="0"/>
          <w:i w:val="0"/>
          <w:caps w:val="0"/>
          <w:sz w:val="24"/>
        </w:rPr>
        <w:t xml:space="preserve">Cawley, G. C., &amp; Talbot, N. L. C. (2010). On over-fitting in model selection and subsequent selection bias in performance evaluation. </w:t>
      </w:r>
      <w:r>
        <w:rPr>
          <w:rFonts w:ascii="Times New Roman" w:hAnsi="Times New Roman" w:eastAsia="Times New Roman"/>
          <w:b w:val="0"/>
          <w:i/>
          <w:caps w:val="0"/>
          <w:sz w:val="24"/>
        </w:rPr>
        <w:t>Journal of Machine Learning Research, 11</w:t>
      </w:r>
      <w:r>
        <w:rPr>
          <w:rFonts w:ascii="Times New Roman" w:hAnsi="Times New Roman" w:eastAsia="Times New Roman"/>
          <w:b w:val="0"/>
          <w:i w:val="0"/>
          <w:caps w:val="0"/>
          <w:sz w:val="24"/>
        </w:rPr>
        <w:t>(70), 2079–2107. https://www.jmlr.org/papers/v11/cawley10a.html</w:t>
      </w:r>
    </w:p>
    <w:p>
      <w:pPr>
        <w:spacing w:line="360" w:lineRule="auto"/>
        <w:ind w:left="720" w:hanging="720"/>
        <w:jc w:val="left"/>
      </w:pPr>
      <w:r>
        <w:rPr>
          <w:rFonts w:ascii="Times New Roman" w:hAnsi="Times New Roman" w:eastAsia="Times New Roman"/>
          <w:b w:val="0"/>
          <w:i w:val="0"/>
          <w:caps w:val="0"/>
          <w:sz w:val="24"/>
        </w:rPr>
        <w:t xml:space="preserve">Chicco, D., &amp; Jurman, G. (2020). The advantages of the Matthews correlation coefficient (MCC) over F1 score and accuracy in binary classification evaluation. </w:t>
      </w:r>
      <w:r>
        <w:rPr>
          <w:rFonts w:ascii="Times New Roman" w:hAnsi="Times New Roman" w:eastAsia="Times New Roman"/>
          <w:b w:val="0"/>
          <w:i/>
          <w:caps w:val="0"/>
          <w:sz w:val="24"/>
        </w:rPr>
        <w:t>BMC Genomics, 21</w:t>
      </w:r>
      <w:r>
        <w:rPr>
          <w:rFonts w:ascii="Times New Roman" w:hAnsi="Times New Roman" w:eastAsia="Times New Roman"/>
          <w:b w:val="0"/>
          <w:i w:val="0"/>
          <w:caps w:val="0"/>
          <w:sz w:val="24"/>
        </w:rPr>
        <w:t>(1), Artikulli 6. https://doi.org/10.1186/s12864-019-6413-7</w:t>
      </w:r>
    </w:p>
    <w:p>
      <w:pPr>
        <w:spacing w:line="360" w:lineRule="auto"/>
        <w:ind w:left="720" w:hanging="720"/>
        <w:jc w:val="left"/>
      </w:pPr>
      <w:r>
        <w:rPr>
          <w:rFonts w:ascii="Times New Roman" w:hAnsi="Times New Roman" w:eastAsia="Times New Roman"/>
          <w:b w:val="0"/>
          <w:i w:val="0"/>
          <w:caps w:val="0"/>
          <w:sz w:val="24"/>
        </w:rPr>
        <w:t xml:space="preserve">Chidamber, S. R., &amp; Kemerer, C. F. (1994). A metrics suite for object oriented design. </w:t>
      </w:r>
      <w:r>
        <w:rPr>
          <w:rFonts w:ascii="Times New Roman" w:hAnsi="Times New Roman" w:eastAsia="Times New Roman"/>
          <w:b w:val="0"/>
          <w:i/>
          <w:caps w:val="0"/>
          <w:sz w:val="24"/>
        </w:rPr>
        <w:t>IEEE Transactions on Software Engineering, 20</w:t>
      </w:r>
      <w:r>
        <w:rPr>
          <w:rFonts w:ascii="Times New Roman" w:hAnsi="Times New Roman" w:eastAsia="Times New Roman"/>
          <w:b w:val="0"/>
          <w:i w:val="0"/>
          <w:caps w:val="0"/>
          <w:sz w:val="24"/>
        </w:rPr>
        <w:t>(6), 476–493. https://doi.org/10.1109/32.295895</w:t>
      </w:r>
    </w:p>
    <w:p>
      <w:pPr>
        <w:spacing w:line="360" w:lineRule="auto"/>
        <w:ind w:left="720" w:hanging="720"/>
        <w:jc w:val="left"/>
      </w:pPr>
      <w:r>
        <w:rPr>
          <w:rFonts w:ascii="Times New Roman" w:hAnsi="Times New Roman" w:eastAsia="Times New Roman"/>
          <w:b w:val="0"/>
          <w:i w:val="0"/>
          <w:caps w:val="0"/>
          <w:sz w:val="24"/>
        </w:rPr>
        <w:t xml:space="preserve">Cohen, J. (1960). A coefficient of agreement for nominal scales. </w:t>
      </w:r>
      <w:r>
        <w:rPr>
          <w:rFonts w:ascii="Times New Roman" w:hAnsi="Times New Roman" w:eastAsia="Times New Roman"/>
          <w:b w:val="0"/>
          <w:i/>
          <w:caps w:val="0"/>
          <w:sz w:val="24"/>
        </w:rPr>
        <w:t>Educational and Psychological Measurement, 20</w:t>
      </w:r>
      <w:r>
        <w:rPr>
          <w:rFonts w:ascii="Times New Roman" w:hAnsi="Times New Roman" w:eastAsia="Times New Roman"/>
          <w:b w:val="0"/>
          <w:i w:val="0"/>
          <w:caps w:val="0"/>
          <w:sz w:val="24"/>
        </w:rPr>
        <w:t>(1), 37–46. https://doi.org/10.1177/001316446002000104</w:t>
      </w:r>
    </w:p>
    <w:p>
      <w:pPr>
        <w:spacing w:line="360" w:lineRule="auto"/>
        <w:ind w:left="720" w:hanging="720"/>
        <w:jc w:val="left"/>
      </w:pPr>
      <w:r>
        <w:rPr>
          <w:rFonts w:ascii="Times New Roman" w:hAnsi="Times New Roman" w:eastAsia="Times New Roman"/>
          <w:b w:val="0"/>
          <w:i w:val="0"/>
          <w:caps w:val="0"/>
          <w:sz w:val="24"/>
        </w:rPr>
        <w:t xml:space="preserve">Cunningham, W. (1992). The WyCash portfolio management system. Në </w:t>
      </w:r>
      <w:r>
        <w:rPr>
          <w:rFonts w:ascii="Times New Roman" w:hAnsi="Times New Roman" w:eastAsia="Times New Roman"/>
          <w:b w:val="0"/>
          <w:i/>
          <w:caps w:val="0"/>
          <w:sz w:val="24"/>
        </w:rPr>
        <w:t>Addendum to the Proceedings on Object-Oriented Programming Systems, Languages, and Applications (OOPSLA ’92)</w:t>
      </w:r>
      <w:r>
        <w:rPr>
          <w:rFonts w:ascii="Times New Roman" w:hAnsi="Times New Roman" w:eastAsia="Times New Roman"/>
          <w:b w:val="0"/>
          <w:i w:val="0"/>
          <w:caps w:val="0"/>
          <w:sz w:val="24"/>
        </w:rPr>
        <w:t xml:space="preserve"> (f. 29–30). ACM. https://doi.org/10.1145/157709.157715</w:t>
      </w:r>
    </w:p>
    <w:p>
      <w:pPr>
        <w:spacing w:line="360" w:lineRule="auto"/>
        <w:ind w:left="720" w:hanging="720"/>
        <w:jc w:val="left"/>
      </w:pPr>
      <w:r>
        <w:rPr>
          <w:rFonts w:ascii="Times New Roman" w:hAnsi="Times New Roman" w:eastAsia="Times New Roman"/>
          <w:b w:val="0"/>
          <w:i w:val="0"/>
          <w:caps w:val="0"/>
          <w:sz w:val="24"/>
        </w:rPr>
        <w:t xml:space="preserve">Di Nucci, D., Palomba, F., Tamburri, D. A., Serebrenik, A., &amp; De Lucia, A. (2018). Detecting code smells using machine learning techniques: Are we there yet? Në </w:t>
      </w:r>
      <w:r>
        <w:rPr>
          <w:rFonts w:ascii="Times New Roman" w:hAnsi="Times New Roman" w:eastAsia="Times New Roman"/>
          <w:b w:val="0"/>
          <w:i/>
          <w:caps w:val="0"/>
          <w:sz w:val="24"/>
        </w:rPr>
        <w:t>Proceedings of the 25th IEEE International Conference on Software Analysis, Evolution and Reengineering (SANER ’18)</w:t>
      </w:r>
      <w:r>
        <w:rPr>
          <w:rFonts w:ascii="Times New Roman" w:hAnsi="Times New Roman" w:eastAsia="Times New Roman"/>
          <w:b w:val="0"/>
          <w:i w:val="0"/>
          <w:caps w:val="0"/>
          <w:sz w:val="24"/>
        </w:rPr>
        <w:t xml:space="preserve"> (f. 612–621). IEEE. https://doi.org/10.1109/SANER.2018.8330266</w:t>
      </w:r>
    </w:p>
    <w:p>
      <w:pPr>
        <w:spacing w:line="360" w:lineRule="auto"/>
        <w:ind w:left="720" w:hanging="720"/>
        <w:jc w:val="left"/>
      </w:pPr>
      <w:r>
        <w:rPr>
          <w:rFonts w:ascii="Times New Roman" w:hAnsi="Times New Roman" w:eastAsia="Times New Roman"/>
          <w:b w:val="0"/>
          <w:i w:val="0"/>
          <w:caps w:val="0"/>
          <w:sz w:val="24"/>
        </w:rPr>
        <w:t xml:space="preserve">Efron, B., &amp; Tibshirani, R. J. (1993). </w:t>
      </w:r>
      <w:r>
        <w:rPr>
          <w:rFonts w:ascii="Times New Roman" w:hAnsi="Times New Roman" w:eastAsia="Times New Roman"/>
          <w:b w:val="0"/>
          <w:i/>
          <w:caps w:val="0"/>
          <w:sz w:val="24"/>
        </w:rPr>
        <w:t>An introduction to the bootstrap</w:t>
      </w:r>
      <w:r>
        <w:rPr>
          <w:rFonts w:ascii="Times New Roman" w:hAnsi="Times New Roman" w:eastAsia="Times New Roman"/>
          <w:b w:val="0"/>
          <w:i w:val="0"/>
          <w:caps w:val="0"/>
          <w:sz w:val="24"/>
        </w:rPr>
        <w:t>. Chapman &amp; Hall.</w:t>
      </w:r>
    </w:p>
    <w:p>
      <w:pPr>
        <w:spacing w:line="360" w:lineRule="auto"/>
        <w:ind w:left="720" w:hanging="720"/>
        <w:jc w:val="left"/>
      </w:pPr>
      <w:r>
        <w:rPr>
          <w:rFonts w:ascii="Times New Roman" w:hAnsi="Times New Roman" w:eastAsia="Times New Roman"/>
          <w:b w:val="0"/>
          <w:i w:val="0"/>
          <w:caps w:val="0"/>
          <w:sz w:val="24"/>
        </w:rPr>
        <w:t xml:space="preserve">Fowler, M. (2018). </w:t>
      </w:r>
      <w:r>
        <w:rPr>
          <w:rFonts w:ascii="Times New Roman" w:hAnsi="Times New Roman" w:eastAsia="Times New Roman"/>
          <w:b w:val="0"/>
          <w:i/>
          <w:caps w:val="0"/>
          <w:sz w:val="24"/>
        </w:rPr>
        <w:t>Refactoring: Improving the design of existing code</w:t>
      </w:r>
      <w:r>
        <w:rPr>
          <w:rFonts w:ascii="Times New Roman" w:hAnsi="Times New Roman" w:eastAsia="Times New Roman"/>
          <w:b w:val="0"/>
          <w:i w:val="0"/>
          <w:caps w:val="0"/>
          <w:sz w:val="24"/>
        </w:rPr>
        <w:t xml:space="preserve"> (bot. i 2-të). Addison-Wesley.</w:t>
      </w:r>
    </w:p>
    <w:p>
      <w:pPr>
        <w:spacing w:line="360" w:lineRule="auto"/>
        <w:ind w:left="720" w:hanging="720"/>
        <w:jc w:val="left"/>
      </w:pPr>
      <w:r>
        <w:rPr>
          <w:rFonts w:ascii="Times New Roman" w:hAnsi="Times New Roman" w:eastAsia="Times New Roman"/>
          <w:b w:val="0"/>
          <w:i w:val="0"/>
          <w:caps w:val="0"/>
          <w:sz w:val="24"/>
        </w:rPr>
        <w:t xml:space="preserve">Friedman, J. H. (2001). Greedy function approximation: A gradient boosting machine. </w:t>
      </w:r>
      <w:r>
        <w:rPr>
          <w:rFonts w:ascii="Times New Roman" w:hAnsi="Times New Roman" w:eastAsia="Times New Roman"/>
          <w:b w:val="0"/>
          <w:i/>
          <w:caps w:val="0"/>
          <w:sz w:val="24"/>
        </w:rPr>
        <w:t>The Annals of Statistics, 29</w:t>
      </w:r>
      <w:r>
        <w:rPr>
          <w:rFonts w:ascii="Times New Roman" w:hAnsi="Times New Roman" w:eastAsia="Times New Roman"/>
          <w:b w:val="0"/>
          <w:i w:val="0"/>
          <w:caps w:val="0"/>
          <w:sz w:val="24"/>
        </w:rPr>
        <w:t>(5), 1189–1232. https://doi.org/10.1214/aos/1013203451</w:t>
      </w:r>
    </w:p>
    <w:p>
      <w:pPr>
        <w:spacing w:line="360" w:lineRule="auto"/>
        <w:ind w:left="720" w:hanging="720"/>
        <w:jc w:val="left"/>
      </w:pPr>
      <w:r>
        <w:rPr>
          <w:rFonts w:ascii="Times New Roman" w:hAnsi="Times New Roman" w:eastAsia="Times New Roman"/>
          <w:b w:val="0"/>
          <w:i w:val="0"/>
          <w:caps w:val="0"/>
          <w:sz w:val="24"/>
        </w:rPr>
        <w:t xml:space="preserve">Henderson-Sellers, B. (1996). </w:t>
      </w:r>
      <w:r>
        <w:rPr>
          <w:rFonts w:ascii="Times New Roman" w:hAnsi="Times New Roman" w:eastAsia="Times New Roman"/>
          <w:b w:val="0"/>
          <w:i/>
          <w:caps w:val="0"/>
          <w:sz w:val="24"/>
        </w:rPr>
        <w:t>Object-oriented metrics: Measures of complexity</w:t>
      </w:r>
      <w:r>
        <w:rPr>
          <w:rFonts w:ascii="Times New Roman" w:hAnsi="Times New Roman" w:eastAsia="Times New Roman"/>
          <w:b w:val="0"/>
          <w:i w:val="0"/>
          <w:caps w:val="0"/>
          <w:sz w:val="24"/>
        </w:rPr>
        <w:t>. Prentice Hall.</w:t>
      </w:r>
    </w:p>
    <w:p>
      <w:pPr>
        <w:spacing w:line="360" w:lineRule="auto"/>
        <w:ind w:left="720" w:hanging="720"/>
        <w:jc w:val="left"/>
      </w:pPr>
      <w:r>
        <w:rPr>
          <w:rFonts w:ascii="Times New Roman" w:hAnsi="Times New Roman" w:eastAsia="Times New Roman"/>
          <w:b w:val="0"/>
          <w:i w:val="0"/>
          <w:caps w:val="0"/>
          <w:sz w:val="24"/>
        </w:rPr>
        <w:t xml:space="preserve">Kaufman, S., Rosset, S., Perlich, C., &amp; Stitelman, O. (2012). Leakage in data mining: Formulation, detection, and avoidance. </w:t>
      </w:r>
      <w:r>
        <w:rPr>
          <w:rFonts w:ascii="Times New Roman" w:hAnsi="Times New Roman" w:eastAsia="Times New Roman"/>
          <w:b w:val="0"/>
          <w:i/>
          <w:caps w:val="0"/>
          <w:sz w:val="24"/>
        </w:rPr>
        <w:t>ACM Transactions on Knowledge Discovery from Data, 6</w:t>
      </w:r>
      <w:r>
        <w:rPr>
          <w:rFonts w:ascii="Times New Roman" w:hAnsi="Times New Roman" w:eastAsia="Times New Roman"/>
          <w:b w:val="0"/>
          <w:i w:val="0"/>
          <w:caps w:val="0"/>
          <w:sz w:val="24"/>
        </w:rPr>
        <w:t>(4), Artikulli 15. https://doi.org/10.1145/2382577.2382579</w:t>
      </w:r>
    </w:p>
    <w:p>
      <w:pPr>
        <w:spacing w:line="360" w:lineRule="auto"/>
        <w:ind w:left="720" w:hanging="720"/>
        <w:jc w:val="left"/>
      </w:pPr>
      <w:r>
        <w:rPr>
          <w:rFonts w:ascii="Times New Roman" w:hAnsi="Times New Roman" w:eastAsia="Times New Roman"/>
          <w:b w:val="0"/>
          <w:i w:val="0"/>
          <w:caps w:val="0"/>
          <w:sz w:val="24"/>
        </w:rPr>
        <w:t xml:space="preserve">Khomh, F., Di Penta, M., Guéhéneuc, Y.-G., &amp; Antoniol, G. (2012). An exploratory study of the impact of antipatterns on class change- and fault-proneness. </w:t>
      </w:r>
      <w:r>
        <w:rPr>
          <w:rFonts w:ascii="Times New Roman" w:hAnsi="Times New Roman" w:eastAsia="Times New Roman"/>
          <w:b w:val="0"/>
          <w:i/>
          <w:caps w:val="0"/>
          <w:sz w:val="24"/>
        </w:rPr>
        <w:t>Empirical Software Engineering, 17</w:t>
      </w:r>
      <w:r>
        <w:rPr>
          <w:rFonts w:ascii="Times New Roman" w:hAnsi="Times New Roman" w:eastAsia="Times New Roman"/>
          <w:b w:val="0"/>
          <w:i w:val="0"/>
          <w:caps w:val="0"/>
          <w:sz w:val="24"/>
        </w:rPr>
        <w:t>(3), 243–275. https://doi.org/10.1007/s10664-011-9171-y</w:t>
      </w:r>
    </w:p>
    <w:p>
      <w:pPr>
        <w:spacing w:line="360" w:lineRule="auto"/>
        <w:ind w:left="720" w:hanging="720"/>
        <w:jc w:val="left"/>
      </w:pPr>
      <w:r>
        <w:rPr>
          <w:rFonts w:ascii="Times New Roman" w:hAnsi="Times New Roman" w:eastAsia="Times New Roman"/>
          <w:b w:val="0"/>
          <w:i w:val="0"/>
          <w:caps w:val="0"/>
          <w:sz w:val="24"/>
        </w:rPr>
        <w:t xml:space="preserve">Lanza, M., &amp; Marinescu, R. (2006). </w:t>
      </w:r>
      <w:r>
        <w:rPr>
          <w:rFonts w:ascii="Times New Roman" w:hAnsi="Times New Roman" w:eastAsia="Times New Roman"/>
          <w:b w:val="0"/>
          <w:i/>
          <w:caps w:val="0"/>
          <w:sz w:val="24"/>
        </w:rPr>
        <w:t>Object-oriented metrics in practice: Using software metrics to characterize, evaluate, and improve the design of object-oriented systems</w:t>
      </w:r>
      <w:r>
        <w:rPr>
          <w:rFonts w:ascii="Times New Roman" w:hAnsi="Times New Roman" w:eastAsia="Times New Roman"/>
          <w:b w:val="0"/>
          <w:i w:val="0"/>
          <w:caps w:val="0"/>
          <w:sz w:val="24"/>
        </w:rPr>
        <w:t>. Springer. https://doi.org/10.1007/3-540-39538-5</w:t>
      </w:r>
    </w:p>
    <w:p>
      <w:pPr>
        <w:spacing w:line="360" w:lineRule="auto"/>
        <w:ind w:left="720" w:hanging="720"/>
        <w:jc w:val="left"/>
      </w:pPr>
      <w:r>
        <w:rPr>
          <w:rFonts w:ascii="Times New Roman" w:hAnsi="Times New Roman" w:eastAsia="Times New Roman"/>
          <w:b w:val="0"/>
          <w:i w:val="0"/>
          <w:caps w:val="0"/>
          <w:sz w:val="24"/>
        </w:rPr>
        <w:t xml:space="preserve">Lehman, M. M. (1980). Programs, life cycles, and laws of software evolution. </w:t>
      </w:r>
      <w:r>
        <w:rPr>
          <w:rFonts w:ascii="Times New Roman" w:hAnsi="Times New Roman" w:eastAsia="Times New Roman"/>
          <w:b w:val="0"/>
          <w:i/>
          <w:caps w:val="0"/>
          <w:sz w:val="24"/>
        </w:rPr>
        <w:t>Proceedings of the IEEE, 68</w:t>
      </w:r>
      <w:r>
        <w:rPr>
          <w:rFonts w:ascii="Times New Roman" w:hAnsi="Times New Roman" w:eastAsia="Times New Roman"/>
          <w:b w:val="0"/>
          <w:i w:val="0"/>
          <w:caps w:val="0"/>
          <w:sz w:val="24"/>
        </w:rPr>
        <w:t>(9), 1060–1076. https://doi.org/10.1109/PROC.1980.11805</w:t>
      </w:r>
    </w:p>
    <w:p>
      <w:pPr>
        <w:spacing w:line="360" w:lineRule="auto"/>
        <w:ind w:left="720" w:hanging="720"/>
        <w:jc w:val="left"/>
      </w:pPr>
      <w:r>
        <w:rPr>
          <w:rFonts w:ascii="Times New Roman" w:hAnsi="Times New Roman" w:eastAsia="Times New Roman"/>
          <w:b w:val="0"/>
          <w:i w:val="0"/>
          <w:caps w:val="0"/>
          <w:sz w:val="24"/>
        </w:rPr>
        <w:t xml:space="preserve">Madeyski, L., &amp; Lewowski, T. (2020). MLCQ: Industry-relevant code smell data set. Në </w:t>
      </w:r>
      <w:r>
        <w:rPr>
          <w:rFonts w:ascii="Times New Roman" w:hAnsi="Times New Roman" w:eastAsia="Times New Roman"/>
          <w:b w:val="0"/>
          <w:i/>
          <w:caps w:val="0"/>
          <w:sz w:val="24"/>
        </w:rPr>
        <w:t>Proceedings of the 24th International Conference on Evaluation and Assessment in Software Engineering (EASE ’20)</w:t>
      </w:r>
      <w:r>
        <w:rPr>
          <w:rFonts w:ascii="Times New Roman" w:hAnsi="Times New Roman" w:eastAsia="Times New Roman"/>
          <w:b w:val="0"/>
          <w:i w:val="0"/>
          <w:caps w:val="0"/>
          <w:sz w:val="24"/>
        </w:rPr>
        <w:t xml:space="preserve"> (f. 342–347). ACM. https://doi.org/10.1145/3383219.3383264</w:t>
      </w:r>
    </w:p>
    <w:p>
      <w:pPr>
        <w:spacing w:line="360" w:lineRule="auto"/>
        <w:ind w:left="720" w:hanging="720"/>
        <w:jc w:val="left"/>
      </w:pPr>
      <w:r>
        <w:rPr>
          <w:rFonts w:ascii="Times New Roman" w:hAnsi="Times New Roman" w:eastAsia="Times New Roman"/>
          <w:b w:val="0"/>
          <w:i w:val="0"/>
          <w:caps w:val="0"/>
          <w:sz w:val="24"/>
        </w:rPr>
        <w:t xml:space="preserve">Madeyski, L., &amp; Lewowski, T. (2023). Detecting code smells using industry-relevant data. </w:t>
      </w:r>
      <w:r>
        <w:rPr>
          <w:rFonts w:ascii="Times New Roman" w:hAnsi="Times New Roman" w:eastAsia="Times New Roman"/>
          <w:b w:val="0"/>
          <w:i/>
          <w:caps w:val="0"/>
          <w:sz w:val="24"/>
        </w:rPr>
        <w:t>Information and Software Technology, 155</w:t>
      </w:r>
      <w:r>
        <w:rPr>
          <w:rFonts w:ascii="Times New Roman" w:hAnsi="Times New Roman" w:eastAsia="Times New Roman"/>
          <w:b w:val="0"/>
          <w:i w:val="0"/>
          <w:caps w:val="0"/>
          <w:sz w:val="24"/>
        </w:rPr>
        <w:t>, Artikulli 107112. https://doi.org/10.1016/j.infsof.2022.107112</w:t>
      </w:r>
    </w:p>
    <w:p>
      <w:pPr>
        <w:spacing w:line="360" w:lineRule="auto"/>
        <w:ind w:left="720" w:hanging="720"/>
        <w:jc w:val="left"/>
      </w:pPr>
      <w:r>
        <w:rPr>
          <w:rFonts w:ascii="Times New Roman" w:hAnsi="Times New Roman" w:eastAsia="Times New Roman"/>
          <w:b w:val="0"/>
          <w:i w:val="0"/>
          <w:caps w:val="0"/>
          <w:sz w:val="24"/>
        </w:rPr>
        <w:t xml:space="preserve">Mäntylä, M. V., &amp; Lassenius, C. (2006). Subjective evaluation of software evolvability using code smells: An empirical study. </w:t>
      </w:r>
      <w:r>
        <w:rPr>
          <w:rFonts w:ascii="Times New Roman" w:hAnsi="Times New Roman" w:eastAsia="Times New Roman"/>
          <w:b w:val="0"/>
          <w:i/>
          <w:caps w:val="0"/>
          <w:sz w:val="24"/>
        </w:rPr>
        <w:t>Empirical Software Engineering, 11</w:t>
      </w:r>
      <w:r>
        <w:rPr>
          <w:rFonts w:ascii="Times New Roman" w:hAnsi="Times New Roman" w:eastAsia="Times New Roman"/>
          <w:b w:val="0"/>
          <w:i w:val="0"/>
          <w:caps w:val="0"/>
          <w:sz w:val="24"/>
        </w:rPr>
        <w:t>(3), 395–431. https://doi.org/10.1007/s10664-006-9002-8</w:t>
      </w:r>
    </w:p>
    <w:p>
      <w:pPr>
        <w:spacing w:line="360" w:lineRule="auto"/>
        <w:ind w:left="720" w:hanging="720"/>
        <w:jc w:val="left"/>
      </w:pPr>
      <w:r>
        <w:rPr>
          <w:rFonts w:ascii="Times New Roman" w:hAnsi="Times New Roman" w:eastAsia="Times New Roman"/>
          <w:b w:val="0"/>
          <w:i w:val="0"/>
          <w:caps w:val="0"/>
          <w:sz w:val="24"/>
        </w:rPr>
        <w:t xml:space="preserve">Marinescu, R. (2004). Detection strategies: Metrics-based rules for detecting design flaws. Në </w:t>
      </w:r>
      <w:r>
        <w:rPr>
          <w:rFonts w:ascii="Times New Roman" w:hAnsi="Times New Roman" w:eastAsia="Times New Roman"/>
          <w:b w:val="0"/>
          <w:i/>
          <w:caps w:val="0"/>
          <w:sz w:val="24"/>
        </w:rPr>
        <w:t>Proceedings of the 20th IEEE International Conference on Software Maintenance (ICSM ’04)</w:t>
      </w:r>
      <w:r>
        <w:rPr>
          <w:rFonts w:ascii="Times New Roman" w:hAnsi="Times New Roman" w:eastAsia="Times New Roman"/>
          <w:b w:val="0"/>
          <w:i w:val="0"/>
          <w:caps w:val="0"/>
          <w:sz w:val="24"/>
        </w:rPr>
        <w:t xml:space="preserve"> (f. 350–359). IEEE. https://doi.org/10.1109/ICSM.2004.1357820</w:t>
      </w:r>
    </w:p>
    <w:p>
      <w:pPr>
        <w:spacing w:line="360" w:lineRule="auto"/>
        <w:ind w:left="720" w:hanging="720"/>
        <w:jc w:val="left"/>
      </w:pPr>
      <w:r>
        <w:rPr>
          <w:rFonts w:ascii="Times New Roman" w:hAnsi="Times New Roman" w:eastAsia="Times New Roman"/>
          <w:b w:val="0"/>
          <w:i w:val="0"/>
          <w:caps w:val="0"/>
          <w:sz w:val="24"/>
        </w:rPr>
        <w:t xml:space="preserve">Matthews, B. W. (1975). Comparison of the predicted and observed secondary structure of T4 phage lysozyme. </w:t>
      </w:r>
      <w:r>
        <w:rPr>
          <w:rFonts w:ascii="Times New Roman" w:hAnsi="Times New Roman" w:eastAsia="Times New Roman"/>
          <w:b w:val="0"/>
          <w:i/>
          <w:caps w:val="0"/>
          <w:sz w:val="24"/>
        </w:rPr>
        <w:t>Biochimica et Biophysica Acta (BBA) – Protein Structure, 405</w:t>
      </w:r>
      <w:r>
        <w:rPr>
          <w:rFonts w:ascii="Times New Roman" w:hAnsi="Times New Roman" w:eastAsia="Times New Roman"/>
          <w:b w:val="0"/>
          <w:i w:val="0"/>
          <w:caps w:val="0"/>
          <w:sz w:val="24"/>
        </w:rPr>
        <w:t>(2), 442–451. https://doi.org/10.1016/0005-2795(75)90109-9</w:t>
      </w:r>
    </w:p>
    <w:p>
      <w:pPr>
        <w:spacing w:line="360" w:lineRule="auto"/>
        <w:ind w:left="720" w:hanging="720"/>
        <w:jc w:val="left"/>
      </w:pPr>
      <w:r>
        <w:rPr>
          <w:rFonts w:ascii="Times New Roman" w:hAnsi="Times New Roman" w:eastAsia="Times New Roman"/>
          <w:b w:val="0"/>
          <w:i w:val="0"/>
          <w:caps w:val="0"/>
          <w:sz w:val="24"/>
        </w:rPr>
        <w:t xml:space="preserve">McCabe, T. J. (1976). A complexity measure. </w:t>
      </w:r>
      <w:r>
        <w:rPr>
          <w:rFonts w:ascii="Times New Roman" w:hAnsi="Times New Roman" w:eastAsia="Times New Roman"/>
          <w:b w:val="0"/>
          <w:i/>
          <w:caps w:val="0"/>
          <w:sz w:val="24"/>
        </w:rPr>
        <w:t>IEEE Transactions on Software Engineering, SE-2</w:t>
      </w:r>
      <w:r>
        <w:rPr>
          <w:rFonts w:ascii="Times New Roman" w:hAnsi="Times New Roman" w:eastAsia="Times New Roman"/>
          <w:b w:val="0"/>
          <w:i w:val="0"/>
          <w:caps w:val="0"/>
          <w:sz w:val="24"/>
        </w:rPr>
        <w:t>(4), 308–320. https://doi.org/10.1109/TSE.1976.233837</w:t>
      </w:r>
    </w:p>
    <w:p>
      <w:pPr>
        <w:spacing w:line="360" w:lineRule="auto"/>
        <w:ind w:left="720" w:hanging="720"/>
        <w:jc w:val="left"/>
      </w:pPr>
      <w:r>
        <w:rPr>
          <w:rFonts w:ascii="Times New Roman" w:hAnsi="Times New Roman" w:eastAsia="Times New Roman"/>
          <w:b w:val="0"/>
          <w:i w:val="0"/>
          <w:caps w:val="0"/>
          <w:sz w:val="24"/>
        </w:rPr>
        <w:t xml:space="preserve">Mens, T., &amp; Tourwé, T. (2004). A survey of software refactoring. </w:t>
      </w:r>
      <w:r>
        <w:rPr>
          <w:rFonts w:ascii="Times New Roman" w:hAnsi="Times New Roman" w:eastAsia="Times New Roman"/>
          <w:b w:val="0"/>
          <w:i/>
          <w:caps w:val="0"/>
          <w:sz w:val="24"/>
        </w:rPr>
        <w:t>IEEE Transactions on Software Engineering, 30</w:t>
      </w:r>
      <w:r>
        <w:rPr>
          <w:rFonts w:ascii="Times New Roman" w:hAnsi="Times New Roman" w:eastAsia="Times New Roman"/>
          <w:b w:val="0"/>
          <w:i w:val="0"/>
          <w:caps w:val="0"/>
          <w:sz w:val="24"/>
        </w:rPr>
        <w:t>(2), 126–139. https://doi.org/10.1109/TSE.2004.1265817</w:t>
      </w:r>
    </w:p>
    <w:p>
      <w:pPr>
        <w:spacing w:line="360" w:lineRule="auto"/>
        <w:ind w:left="720" w:hanging="720"/>
        <w:jc w:val="left"/>
      </w:pPr>
      <w:r>
        <w:rPr>
          <w:rFonts w:ascii="Times New Roman" w:hAnsi="Times New Roman" w:eastAsia="Times New Roman"/>
          <w:b w:val="0"/>
          <w:i w:val="0"/>
          <w:caps w:val="0"/>
          <w:sz w:val="24"/>
        </w:rPr>
        <w:t xml:space="preserve">Moha, N., Guéhéneuc, Y.-G., Duchien, L., &amp; Le Meur, A.-F. (2010). DECOR: A method for the specification and detection of code and design smells. </w:t>
      </w:r>
      <w:r>
        <w:rPr>
          <w:rFonts w:ascii="Times New Roman" w:hAnsi="Times New Roman" w:eastAsia="Times New Roman"/>
          <w:b w:val="0"/>
          <w:i/>
          <w:caps w:val="0"/>
          <w:sz w:val="24"/>
        </w:rPr>
        <w:t>IEEE Transactions on Software Engineering, 36</w:t>
      </w:r>
      <w:r>
        <w:rPr>
          <w:rFonts w:ascii="Times New Roman" w:hAnsi="Times New Roman" w:eastAsia="Times New Roman"/>
          <w:b w:val="0"/>
          <w:i w:val="0"/>
          <w:caps w:val="0"/>
          <w:sz w:val="24"/>
        </w:rPr>
        <w:t>(1), 20–36. https://doi.org/10.1109/TSE.2009.50</w:t>
      </w:r>
    </w:p>
    <w:p>
      <w:pPr>
        <w:spacing w:line="360" w:lineRule="auto"/>
        <w:ind w:left="720" w:hanging="720"/>
        <w:jc w:val="left"/>
      </w:pPr>
      <w:r>
        <w:rPr>
          <w:rFonts w:ascii="Times New Roman" w:hAnsi="Times New Roman" w:eastAsia="Times New Roman"/>
          <w:b w:val="0"/>
          <w:i w:val="0"/>
          <w:caps w:val="0"/>
          <w:sz w:val="24"/>
        </w:rPr>
        <w:t xml:space="preserve">Murphy-Hill, E., Parnin, C., &amp; Black, A. P. (2012). How we refactor, and how we know it. </w:t>
      </w:r>
      <w:r>
        <w:rPr>
          <w:rFonts w:ascii="Times New Roman" w:hAnsi="Times New Roman" w:eastAsia="Times New Roman"/>
          <w:b w:val="0"/>
          <w:i/>
          <w:caps w:val="0"/>
          <w:sz w:val="24"/>
        </w:rPr>
        <w:t>IEEE Transactions on Software Engineering, 38</w:t>
      </w:r>
      <w:r>
        <w:rPr>
          <w:rFonts w:ascii="Times New Roman" w:hAnsi="Times New Roman" w:eastAsia="Times New Roman"/>
          <w:b w:val="0"/>
          <w:i w:val="0"/>
          <w:caps w:val="0"/>
          <w:sz w:val="24"/>
        </w:rPr>
        <w:t>(1), 5–18. https://doi.org/10.1109/TSE.2011.41</w:t>
      </w:r>
    </w:p>
    <w:p>
      <w:pPr>
        <w:spacing w:line="360" w:lineRule="auto"/>
        <w:ind w:left="720" w:hanging="720"/>
        <w:jc w:val="left"/>
      </w:pPr>
      <w:r>
        <w:rPr>
          <w:rFonts w:ascii="Times New Roman" w:hAnsi="Times New Roman" w:eastAsia="Times New Roman"/>
          <w:b w:val="0"/>
          <w:i w:val="0"/>
          <w:caps w:val="0"/>
          <w:sz w:val="24"/>
        </w:rPr>
        <w:t xml:space="preserve">Opdyke, W. F. (1992). </w:t>
      </w:r>
      <w:r>
        <w:rPr>
          <w:rFonts w:ascii="Times New Roman" w:hAnsi="Times New Roman" w:eastAsia="Times New Roman"/>
          <w:b w:val="0"/>
          <w:i/>
          <w:caps w:val="0"/>
          <w:sz w:val="24"/>
        </w:rPr>
        <w:t>Refactoring object-oriented frameworks</w:t>
      </w:r>
      <w:r>
        <w:rPr>
          <w:rFonts w:ascii="Times New Roman" w:hAnsi="Times New Roman" w:eastAsia="Times New Roman"/>
          <w:b w:val="0"/>
          <w:i w:val="0"/>
          <w:caps w:val="0"/>
          <w:sz w:val="24"/>
        </w:rPr>
        <w:t xml:space="preserve"> [Disertacion doktorature, University of Illinois at Urbana-Champaign].</w:t>
      </w:r>
    </w:p>
    <w:p>
      <w:pPr>
        <w:spacing w:line="360" w:lineRule="auto"/>
        <w:ind w:left="720" w:hanging="720"/>
        <w:jc w:val="left"/>
      </w:pPr>
      <w:r>
        <w:rPr>
          <w:rFonts w:ascii="Times New Roman" w:hAnsi="Times New Roman" w:eastAsia="Times New Roman"/>
          <w:b w:val="0"/>
          <w:i w:val="0"/>
          <w:caps w:val="0"/>
          <w:sz w:val="24"/>
        </w:rPr>
        <w:t xml:space="preserve">Palomba, F., Bavota, G., Di Penta, M., Fasano, F., Oliveto, R., &amp; De Lucia, A. (2018). On the diffuseness and the impact on maintainability of code smells: A large scale empirical investigation. </w:t>
      </w:r>
      <w:r>
        <w:rPr>
          <w:rFonts w:ascii="Times New Roman" w:hAnsi="Times New Roman" w:eastAsia="Times New Roman"/>
          <w:b w:val="0"/>
          <w:i/>
          <w:caps w:val="0"/>
          <w:sz w:val="24"/>
        </w:rPr>
        <w:t>Empirical Software Engineering, 23</w:t>
      </w:r>
      <w:r>
        <w:rPr>
          <w:rFonts w:ascii="Times New Roman" w:hAnsi="Times New Roman" w:eastAsia="Times New Roman"/>
          <w:b w:val="0"/>
          <w:i w:val="0"/>
          <w:caps w:val="0"/>
          <w:sz w:val="24"/>
        </w:rPr>
        <w:t>(3), 1188–1221. https://doi.org/10.1007/s10664-017-9535-z</w:t>
      </w:r>
    </w:p>
    <w:p>
      <w:pPr>
        <w:spacing w:line="360" w:lineRule="auto"/>
        <w:ind w:left="720" w:hanging="720"/>
        <w:jc w:val="left"/>
      </w:pPr>
      <w:r>
        <w:rPr>
          <w:rFonts w:ascii="Times New Roman" w:hAnsi="Times New Roman" w:eastAsia="Times New Roman"/>
          <w:b w:val="0"/>
          <w:i w:val="0"/>
          <w:caps w:val="0"/>
          <w:sz w:val="24"/>
        </w:rPr>
        <w:t xml:space="preserve">Palomba, F., Bavota, G., Di Penta, M., Oliveto, R., Poshyvanyk, D., &amp; De Lucia, A. (2015). Mining version histories for detecting code smells. </w:t>
      </w:r>
      <w:r>
        <w:rPr>
          <w:rFonts w:ascii="Times New Roman" w:hAnsi="Times New Roman" w:eastAsia="Times New Roman"/>
          <w:b w:val="0"/>
          <w:i/>
          <w:caps w:val="0"/>
          <w:sz w:val="24"/>
        </w:rPr>
        <w:t>IEEE Transactions on Software Engineering, 41</w:t>
      </w:r>
      <w:r>
        <w:rPr>
          <w:rFonts w:ascii="Times New Roman" w:hAnsi="Times New Roman" w:eastAsia="Times New Roman"/>
          <w:b w:val="0"/>
          <w:i w:val="0"/>
          <w:caps w:val="0"/>
          <w:sz w:val="24"/>
        </w:rPr>
        <w:t>(5), 462–489. https://doi.org/10.1109/TSE.2014.2372760</w:t>
      </w:r>
    </w:p>
    <w:p>
      <w:pPr>
        <w:spacing w:line="360" w:lineRule="auto"/>
        <w:ind w:left="720" w:hanging="720"/>
        <w:jc w:val="left"/>
      </w:pPr>
      <w:r>
        <w:rPr>
          <w:rFonts w:ascii="Times New Roman" w:hAnsi="Times New Roman" w:eastAsia="Times New Roman"/>
          <w:b w:val="0"/>
          <w:i w:val="0"/>
          <w:caps w:val="0"/>
          <w:sz w:val="24"/>
        </w:rPr>
        <w:t xml:space="preserve">Park, R. E. (1992). </w:t>
      </w:r>
      <w:r>
        <w:rPr>
          <w:rFonts w:ascii="Times New Roman" w:hAnsi="Times New Roman" w:eastAsia="Times New Roman"/>
          <w:b w:val="0"/>
          <w:i/>
          <w:caps w:val="0"/>
          <w:sz w:val="24"/>
        </w:rPr>
        <w:t>Software size measurement: A framework for counting source statements</w:t>
      </w:r>
      <w:r>
        <w:rPr>
          <w:rFonts w:ascii="Times New Roman" w:hAnsi="Times New Roman" w:eastAsia="Times New Roman"/>
          <w:b w:val="0"/>
          <w:i w:val="0"/>
          <w:caps w:val="0"/>
          <w:sz w:val="24"/>
        </w:rPr>
        <w:t xml:space="preserve"> (Raport teknik CMU/SEI-92-TR-020). Software Engineering Institute, Carnegie Mellon University.</w:t>
      </w:r>
    </w:p>
    <w:p>
      <w:pPr>
        <w:spacing w:line="360" w:lineRule="auto"/>
        <w:ind w:left="720" w:hanging="720"/>
        <w:jc w:val="left"/>
      </w:pPr>
      <w:r>
        <w:rPr>
          <w:rFonts w:ascii="Times New Roman" w:hAnsi="Times New Roman" w:eastAsia="Times New Roman"/>
          <w:b w:val="0"/>
          <w:i w:val="0"/>
          <w:caps w:val="0"/>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eastAsia="Times New Roman"/>
          <w:b w:val="0"/>
          <w:i/>
          <w:caps w:val="0"/>
          <w:sz w:val="24"/>
        </w:rPr>
        <w:t>Journal of Machine Learning Research, 12</w:t>
      </w:r>
      <w:r>
        <w:rPr>
          <w:rFonts w:ascii="Times New Roman" w:hAnsi="Times New Roman" w:eastAsia="Times New Roman"/>
          <w:b w:val="0"/>
          <w:i w:val="0"/>
          <w:caps w:val="0"/>
          <w:sz w:val="24"/>
        </w:rPr>
        <w:t>(85), 2825–2830. https://jmlr.org/papers/v12/pedregosa11a.html</w:t>
      </w:r>
    </w:p>
    <w:p>
      <w:pPr>
        <w:spacing w:line="360" w:lineRule="auto"/>
        <w:ind w:left="720" w:hanging="720"/>
        <w:jc w:val="left"/>
      </w:pPr>
      <w:r>
        <w:rPr>
          <w:rFonts w:ascii="Times New Roman" w:hAnsi="Times New Roman" w:eastAsia="Times New Roman"/>
          <w:b w:val="0"/>
          <w:i w:val="0"/>
          <w:caps w:val="0"/>
          <w:sz w:val="24"/>
        </w:rPr>
        <w:t xml:space="preserve">PMD Team. (2026). </w:t>
      </w:r>
      <w:r>
        <w:rPr>
          <w:rFonts w:ascii="Times New Roman" w:hAnsi="Times New Roman" w:eastAsia="Times New Roman"/>
          <w:b w:val="0"/>
          <w:i/>
          <w:caps w:val="0"/>
          <w:sz w:val="24"/>
        </w:rPr>
        <w:t>PMD: An extensible cross-language static code analyzer</w:t>
      </w:r>
      <w:r>
        <w:rPr>
          <w:rFonts w:ascii="Times New Roman" w:hAnsi="Times New Roman" w:eastAsia="Times New Roman"/>
          <w:b w:val="0"/>
          <w:i w:val="0"/>
          <w:caps w:val="0"/>
          <w:sz w:val="24"/>
        </w:rPr>
        <w:t xml:space="preserve"> (Versioni 7.27.0) [Softuer]. https://pmd.github.io/</w:t>
      </w:r>
    </w:p>
    <w:p>
      <w:pPr>
        <w:spacing w:line="360" w:lineRule="auto"/>
        <w:ind w:left="720" w:hanging="720"/>
        <w:jc w:val="left"/>
      </w:pPr>
      <w:r>
        <w:rPr>
          <w:rFonts w:ascii="Times New Roman" w:hAnsi="Times New Roman" w:eastAsia="Times New Roman"/>
          <w:b w:val="0"/>
          <w:i w:val="0"/>
          <w:caps w:val="0"/>
          <w:sz w:val="24"/>
        </w:rPr>
        <w:t xml:space="preserve">Sharma, T., &amp; Spinellis, D. (2018). A survey on software smells. </w:t>
      </w:r>
      <w:r>
        <w:rPr>
          <w:rFonts w:ascii="Times New Roman" w:hAnsi="Times New Roman" w:eastAsia="Times New Roman"/>
          <w:b w:val="0"/>
          <w:i/>
          <w:caps w:val="0"/>
          <w:sz w:val="24"/>
        </w:rPr>
        <w:t>Journal of Systems and Software, 138</w:t>
      </w:r>
      <w:r>
        <w:rPr>
          <w:rFonts w:ascii="Times New Roman" w:hAnsi="Times New Roman" w:eastAsia="Times New Roman"/>
          <w:b w:val="0"/>
          <w:i w:val="0"/>
          <w:caps w:val="0"/>
          <w:sz w:val="24"/>
        </w:rPr>
        <w:t>, 158–173. https://doi.org/10.1016/j.jss.2017.12.034</w:t>
      </w:r>
    </w:p>
    <w:p>
      <w:pPr>
        <w:spacing w:line="360" w:lineRule="auto"/>
        <w:ind w:left="720" w:hanging="720"/>
        <w:jc w:val="left"/>
      </w:pPr>
      <w:r>
        <w:rPr>
          <w:rFonts w:ascii="Times New Roman" w:hAnsi="Times New Roman" w:eastAsia="Times New Roman"/>
          <w:b w:val="0"/>
          <w:i w:val="0"/>
          <w:caps w:val="0"/>
          <w:sz w:val="24"/>
        </w:rPr>
        <w:t xml:space="preserve">Silva, D., Tsantalis, N., &amp; Valente, M. T. (2016). Why we refactor? Confessions of GitHub contributors. Në </w:t>
      </w:r>
      <w:r>
        <w:rPr>
          <w:rFonts w:ascii="Times New Roman" w:hAnsi="Times New Roman" w:eastAsia="Times New Roman"/>
          <w:b w:val="0"/>
          <w:i/>
          <w:caps w:val="0"/>
          <w:sz w:val="24"/>
        </w:rPr>
        <w:t>Proceedings of the 24th ACM SIGSOFT International Symposium on Foundations of Software Engineering (FSE ’16)</w:t>
      </w:r>
      <w:r>
        <w:rPr>
          <w:rFonts w:ascii="Times New Roman" w:hAnsi="Times New Roman" w:eastAsia="Times New Roman"/>
          <w:b w:val="0"/>
          <w:i w:val="0"/>
          <w:caps w:val="0"/>
          <w:sz w:val="24"/>
        </w:rPr>
        <w:t xml:space="preserve"> (f. 858–870). ACM. https://doi.org/10.1145/2950290.2950305</w:t>
      </w:r>
    </w:p>
    <w:p>
      <w:pPr>
        <w:spacing w:line="360" w:lineRule="auto"/>
        <w:ind w:left="720" w:hanging="720"/>
        <w:jc w:val="left"/>
      </w:pPr>
      <w:r>
        <w:rPr>
          <w:rFonts w:ascii="Times New Roman" w:hAnsi="Times New Roman" w:eastAsia="Times New Roman"/>
          <w:b w:val="0"/>
          <w:i w:val="0"/>
          <w:caps w:val="0"/>
          <w:sz w:val="24"/>
        </w:rPr>
        <w:t xml:space="preserve">Sjøberg, D. I. K., Yamashita, A., Anda, B. C. D., Mockus, A., &amp; Dybå, T. (2013). Quantifying the effect of code smells on maintenance effort. </w:t>
      </w:r>
      <w:r>
        <w:rPr>
          <w:rFonts w:ascii="Times New Roman" w:hAnsi="Times New Roman" w:eastAsia="Times New Roman"/>
          <w:b w:val="0"/>
          <w:i/>
          <w:caps w:val="0"/>
          <w:sz w:val="24"/>
        </w:rPr>
        <w:t>IEEE Transactions on Software Engineering, 39</w:t>
      </w:r>
      <w:r>
        <w:rPr>
          <w:rFonts w:ascii="Times New Roman" w:hAnsi="Times New Roman" w:eastAsia="Times New Roman"/>
          <w:b w:val="0"/>
          <w:i w:val="0"/>
          <w:caps w:val="0"/>
          <w:sz w:val="24"/>
        </w:rPr>
        <w:t>(8), 1144–1156. https://doi.org/10.1109/TSE.2012.89</w:t>
      </w:r>
    </w:p>
    <w:p>
      <w:pPr>
        <w:spacing w:line="360" w:lineRule="auto"/>
        <w:ind w:left="720" w:hanging="720"/>
        <w:jc w:val="left"/>
      </w:pPr>
      <w:r>
        <w:rPr>
          <w:rFonts w:ascii="Times New Roman" w:hAnsi="Times New Roman" w:eastAsia="Times New Roman"/>
          <w:b w:val="0"/>
          <w:i w:val="0"/>
          <w:caps w:val="0"/>
          <w:sz w:val="24"/>
        </w:rPr>
        <w:t xml:space="preserve">Strobl, C., Boulesteix, A.-L., Zeileis, A., &amp; Hothorn, T. (2007). Bias in random forest variable importance measures: Illustrations, sources and a solution. </w:t>
      </w:r>
      <w:r>
        <w:rPr>
          <w:rFonts w:ascii="Times New Roman" w:hAnsi="Times New Roman" w:eastAsia="Times New Roman"/>
          <w:b w:val="0"/>
          <w:i/>
          <w:caps w:val="0"/>
          <w:sz w:val="24"/>
        </w:rPr>
        <w:t>BMC Bioinformatics, 8</w:t>
      </w:r>
      <w:r>
        <w:rPr>
          <w:rFonts w:ascii="Times New Roman" w:hAnsi="Times New Roman" w:eastAsia="Times New Roman"/>
          <w:b w:val="0"/>
          <w:i w:val="0"/>
          <w:caps w:val="0"/>
          <w:sz w:val="24"/>
        </w:rPr>
        <w:t>(1), Artikulli 25. https://doi.org/10.1186/1471-2105-8-25</w:t>
      </w:r>
    </w:p>
    <w:p>
      <w:pPr>
        <w:spacing w:line="360" w:lineRule="auto"/>
        <w:ind w:left="720" w:hanging="720"/>
        <w:jc w:val="left"/>
      </w:pPr>
      <w:r>
        <w:rPr>
          <w:rFonts w:ascii="Times New Roman" w:hAnsi="Times New Roman" w:eastAsia="Times New Roman"/>
          <w:b w:val="0"/>
          <w:i w:val="0"/>
          <w:caps w:val="0"/>
          <w:sz w:val="24"/>
        </w:rPr>
        <w:t xml:space="preserve">Tsantalis, N., &amp; Chatzigeorgiou, A. (2009). Identification of Move Method refactoring opportunities. </w:t>
      </w:r>
      <w:r>
        <w:rPr>
          <w:rFonts w:ascii="Times New Roman" w:hAnsi="Times New Roman" w:eastAsia="Times New Roman"/>
          <w:b w:val="0"/>
          <w:i/>
          <w:caps w:val="0"/>
          <w:sz w:val="24"/>
        </w:rPr>
        <w:t>IEEE Transactions on Software Engineering, 35</w:t>
      </w:r>
      <w:r>
        <w:rPr>
          <w:rFonts w:ascii="Times New Roman" w:hAnsi="Times New Roman" w:eastAsia="Times New Roman"/>
          <w:b w:val="0"/>
          <w:i w:val="0"/>
          <w:caps w:val="0"/>
          <w:sz w:val="24"/>
        </w:rPr>
        <w:t>(3), 347–367. https://doi.org/10.1109/TSE.2009.1</w:t>
      </w:r>
    </w:p>
    <w:p>
      <w:pPr>
        <w:spacing w:line="360" w:lineRule="auto"/>
        <w:ind w:left="720" w:hanging="720"/>
        <w:jc w:val="left"/>
      </w:pPr>
      <w:r>
        <w:rPr>
          <w:rFonts w:ascii="Times New Roman" w:hAnsi="Times New Roman" w:eastAsia="Times New Roman"/>
          <w:b w:val="0"/>
          <w:i w:val="0"/>
          <w:caps w:val="0"/>
          <w:sz w:val="24"/>
        </w:rPr>
        <w:t xml:space="preserve">Tufano, M., Palomba, F., Bavota, G., Oliveto, R., Di Penta, M., De Lucia, A., &amp; Poshyvanyk, D. (2015). When and why your code starts to smell bad. Në </w:t>
      </w:r>
      <w:r>
        <w:rPr>
          <w:rFonts w:ascii="Times New Roman" w:hAnsi="Times New Roman" w:eastAsia="Times New Roman"/>
          <w:b w:val="0"/>
          <w:i/>
          <w:caps w:val="0"/>
          <w:sz w:val="24"/>
        </w:rPr>
        <w:t>Proceedings of the 37th IEEE/ACM International Conference on Software Engineering (ICSE ’15)</w:t>
      </w:r>
      <w:r>
        <w:rPr>
          <w:rFonts w:ascii="Times New Roman" w:hAnsi="Times New Roman" w:eastAsia="Times New Roman"/>
          <w:b w:val="0"/>
          <w:i w:val="0"/>
          <w:caps w:val="0"/>
          <w:sz w:val="24"/>
        </w:rPr>
        <w:t xml:space="preserve"> (f. 403–414). IEEE. https://doi.org/10.1109/ICSE.2015.59</w:t>
      </w:r>
    </w:p>
    <w:p>
      <w:pPr>
        <w:spacing w:line="360" w:lineRule="auto"/>
        <w:ind w:left="720" w:hanging="720"/>
        <w:jc w:val="left"/>
      </w:pPr>
      <w:r>
        <w:rPr>
          <w:rFonts w:ascii="Times New Roman" w:hAnsi="Times New Roman" w:eastAsia="Times New Roman"/>
          <w:b w:val="0"/>
          <w:i w:val="0"/>
          <w:caps w:val="0"/>
          <w:sz w:val="24"/>
        </w:rPr>
        <w:t xml:space="preserve">Wilson, E. B. (1927). Probable inference, the law of succession, and statistical inference. </w:t>
      </w:r>
      <w:r>
        <w:rPr>
          <w:rFonts w:ascii="Times New Roman" w:hAnsi="Times New Roman" w:eastAsia="Times New Roman"/>
          <w:b w:val="0"/>
          <w:i/>
          <w:caps w:val="0"/>
          <w:sz w:val="24"/>
        </w:rPr>
        <w:t>Journal of the American Statistical Association, 22</w:t>
      </w:r>
      <w:r>
        <w:rPr>
          <w:rFonts w:ascii="Times New Roman" w:hAnsi="Times New Roman" w:eastAsia="Times New Roman"/>
          <w:b w:val="0"/>
          <w:i w:val="0"/>
          <w:caps w:val="0"/>
          <w:sz w:val="24"/>
        </w:rPr>
        <w:t>(158), 209–212. https://doi.org/10.1080/01621459.1927.10502953</w:t>
      </w:r>
    </w:p>
    <w:p>
      <w:pPr>
        <w:spacing w:line="360" w:lineRule="auto"/>
        <w:ind w:left="720" w:hanging="720"/>
        <w:jc w:val="left"/>
      </w:pPr>
      <w:r>
        <w:rPr>
          <w:rFonts w:ascii="Times New Roman" w:hAnsi="Times New Roman" w:eastAsia="Times New Roman"/>
          <w:b w:val="0"/>
          <w:i w:val="0"/>
          <w:caps w:val="0"/>
          <w:sz w:val="24"/>
        </w:rPr>
        <w:t xml:space="preserve">Wohlin, C., Runeson, P., Höst, M., Ohlsson, M. C., Regnell, B., &amp; Wesslén, A. (2012). </w:t>
      </w:r>
      <w:r>
        <w:rPr>
          <w:rFonts w:ascii="Times New Roman" w:hAnsi="Times New Roman" w:eastAsia="Times New Roman"/>
          <w:b w:val="0"/>
          <w:i/>
          <w:caps w:val="0"/>
          <w:sz w:val="24"/>
        </w:rPr>
        <w:t>Experimentation in software engineering</w:t>
      </w:r>
      <w:r>
        <w:rPr>
          <w:rFonts w:ascii="Times New Roman" w:hAnsi="Times New Roman" w:eastAsia="Times New Roman"/>
          <w:b w:val="0"/>
          <w:i w:val="0"/>
          <w:caps w:val="0"/>
          <w:sz w:val="24"/>
        </w:rPr>
        <w:t>. Springer. https://doi.org/10.1007/978-3-642-29044-2</w:t>
      </w:r>
    </w:p>
    <w:p>
      <w:pPr>
        <w:spacing w:line="360" w:lineRule="auto"/>
        <w:ind w:left="720" w:hanging="720"/>
        <w:jc w:val="left"/>
      </w:pPr>
      <w:r>
        <w:rPr>
          <w:rFonts w:ascii="Times New Roman" w:hAnsi="Times New Roman" w:eastAsia="Times New Roman"/>
          <w:b w:val="0"/>
          <w:i w:val="0"/>
          <w:caps w:val="0"/>
          <w:sz w:val="24"/>
        </w:rPr>
        <w:t xml:space="preserve">Yamashita, A., &amp; Moonen, L. (2013). Do developers care about code smells? An exploratory survey. Në </w:t>
      </w:r>
      <w:r>
        <w:rPr>
          <w:rFonts w:ascii="Times New Roman" w:hAnsi="Times New Roman" w:eastAsia="Times New Roman"/>
          <w:b w:val="0"/>
          <w:i/>
          <w:caps w:val="0"/>
          <w:sz w:val="24"/>
        </w:rPr>
        <w:t>Proceedings of the 20th Working Conference on Reverse Engineering (WCRE ’13)</w:t>
      </w:r>
      <w:r>
        <w:rPr>
          <w:rFonts w:ascii="Times New Roman" w:hAnsi="Times New Roman" w:eastAsia="Times New Roman"/>
          <w:b w:val="0"/>
          <w:i w:val="0"/>
          <w:caps w:val="0"/>
          <w:sz w:val="24"/>
        </w:rPr>
        <w:t xml:space="preserve"> (f. 242–251). IEEE. https://doi.org/10.1109/WCRE.2013.6671299</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31).</w:t>
      </w:r>
    </w:p>
    <w:p>
      <w:pPr>
        <w:keepNext/>
        <w:spacing w:line="240" w:lineRule="auto"/>
        <w:jc w:val="center"/>
      </w:pPr>
      <w:r>
        <w:rPr>
          <w:rFonts w:ascii="Times New Roman" w:hAnsi="Times New Roman" w:eastAsia="Times New Roman"/>
          <w:b w:val="0"/>
          <w:caps w:val="0"/>
          <w:sz w:val="22"/>
        </w:rPr>
        <w:t>Tabela 31.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dhe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dhe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dhe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dhe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dhe Marinescu (2006),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32).</w:t>
      </w:r>
    </w:p>
    <w:p>
      <w:pPr>
        <w:keepNext/>
        <w:spacing w:line="240" w:lineRule="auto"/>
        <w:jc w:val="center"/>
      </w:pPr>
      <w:r>
        <w:rPr>
          <w:rFonts w:ascii="Times New Roman" w:hAnsi="Times New Roman" w:eastAsia="Times New Roman"/>
          <w:b w:val="0"/>
          <w:caps w:val="0"/>
          <w:sz w:val="22"/>
        </w:rPr>
        <w:t>Tabela 32.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33).</w:t>
      </w:r>
    </w:p>
    <w:p>
      <w:pPr>
        <w:keepNext/>
        <w:spacing w:line="240" w:lineRule="auto"/>
        <w:jc w:val="center"/>
      </w:pPr>
      <w:r>
        <w:rPr>
          <w:rFonts w:ascii="Times New Roman" w:hAnsi="Times New Roman" w:eastAsia="Times New Roman"/>
          <w:b w:val="0"/>
          <w:caps w:val="0"/>
          <w:sz w:val="22"/>
        </w:rPr>
        <w:t>Tabela 33.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kjo e bën të përgjigjshme pyetjen nëse ato zgjedhin metrikat e strategjive. Kuptimi i shkurtesave jepet te Fjalori i termave (Tabela 34).</w:t>
      </w:r>
    </w:p>
    <w:p>
      <w:pPr>
        <w:keepNext/>
        <w:spacing w:line="240" w:lineRule="auto"/>
        <w:jc w:val="center"/>
      </w:pPr>
      <w:r>
        <w:rPr>
          <w:rFonts w:ascii="Times New Roman" w:hAnsi="Times New Roman" w:eastAsia="Times New Roman"/>
          <w:b w:val="0"/>
          <w:caps w:val="0"/>
          <w:sz w:val="22"/>
        </w:rPr>
        <w:t>Tabela 34.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çfarë propozon sistemi nga çfarë aplikon. Dallimi nuk vjen nga koha e zhvillimit: transformimet e mbetura kërkojnë gjetjen e çdo reference në projekt, gjë që analiza sintaksore nuk e provon dot (Tabela 35).</w:t>
      </w:r>
    </w:p>
    <w:p>
      <w:pPr>
        <w:keepNext/>
        <w:spacing w:line="240" w:lineRule="auto"/>
        <w:jc w:val="center"/>
      </w:pPr>
      <w:r>
        <w:rPr>
          <w:rFonts w:ascii="Times New Roman" w:hAnsi="Times New Roman" w:eastAsia="Times New Roman"/>
          <w:b w:val="0"/>
          <w:caps w:val="0"/>
          <w:sz w:val="22"/>
        </w:rPr>
        <w:t>Tabela 35. Çfarë propozohet dhe çfarë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sipas Fowler (2018)</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36).</w:t>
      </w:r>
    </w:p>
    <w:p>
      <w:pPr>
        <w:keepNext/>
        <w:spacing w:line="240" w:lineRule="auto"/>
        <w:jc w:val="center"/>
      </w:pPr>
      <w:r>
        <w:rPr>
          <w:rFonts w:ascii="Times New Roman" w:hAnsi="Times New Roman" w:eastAsia="Times New Roman"/>
          <w:b w:val="0"/>
          <w:caps w:val="0"/>
          <w:sz w:val="22"/>
        </w:rPr>
        <w:t>Tabela 36.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37).</w:t>
      </w:r>
    </w:p>
    <w:p>
      <w:pPr>
        <w:keepNext/>
        <w:spacing w:line="240" w:lineRule="auto"/>
        <w:jc w:val="center"/>
      </w:pPr>
      <w:r>
        <w:rPr>
          <w:rFonts w:ascii="Times New Roman" w:hAnsi="Times New Roman" w:eastAsia="Times New Roman"/>
          <w:b w:val="0"/>
          <w:caps w:val="0"/>
          <w:sz w:val="22"/>
        </w:rPr>
        <w:t>Tabela 37.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Tri figura të Kapitullit 4 nuk janë rezultate dhe nuk hyjnë në këtë radhë: shembulli i kodit para dhe pas rishkrimit nxirret nga build_code_example.py, dhe dy pamjet e ndërfaqes nga capture_screens.cjs, të dyja te docs/thesis/. Çdo skript shkruan rezultatin si CSV ose JSON në data/results/, bashkë me commit-in, versionin e Python-it dhe platformën që e prodhuan. Rezultatet u prodhuan me Python 3.13.1 dhe 3.13.12, në platformat Linux-6.18.44-fc-v80-x86_64-with-glibc2.39 dhe Windows-11-10.0.26200-SP0, dhe secili skedar mban të shënuar atë që e prodhoi. Commit-i, përkundrazi, ndryshon nga skedari në skedar: eksperimentet u ekzekutuan njëri pas tjetrit, prandaj secili skedar mban commit-in e vet, dhe ai duhet përdorur për ta riprodhuar (Tabela 38).</w:t>
      </w:r>
    </w:p>
    <w:p>
      <w:pPr>
        <w:keepNext/>
        <w:spacing w:line="240" w:lineRule="auto"/>
        <w:jc w:val="center"/>
      </w:pPr>
      <w:r>
        <w:rPr>
          <w:rFonts w:ascii="Times New Roman" w:hAnsi="Times New Roman" w:eastAsia="Times New Roman"/>
          <w:b w:val="0"/>
          <w:caps w:val="0"/>
          <w:sz w:val="22"/>
        </w:rPr>
        <w:t>Tabela 38.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79151a7043</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3530aced5c</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rewrite_quality.json</w:t>
            </w:r>
          </w:p>
        </w:tc>
        <w:tc>
          <w:tcPr>
            <w:tcW w:type="dxa" w:w="4419"/>
          </w:tcPr>
          <w:p>
            <w:pPr>
              <w:spacing w:line="240" w:lineRule="auto"/>
              <w:jc w:val="left"/>
            </w:pPr>
            <w:r>
              <w:rPr>
                <w:rFonts w:ascii="Times New Roman" w:hAnsi="Times New Roman" w:eastAsia="Times New Roman"/>
                <w:b w:val="0"/>
                <w:caps w:val="0"/>
                <w:sz w:val="22"/>
              </w:rPr>
              <w:t>adf4db30c2</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42e0210576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e atëhershme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(po aq rishkrime, po aq verdikte «kompilon», asnjë përmbysje),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Një defekt i dytë u gjet më 12 tetor 2026, gjatë verifikimit të referencave, dhe jo nga riprodhimi: lexuesi i MLCQ-së i grupoi rishikimet vetëm sipas identifikuesit të mostrës, ndërsa pothuajse çdo mostër është rishikuar për dy erëra. Rishikimet e dy erërave përziheshin në një etiketë, dhe gjysma e çifteve mostër-erë mbetej jashtë. Lexuesi grupon tani sipas mostrës dhe erës, një test me vlera të llogaritura me dorë e provon këtë, dhe çdo hap që lexon etiketat u riekzekutua. Riprodhimi i 3 shtatorit i përket tabelës së vjetër; Kapitujt 5 dhe 6 raportojnë vetëm matjen e re. Totalet e riprodhueshme nuk e kishin zbuluar këtë, sepse defekti ishte i qëndrueshëm: i njëjti kod jepte të njëjtin gabim çdo herë.</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dhe Marinescu (2006) është konjunksion, ndaj çdo mospërputhje ka shkak të emërtueshëm: një klauzolë, ose dy, ose të tria nuk qëndruan. Matjet për ta thënë këtë ekzistojnë tashmë te tabela e veçorive, ndaj pyetja «pse nuk ndezi» ka përgjigje pa asnjë ekzekutim të ri (Tabela 39; Tabela 40).</w:t>
      </w:r>
    </w:p>
    <w:p>
      <w:pPr>
        <w:keepNext/>
        <w:spacing w:line="240" w:lineRule="auto"/>
        <w:jc w:val="center"/>
      </w:pPr>
      <w:r>
        <w:rPr>
          <w:rFonts w:ascii="Times New Roman" w:hAnsi="Times New Roman" w:eastAsia="Times New Roman"/>
          <w:b w:val="0"/>
          <w:caps w:val="0"/>
          <w:sz w:val="22"/>
        </w:rPr>
        <w:t>Tabela 39.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295</w:t>
            </w:r>
          </w:p>
        </w:tc>
        <w:tc>
          <w:tcPr>
            <w:tcW w:type="dxa" w:w="2946"/>
          </w:tcPr>
          <w:p>
            <w:pPr>
              <w:spacing w:line="240" w:lineRule="auto"/>
              <w:jc w:val="left"/>
            </w:pPr>
            <w:r>
              <w:rPr>
                <w:rFonts w:ascii="Times New Roman" w:hAnsi="Times New Roman" w:eastAsia="Times New Roman"/>
                <w:b w:val="0"/>
                <w:caps w:val="0"/>
                <w:sz w:val="22"/>
              </w:rPr>
              <w:t>87 me 1 klauzolë, 115 me 2 klauzola, 93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133</w:t>
            </w:r>
          </w:p>
        </w:tc>
        <w:tc>
          <w:tcPr>
            <w:tcW w:type="dxa" w:w="2946"/>
          </w:tcPr>
          <w:p>
            <w:pPr>
              <w:spacing w:line="240" w:lineRule="auto"/>
              <w:jc w:val="left"/>
            </w:pPr>
            <w:r>
              <w:rPr>
                <w:rFonts w:ascii="Times New Roman" w:hAnsi="Times New Roman" w:eastAsia="Times New Roman"/>
                <w:b w:val="0"/>
                <w:caps w:val="0"/>
                <w:sz w:val="22"/>
              </w:rPr>
              <w:t>49 me 1 klauzolë, 84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40.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42</w:t>
            </w:r>
          </w:p>
        </w:tc>
        <w:tc>
          <w:tcPr>
            <w:tcW w:type="dxa" w:w="2209"/>
          </w:tcPr>
          <w:p>
            <w:pPr>
              <w:spacing w:line="240" w:lineRule="auto"/>
              <w:jc w:val="left"/>
            </w:pPr>
            <w:r>
              <w:rPr>
                <w:rFonts w:ascii="Times New Roman" w:hAnsi="Times New Roman" w:eastAsia="Times New Roman"/>
                <w:b w:val="0"/>
                <w:caps w:val="0"/>
                <w:sz w:val="22"/>
              </w:rPr>
              <w:t>0.54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33</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208 nga 295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0.54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84 nga 133 ngecin te më shumë se një klauzolë; edhe këtu, shumica janë larg erës dhe jo pranë pragut. Me një bllokues të vetëm, rastet ndalen (në mesore) te 0.40–0.83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0.43), ndaj kalibrimi nuk duhet të ndihmojë shumë; te Feature Envy janë afër (0.65), ndaj duhet. Kalibrimi jashtë fold-it i Nënkapitullit 5.5, i matur veç dhe pa e parë këtë analizë, jep +0.001 MCC për të parin dhe -0.019 për të dytin. Parashikimi nuk konfirmohet: aty ku mospërputhjet janë më afër pragjeve, kalibrimi nuk ndihmoi. Afria e mesatarizuar mbi klauzola nuk mjafton pra për të thënë ku do të fitojë një prag i ri, dhe llogaria e klauzolave mbetet përshkrim i mospërputhjeve e jo parashikim.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Kjo pjesë e bën atë krahasim. Matja kufizohet te mostrat ku të dyja anët shohin një erë. Askund tjetër shkallët nuk janë të krahasueshme: një detektor që nuk ndez nuk cakton ashpërsi, dhe një pozitiv i rremë është pyetje precizioni, jo ashpërsie (Tabela 41).</w:t>
      </w:r>
    </w:p>
    <w:p>
      <w:pPr>
        <w:keepNext/>
        <w:spacing w:line="240" w:lineRule="auto"/>
        <w:jc w:val="center"/>
      </w:pPr>
      <w:r>
        <w:rPr>
          <w:rFonts w:ascii="Times New Roman" w:hAnsi="Times New Roman" w:eastAsia="Times New Roman"/>
          <w:b w:val="0"/>
          <w:caps w:val="0"/>
          <w:sz w:val="22"/>
        </w:rPr>
        <w:t>Tabela 41.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0.161</w:t>
            </w:r>
          </w:p>
        </w:tc>
        <w:tc>
          <w:tcPr>
            <w:tcW w:type="dxa" w:w="1768"/>
          </w:tcPr>
          <w:p>
            <w:pPr>
              <w:spacing w:line="240" w:lineRule="auto"/>
              <w:jc w:val="left"/>
            </w:pPr>
            <w:r>
              <w:rPr>
                <w:rFonts w:ascii="Times New Roman" w:hAnsi="Times New Roman" w:eastAsia="Times New Roman"/>
                <w:b w:val="0"/>
                <w:caps w:val="0"/>
                <w:sz w:val="22"/>
              </w:rPr>
              <w:t>0.629</w:t>
            </w:r>
          </w:p>
        </w:tc>
        <w:tc>
          <w:tcPr>
            <w:tcW w:type="dxa" w:w="1768"/>
          </w:tcPr>
          <w:p>
            <w:pPr>
              <w:spacing w:line="240" w:lineRule="auto"/>
              <w:jc w:val="left"/>
            </w:pPr>
            <w:r>
              <w:rPr>
                <w:rFonts w:ascii="Times New Roman" w:hAnsi="Times New Roman" w:eastAsia="Times New Roman"/>
                <w:b w:val="0"/>
                <w:caps w:val="0"/>
                <w:sz w:val="22"/>
              </w:rPr>
              <w:t>0.044</w:t>
            </w:r>
          </w:p>
        </w:tc>
        <w:tc>
          <w:tcPr>
            <w:tcW w:type="dxa" w:w="1768"/>
          </w:tcPr>
          <w:p>
            <w:pPr>
              <w:spacing w:line="240" w:lineRule="auto"/>
              <w:jc w:val="left"/>
            </w:pPr>
            <w:r>
              <w:rPr>
                <w:rFonts w:ascii="Times New Roman" w:hAnsi="Times New Roman" w:eastAsia="Times New Roman"/>
                <w:b w:val="0"/>
                <w:caps w:val="0"/>
                <w:sz w:val="22"/>
              </w:rPr>
              <w:t>62</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0.318</w:t>
            </w:r>
          </w:p>
        </w:tc>
        <w:tc>
          <w:tcPr>
            <w:tcW w:type="dxa" w:w="1768"/>
          </w:tcPr>
          <w:p>
            <w:pPr>
              <w:spacing w:line="240" w:lineRule="auto"/>
              <w:jc w:val="left"/>
            </w:pPr>
            <w:r>
              <w:rPr>
                <w:rFonts w:ascii="Times New Roman" w:hAnsi="Times New Roman" w:eastAsia="Times New Roman"/>
                <w:b w:val="0"/>
                <w:caps w:val="0"/>
                <w:sz w:val="22"/>
              </w:rPr>
              <w:t>0.784</w:t>
            </w:r>
          </w:p>
        </w:tc>
        <w:tc>
          <w:tcPr>
            <w:tcW w:type="dxa" w:w="1768"/>
          </w:tcPr>
          <w:p>
            <w:pPr>
              <w:spacing w:line="240" w:lineRule="auto"/>
              <w:jc w:val="left"/>
            </w:pPr>
            <w:r>
              <w:rPr>
                <w:rFonts w:ascii="Times New Roman" w:hAnsi="Times New Roman" w:eastAsia="Times New Roman"/>
                <w:b w:val="0"/>
                <w:caps w:val="0"/>
                <w:sz w:val="22"/>
              </w:rPr>
              <w:t>0.084</w:t>
            </w:r>
          </w:p>
        </w:tc>
        <w:tc>
          <w:tcPr>
            <w:tcW w:type="dxa" w:w="1768"/>
          </w:tcPr>
          <w:p>
            <w:pPr>
              <w:spacing w:line="240" w:lineRule="auto"/>
              <w:jc w:val="left"/>
            </w:pPr>
            <w:r>
              <w:rPr>
                <w:rFonts w:ascii="Times New Roman" w:hAnsi="Times New Roman" w:eastAsia="Times New Roman"/>
                <w:b w:val="0"/>
                <w:caps w:val="0"/>
                <w:sz w:val="22"/>
              </w:rPr>
              <w:t>148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0.364</w:t>
            </w:r>
          </w:p>
        </w:tc>
        <w:tc>
          <w:tcPr>
            <w:tcW w:type="dxa" w:w="1768"/>
          </w:tcPr>
          <w:p>
            <w:pPr>
              <w:spacing w:line="240" w:lineRule="auto"/>
              <w:jc w:val="left"/>
            </w:pPr>
            <w:r>
              <w:rPr>
                <w:rFonts w:ascii="Times New Roman" w:hAnsi="Times New Roman" w:eastAsia="Times New Roman"/>
                <w:b w:val="0"/>
                <w:caps w:val="0"/>
                <w:sz w:val="22"/>
              </w:rPr>
              <w:t>0.818</w:t>
            </w:r>
          </w:p>
        </w:tc>
        <w:tc>
          <w:tcPr>
            <w:tcW w:type="dxa" w:w="1768"/>
          </w:tcPr>
          <w:p>
            <w:pPr>
              <w:spacing w:line="240" w:lineRule="auto"/>
              <w:jc w:val="left"/>
            </w:pPr>
            <w:r>
              <w:rPr>
                <w:rFonts w:ascii="Times New Roman" w:hAnsi="Times New Roman" w:eastAsia="Times New Roman"/>
                <w:b w:val="0"/>
                <w:caps w:val="0"/>
                <w:sz w:val="22"/>
              </w:rPr>
              <w:t>0.110</w:t>
            </w:r>
          </w:p>
        </w:tc>
        <w:tc>
          <w:tcPr>
            <w:tcW w:type="dxa" w:w="1768"/>
          </w:tcPr>
          <w:p>
            <w:pPr>
              <w:spacing w:line="240" w:lineRule="auto"/>
              <w:jc w:val="left"/>
            </w:pPr>
            <w:r>
              <w:rPr>
                <w:rFonts w:ascii="Times New Roman" w:hAnsi="Times New Roman" w:eastAsia="Times New Roman"/>
                <w:b w:val="0"/>
                <w:caps w:val="0"/>
                <w:sz w:val="22"/>
              </w:rPr>
              <w:t>88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0.032</w:t>
            </w:r>
          </w:p>
        </w:tc>
        <w:tc>
          <w:tcPr>
            <w:tcW w:type="dxa" w:w="1768"/>
          </w:tcPr>
          <w:p>
            <w:pPr>
              <w:spacing w:line="240" w:lineRule="auto"/>
              <w:jc w:val="left"/>
            </w:pPr>
            <w:r>
              <w:rPr>
                <w:rFonts w:ascii="Times New Roman" w:hAnsi="Times New Roman" w:eastAsia="Times New Roman"/>
                <w:b w:val="0"/>
                <w:caps w:val="0"/>
                <w:sz w:val="22"/>
              </w:rPr>
              <w:t>0.645</w:t>
            </w:r>
          </w:p>
        </w:tc>
        <w:tc>
          <w:tcPr>
            <w:tcW w:type="dxa" w:w="1768"/>
          </w:tcPr>
          <w:p>
            <w:pPr>
              <w:spacing w:line="240" w:lineRule="auto"/>
              <w:jc w:val="left"/>
            </w:pPr>
            <w:r>
              <w:rPr>
                <w:rFonts w:ascii="Times New Roman" w:hAnsi="Times New Roman" w:eastAsia="Times New Roman"/>
                <w:b w:val="0"/>
                <w:caps w:val="0"/>
                <w:sz w:val="22"/>
              </w:rPr>
              <w:t>0.096</w:t>
            </w:r>
          </w:p>
        </w:tc>
        <w:tc>
          <w:tcPr>
            <w:tcW w:type="dxa" w:w="1768"/>
          </w:tcPr>
          <w:p>
            <w:pPr>
              <w:spacing w:line="240" w:lineRule="auto"/>
              <w:jc w:val="left"/>
            </w:pPr>
            <w:r>
              <w:rPr>
                <w:rFonts w:ascii="Times New Roman" w:hAnsi="Times New Roman" w:eastAsia="Times New Roman"/>
                <w:b w:val="0"/>
                <w:caps w:val="0"/>
                <w:sz w:val="22"/>
              </w:rPr>
              <w:t>31</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0.614</w:t>
            </w:r>
          </w:p>
        </w:tc>
        <w:tc>
          <w:tcPr>
            <w:tcW w:type="dxa" w:w="1768"/>
          </w:tcPr>
          <w:p>
            <w:pPr>
              <w:spacing w:line="240" w:lineRule="auto"/>
              <w:jc w:val="left"/>
            </w:pPr>
            <w:r>
              <w:rPr>
                <w:rFonts w:ascii="Times New Roman" w:hAnsi="Times New Roman" w:eastAsia="Times New Roman"/>
                <w:b w:val="0"/>
                <w:caps w:val="0"/>
                <w:sz w:val="22"/>
              </w:rPr>
              <w:t>1.000</w:t>
            </w:r>
          </w:p>
        </w:tc>
        <w:tc>
          <w:tcPr>
            <w:tcW w:type="dxa" w:w="1768"/>
          </w:tcPr>
          <w:p>
            <w:pPr>
              <w:spacing w:line="240" w:lineRule="auto"/>
              <w:jc w:val="left"/>
            </w:pPr>
            <w:r>
              <w:rPr>
                <w:rFonts w:ascii="Times New Roman" w:hAnsi="Times New Roman" w:eastAsia="Times New Roman"/>
                <w:b w:val="0"/>
                <w:caps w:val="0"/>
                <w:sz w:val="22"/>
              </w:rPr>
              <w:t>0.590</w:t>
            </w:r>
          </w:p>
        </w:tc>
        <w:tc>
          <w:tcPr>
            <w:tcW w:type="dxa" w:w="1768"/>
          </w:tcPr>
          <w:p>
            <w:pPr>
              <w:spacing w:line="240" w:lineRule="auto"/>
              <w:jc w:val="left"/>
            </w:pPr>
            <w:r>
              <w:rPr>
                <w:rFonts w:ascii="Times New Roman" w:hAnsi="Times New Roman" w:eastAsia="Times New Roman"/>
                <w:b w:val="0"/>
                <w:caps w:val="0"/>
                <w:sz w:val="22"/>
              </w:rPr>
              <w:t>127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 Matrica tregon edhe drejtimin e gabimit, i cili është i njëanshëm: nga 308 krahasime, 147 e vlerësojnë rastin më rëndë se rishikuesit dhe vetëm 40 më lehtë (48% kundrejt 13%). Sistemi nuk gabon rastësisht: ai e mbivlerëson ashpërsinë (Figura 15).</w:t>
      </w:r>
    </w:p>
    <w:p>
      <w:pPr>
        <w:keepNext/>
        <w:jc w:val="center"/>
      </w:pPr>
      <w:r>
        <w:drawing>
          <wp:inline xmlns:a="http://schemas.openxmlformats.org/drawingml/2006/main" xmlns:pic="http://schemas.openxmlformats.org/drawingml/2006/picture">
            <wp:extent cx="5120640" cy="2809061"/>
            <wp:docPr id="17" name="Picture 17"/>
            <wp:cNvGraphicFramePr>
              <a:graphicFrameLocks noChangeAspect="1"/>
            </wp:cNvGraphicFramePr>
            <a:graphic>
              <a:graphicData uri="http://schemas.openxmlformats.org/drawingml/2006/picture">
                <pic:pic>
                  <pic:nvPicPr>
                    <pic:cNvPr id="0" name="ashpersia_kundrejt_rishikuesve.png"/>
                    <pic:cNvPicPr/>
                  </pic:nvPicPr>
                  <pic:blipFill>
                    <a:blip r:embed="rId27"/>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15.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 Nuk është çështje kalibrimi: zhvendosja e pragjeve të ashpërsisë e ngre kappa-n te erërat me pajtim të ulët më së shumti deri në 0.198, pra atje pajtimi mbetet i dobët. Ashpërsia e derivuar mbetet renditje brenda mjetit, që tregon cili rast të shihet i pari,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42).</w:t>
      </w:r>
    </w:p>
    <w:p>
      <w:pPr>
        <w:keepNext/>
        <w:spacing w:line="240" w:lineRule="auto"/>
        <w:jc w:val="center"/>
      </w:pPr>
      <w:r>
        <w:rPr>
          <w:rFonts w:ascii="Times New Roman" w:hAnsi="Times New Roman" w:eastAsia="Times New Roman"/>
          <w:b w:val="0"/>
          <w:caps w:val="0"/>
          <w:sz w:val="22"/>
        </w:rPr>
        <w:t>Tabela 42.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264–323–736</w:t>
            </w:r>
          </w:p>
        </w:tc>
        <w:tc>
          <w:tcPr>
            <w:tcW w:type="dxa" w:w="1768"/>
          </w:tcPr>
          <w:p>
            <w:pPr>
              <w:spacing w:line="240" w:lineRule="auto"/>
              <w:jc w:val="left"/>
            </w:pPr>
            <w:r>
              <w:rPr>
                <w:rFonts w:ascii="Times New Roman" w:hAnsi="Times New Roman" w:eastAsia="Times New Roman"/>
                <w:b w:val="0"/>
                <w:caps w:val="0"/>
                <w:sz w:val="22"/>
              </w:rPr>
              <w:t>60–104–182</w:t>
            </w:r>
          </w:p>
        </w:tc>
        <w:tc>
          <w:tcPr>
            <w:tcW w:type="dxa" w:w="1768"/>
          </w:tcPr>
          <w:p>
            <w:pPr>
              <w:spacing w:line="240" w:lineRule="auto"/>
              <w:jc w:val="left"/>
            </w:pPr>
            <w:r>
              <w:rPr>
                <w:rFonts w:ascii="Times New Roman" w:hAnsi="Times New Roman" w:eastAsia="Times New Roman"/>
                <w:b w:val="0"/>
                <w:caps w:val="0"/>
                <w:sz w:val="22"/>
              </w:rPr>
              <w:t>10–21–42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18–28–46</w:t>
            </w:r>
          </w:p>
        </w:tc>
        <w:tc>
          <w:tcPr>
            <w:tcW w:type="dxa" w:w="1768"/>
          </w:tcPr>
          <w:p>
            <w:pPr>
              <w:spacing w:line="240" w:lineRule="auto"/>
              <w:jc w:val="left"/>
            </w:pPr>
            <w:r>
              <w:rPr>
                <w:rFonts w:ascii="Times New Roman" w:hAnsi="Times New Roman" w:eastAsia="Times New Roman"/>
                <w:b w:val="0"/>
                <w:caps w:val="0"/>
                <w:sz w:val="22"/>
              </w:rPr>
              <w:t>4–9–17</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60–102–164</w:t>
            </w:r>
          </w:p>
        </w:tc>
        <w:tc>
          <w:tcPr>
            <w:tcW w:type="dxa" w:w="1768"/>
          </w:tcPr>
          <w:p>
            <w:pPr>
              <w:spacing w:line="240" w:lineRule="auto"/>
              <w:jc w:val="left"/>
            </w:pPr>
            <w:r>
              <w:rPr>
                <w:rFonts w:ascii="Times New Roman" w:hAnsi="Times New Roman" w:eastAsia="Times New Roman"/>
                <w:b w:val="0"/>
                <w:caps w:val="0"/>
                <w:sz w:val="22"/>
              </w:rPr>
              <w:t>14–26–41</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206–285–470</w:t>
            </w:r>
          </w:p>
        </w:tc>
        <w:tc>
          <w:tcPr>
            <w:tcW w:type="dxa" w:w="1768"/>
          </w:tcPr>
          <w:p>
            <w:pPr>
              <w:spacing w:line="240" w:lineRule="auto"/>
              <w:jc w:val="left"/>
            </w:pPr>
            <w:r>
              <w:rPr>
                <w:rFonts w:ascii="Times New Roman" w:hAnsi="Times New Roman" w:eastAsia="Times New Roman"/>
                <w:b w:val="0"/>
                <w:caps w:val="0"/>
                <w:sz w:val="22"/>
              </w:rPr>
              <w:t>52–81–122</w:t>
            </w:r>
          </w:p>
        </w:tc>
        <w:tc>
          <w:tcPr>
            <w:tcW w:type="dxa" w:w="1768"/>
          </w:tcPr>
          <w:p>
            <w:pPr>
              <w:spacing w:line="240" w:lineRule="auto"/>
              <w:jc w:val="left"/>
            </w:pPr>
            <w:r>
              <w:rPr>
                <w:rFonts w:ascii="Times New Roman" w:hAnsi="Times New Roman" w:eastAsia="Times New Roman"/>
                <w:b w:val="0"/>
                <w:caps w:val="0"/>
                <w:sz w:val="22"/>
              </w:rPr>
              <w:t>10–19–40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16–24–37</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46–65–134</w:t>
            </w:r>
          </w:p>
        </w:tc>
        <w:tc>
          <w:tcPr>
            <w:tcW w:type="dxa" w:w="1768"/>
          </w:tcPr>
          <w:p>
            <w:pPr>
              <w:spacing w:line="240" w:lineRule="auto"/>
              <w:jc w:val="left"/>
            </w:pPr>
            <w:r>
              <w:rPr>
                <w:rFonts w:ascii="Times New Roman" w:hAnsi="Times New Roman" w:eastAsia="Times New Roman"/>
                <w:b w:val="0"/>
                <w:caps w:val="0"/>
                <w:sz w:val="22"/>
              </w:rPr>
              <w:t>12–19–27</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295 mospërputhje të strategjisë së botuar, 4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CLOC me 0.899,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dy nga katër vendet e para me të: CLOC, MAXCC. As TCC-ja dhe as WMC-ja, kushtet e strategjisë së botuar, nuk hyjnë te asnjëra listë (Tabela 43).</w:t>
      </w:r>
    </w:p>
    <w:p>
      <w:pPr>
        <w:keepNext/>
        <w:spacing w:line="240" w:lineRule="auto"/>
        <w:jc w:val="center"/>
      </w:pPr>
      <w:r>
        <w:rPr>
          <w:rFonts w:ascii="Times New Roman" w:hAnsi="Times New Roman" w:eastAsia="Times New Roman"/>
          <w:b w:val="0"/>
          <w:caps w:val="0"/>
          <w:sz w:val="22"/>
        </w:rPr>
        <w:t>Tabela 43.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3</w:t>
            </w:r>
          </w:p>
        </w:tc>
        <w:tc>
          <w:tcPr>
            <w:tcW w:type="dxa" w:w="1768"/>
          </w:tcPr>
          <w:p>
            <w:pPr>
              <w:spacing w:line="240" w:lineRule="auto"/>
              <w:jc w:val="left"/>
            </w:pPr>
            <w:r>
              <w:rPr>
                <w:rFonts w:ascii="Times New Roman" w:hAnsi="Times New Roman" w:eastAsia="Times New Roman"/>
                <w:b w:val="0"/>
                <w:caps w:val="0"/>
                <w:sz w:val="22"/>
              </w:rPr>
              <w:t>0.014</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18</w:t>
            </w:r>
          </w:p>
        </w:tc>
        <w:tc>
          <w:tcPr>
            <w:tcW w:type="dxa" w:w="1768"/>
          </w:tcPr>
          <w:p>
            <w:pPr>
              <w:spacing w:line="240" w:lineRule="auto"/>
              <w:jc w:val="left"/>
            </w:pPr>
            <w:r>
              <w:rPr>
                <w:rFonts w:ascii="Times New Roman" w:hAnsi="Times New Roman" w:eastAsia="Times New Roman"/>
                <w:b w:val="0"/>
                <w:caps w:val="0"/>
                <w:sz w:val="22"/>
              </w:rPr>
              <w:t>0.112</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41</w:t>
            </w:r>
          </w:p>
        </w:tc>
        <w:tc>
          <w:tcPr>
            <w:tcW w:type="dxa" w:w="1768"/>
          </w:tcPr>
          <w:p>
            <w:pPr>
              <w:spacing w:line="240" w:lineRule="auto"/>
              <w:jc w:val="left"/>
            </w:pPr>
            <w:r>
              <w:rPr>
                <w:rFonts w:ascii="Times New Roman" w:hAnsi="Times New Roman" w:eastAsia="Times New Roman"/>
                <w:b w:val="0"/>
                <w:caps w:val="0"/>
                <w:sz w:val="22"/>
              </w:rPr>
              <w:t>0.391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210</w:t>
            </w:r>
          </w:p>
        </w:tc>
        <w:tc>
          <w:tcPr>
            <w:tcW w:type="dxa" w:w="1768"/>
          </w:tcPr>
          <w:p>
            <w:pPr>
              <w:spacing w:line="240" w:lineRule="auto"/>
              <w:jc w:val="left"/>
            </w:pPr>
            <w:r>
              <w:rPr>
                <w:rFonts w:ascii="Times New Roman" w:hAnsi="Times New Roman" w:eastAsia="Times New Roman"/>
                <w:b w:val="0"/>
                <w:caps w:val="0"/>
                <w:sz w:val="22"/>
              </w:rPr>
              <w:t>19</w:t>
            </w:r>
          </w:p>
        </w:tc>
        <w:tc>
          <w:tcPr>
            <w:tcW w:type="dxa" w:w="1768"/>
          </w:tcPr>
          <w:p>
            <w:pPr>
              <w:spacing w:line="240" w:lineRule="auto"/>
              <w:jc w:val="left"/>
            </w:pPr>
            <w:r>
              <w:rPr>
                <w:rFonts w:ascii="Times New Roman" w:hAnsi="Times New Roman" w:eastAsia="Times New Roman"/>
                <w:b w:val="0"/>
                <w:caps w:val="0"/>
                <w:sz w:val="22"/>
              </w:rPr>
              <w:t>0.090</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161</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105</w:t>
            </w:r>
          </w:p>
        </w:tc>
        <w:tc>
          <w:tcPr>
            <w:tcW w:type="dxa" w:w="1768"/>
          </w:tcPr>
          <w:p>
            <w:pPr>
              <w:spacing w:line="240" w:lineRule="auto"/>
              <w:jc w:val="left"/>
            </w:pPr>
            <w:r>
              <w:rPr>
                <w:rFonts w:ascii="Times New Roman" w:hAnsi="Times New Roman" w:eastAsia="Times New Roman"/>
                <w:b w:val="0"/>
                <w:caps w:val="0"/>
                <w:sz w:val="22"/>
              </w:rPr>
              <w:t>84</w:t>
            </w:r>
          </w:p>
        </w:tc>
        <w:tc>
          <w:tcPr>
            <w:tcW w:type="dxa" w:w="1768"/>
          </w:tcPr>
          <w:p>
            <w:pPr>
              <w:spacing w:line="240" w:lineRule="auto"/>
              <w:jc w:val="left"/>
            </w:pPr>
            <w:r>
              <w:rPr>
                <w:rFonts w:ascii="Times New Roman" w:hAnsi="Times New Roman" w:eastAsia="Times New Roman"/>
                <w:b w:val="0"/>
                <w:caps w:val="0"/>
                <w:sz w:val="22"/>
              </w:rPr>
              <w:t>0.800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Kur një mostër ka më shumë se një rishikim, një votë «asnjë» përballë një vote të rëndë e ul mesataren për një shkallë të tërë. Nën mesatare pozitivët ndahen minor 265, major 82, critical 10, ndërsa nën MAX minor 210, major 161, critical 105: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0.014 te rastet që vetëm një rishikues i quajti të lehta, në 0.391 te ato që dikush i quajti kritike, pra rreth 27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dhe Kang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44).</w:t>
      </w:r>
    </w:p>
    <w:p>
      <w:pPr>
        <w:keepNext/>
        <w:spacing w:line="240" w:lineRule="auto"/>
        <w:jc w:val="center"/>
      </w:pPr>
      <w:r>
        <w:rPr>
          <w:rFonts w:ascii="Times New Roman" w:hAnsi="Times New Roman" w:eastAsia="Times New Roman"/>
          <w:b w:val="0"/>
          <w:caps w:val="0"/>
          <w:sz w:val="22"/>
        </w:rPr>
        <w:t>Tabela 44.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PeriodFormatterData</w:t>
            </w:r>
          </w:p>
        </w:tc>
        <w:tc>
          <w:tcPr>
            <w:tcW w:type="dxa" w:w="1768"/>
          </w:tcPr>
          <w:p>
            <w:pPr>
              <w:spacing w:line="240" w:lineRule="auto"/>
              <w:jc w:val="left"/>
            </w:pPr>
            <w:r>
              <w:rPr>
                <w:rFonts w:ascii="Times New Roman" w:hAnsi="Times New Roman" w:eastAsia="Times New Roman"/>
                <w:b w:val="0"/>
                <w:caps w:val="0"/>
                <w:sz w:val="22"/>
              </w:rPr>
              <w:t>370</w:t>
            </w:r>
          </w:p>
        </w:tc>
        <w:tc>
          <w:tcPr>
            <w:tcW w:type="dxa" w:w="1768"/>
          </w:tcPr>
          <w:p>
            <w:pPr>
              <w:spacing w:line="240" w:lineRule="auto"/>
              <w:jc w:val="left"/>
            </w:pPr>
            <w:r>
              <w:rPr>
                <w:rFonts w:ascii="Times New Roman" w:hAnsi="Times New Roman" w:eastAsia="Times New Roman"/>
                <w:b w:val="0"/>
                <w:caps w:val="0"/>
                <w:sz w:val="22"/>
              </w:rPr>
              <w:t>14</w:t>
            </w:r>
          </w:p>
        </w:tc>
        <w:tc>
          <w:tcPr>
            <w:tcW w:type="dxa" w:w="1768"/>
          </w:tcPr>
          <w:p>
            <w:pPr>
              <w:spacing w:line="240" w:lineRule="auto"/>
              <w:jc w:val="left"/>
            </w:pPr>
            <w:r>
              <w:rPr>
                <w:rFonts w:ascii="Times New Roman" w:hAnsi="Times New Roman" w:eastAsia="Times New Roman"/>
                <w:b w:val="0"/>
                <w:caps w:val="0"/>
                <w:sz w:val="22"/>
              </w:rPr>
              <w:t>197</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Files</w:t>
            </w:r>
          </w:p>
        </w:tc>
        <w:tc>
          <w:tcPr>
            <w:tcW w:type="dxa" w:w="1768"/>
          </w:tcPr>
          <w:p>
            <w:pPr>
              <w:spacing w:line="240" w:lineRule="auto"/>
              <w:jc w:val="left"/>
            </w:pPr>
            <w:r>
              <w:rPr>
                <w:rFonts w:ascii="Times New Roman" w:hAnsi="Times New Roman" w:eastAsia="Times New Roman"/>
                <w:b w:val="0"/>
                <w:caps w:val="0"/>
                <w:sz w:val="22"/>
              </w:rPr>
              <w:t>627</w:t>
            </w:r>
          </w:p>
        </w:tc>
        <w:tc>
          <w:tcPr>
            <w:tcW w:type="dxa" w:w="1768"/>
          </w:tcPr>
          <w:p>
            <w:pPr>
              <w:spacing w:line="240" w:lineRule="auto"/>
              <w:jc w:val="left"/>
            </w:pPr>
            <w:r>
              <w:rPr>
                <w:rFonts w:ascii="Times New Roman" w:hAnsi="Times New Roman" w:eastAsia="Times New Roman"/>
                <w:b w:val="0"/>
                <w:caps w:val="0"/>
                <w:sz w:val="22"/>
              </w:rPr>
              <w:t>78</w:t>
            </w:r>
          </w:p>
        </w:tc>
        <w:tc>
          <w:tcPr>
            <w:tcW w:type="dxa" w:w="1768"/>
          </w:tcPr>
          <w:p>
            <w:pPr>
              <w:spacing w:line="240" w:lineRule="auto"/>
              <w:jc w:val="left"/>
            </w:pPr>
            <w:r>
              <w:rPr>
                <w:rFonts w:ascii="Times New Roman" w:hAnsi="Times New Roman" w:eastAsia="Times New Roman"/>
                <w:b w:val="0"/>
                <w:caps w:val="0"/>
                <w:sz w:val="22"/>
              </w:rPr>
              <w:t>174</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30 mospërputhje të tilla, që e kalojnë klauzolën e kompleksitetit dhe ndalen vetëm te kohezioni; 30 u riparsuan dhe 26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30 nga 295, ndaj nuk e shpjegon recall-in e ulët. Ndryshimi i TCC-së do ta shkëpuste përkufizimin nga burimi, për një fitim jo më të madh se 0.084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