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Tetor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2023-2024</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Tetor 2026</w:t>
      </w:r>
    </w:p>
    <w:p>
      <w:pPr>
        <w:spacing w:line="360" w:lineRule="auto" w:after="0"/>
        <w:jc w:val="center"/>
      </w:pPr>
      <w:r>
        <w:rPr>
          <w:rFonts w:ascii="Times New Roman" w:hAnsi="Times New Roman" w:eastAsia="Times New Roman"/>
          <w:b w:val="0"/>
          <w:caps w:val="0"/>
          <w:sz w:val="28"/>
        </w:rPr>
        <w:t>Prishtinë</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Çdo zhvillues e njeh atë klasë që askush nuk do ta prekë: programi punon, por çdo ndryshim në të kushton më shumë nga sa duhet. Këto shenja të dizajnit të dobët, code smells, nuk janë gabime, por e shtrenjtojnë mirëmbajtjen dhe në sisteme të mëdha nuk gjenden me sy. Mjetet ekzistuese i kërkojnë me pragje fikse, të kalibruara mbi kod tjetër, dhe rrallë thonë si të ndreqen.</w:t>
      </w:r>
    </w:p>
    <w:p>
      <w:pPr>
        <w:spacing w:line="360" w:lineRule="auto"/>
        <w:ind w:firstLine="360"/>
        <w:jc w:val="both"/>
      </w:pPr>
      <w:r>
        <w:rPr>
          <w:rFonts w:ascii="Times New Roman" w:hAnsi="Times New Roman" w:eastAsia="Times New Roman"/>
          <w:b w:val="0"/>
          <w:caps w:val="0"/>
          <w:sz w:val="24"/>
        </w:rPr>
        <w:t>Ky punim pyet nëse erërat mund të gjenden dhe të ndreqen automatikisht në mënyrë që zhvilluesi t’i besojë. U ndërtua një sistem për Java me tri pjesë: detektim me strategjitë e publikuara mbi 26 metrika, klasifikues të trajnuar mbi po ato metrika, dhe një motor refaktorimi që e rishkruan kodin vetëm kur i provon parakushtet nga pema sintaksore. Dy qasjet e detektimit krahasohen mbi 9046 mostra nga 512 depo, të etiketuara nga zhvillues profesionistë, pa e vlerësuar kurrë modelin mbi projektin nga i cili mësoi.</w:t>
      </w:r>
    </w:p>
    <w:p>
      <w:pPr>
        <w:spacing w:line="360" w:lineRule="auto"/>
        <w:ind w:firstLine="360"/>
        <w:jc w:val="both"/>
      </w:pPr>
      <w:r>
        <w:rPr>
          <w:rFonts w:ascii="Times New Roman" w:hAnsi="Times New Roman" w:eastAsia="Times New Roman"/>
          <w:b w:val="0"/>
          <w:caps w:val="0"/>
          <w:sz w:val="24"/>
        </w:rPr>
        <w:t>Përgjigjja doli me dy anë. Rregullat e publikuara janë shpesh të sakta kur ndezin, por kapin vetëm 17 deri 47% të rasteve. Klasifikuesit i kalojnë te të katër erërat, me MCC 0.321 deri 0.723 kundrejt 0.243 deri 0.617, por dallimi qëndron statistikisht vetëm te tri. Te e katërta, Feature Envy, as dy rishikues njerëzorë nuk pajtohen më shumë se rastësia. Motori i refaktorimit transformoi 22.4% të vendeve dhe refuzoi kudo ku nuk i provonte dot parakushtet; vetëm 1.6% e rishkrimeve shtuan lloj të ri gabimi kompilimi, dhe sipas leximit me dorë të 60 rishkrimeve, të ripeshuar sipas transformimit, 62.9% janë të pranueshme për një zhvillues.</w:t>
      </w:r>
    </w:p>
    <w:p>
      <w:pPr>
        <w:spacing w:line="360" w:lineRule="auto"/>
        <w:ind w:firstLine="360"/>
        <w:jc w:val="both"/>
      </w:pPr>
      <w:r>
        <w:rPr>
          <w:rFonts w:ascii="Times New Roman" w:hAnsi="Times New Roman" w:eastAsia="Times New Roman"/>
          <w:b w:val="0"/>
          <w:caps w:val="0"/>
          <w:sz w:val="24"/>
        </w:rPr>
        <w:t>Mësimi kryesor është se kufiri i detektimit automatik nuk qëndron vetëm te algoritmi, por edhe te vetë përkufizimi i erës. Ruajtja e sjelljes së programit pas rishkrimit nuk u mat me teste dhe mbetet hapi i radhës. Çdo shifër e punimit rigjenerohet nga korpusi me një komandë.</w:t>
      </w:r>
    </w:p>
    <w:p>
      <w:pPr>
        <w:spacing w:line="240" w:lineRule="auto" w:after="0"/>
      </w:pPr>
    </w:p>
    <w:p>
      <w:pPr>
        <w:spacing w:line="360" w:lineRule="auto"/>
        <w:ind w:firstLine="360"/>
        <w:jc w:val="both"/>
      </w:pPr>
      <w:r>
        <w:rPr>
          <w:rFonts w:ascii="Times New Roman" w:hAnsi="Times New Roman" w:eastAsia="Times New Roman"/>
          <w:b/>
          <w:caps w:val="0"/>
          <w:sz w:val="24"/>
        </w:rPr>
        <w:t>Fjalë kyçe:</w:t>
      </w:r>
      <w:r>
        <w:rPr>
          <w:rFonts w:ascii="Times New Roman" w:hAnsi="Times New Roman" w:eastAsia="Times New Roman"/>
          <w:b w:val="0"/>
          <w:caps w:val="0"/>
          <w:sz w:val="24"/>
        </w:rPr>
        <w:t xml:space="preserv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Ky punim është përfundimi i disa viteve studimi, dhe asnjë prej tyre nuk e kalova vetëm. Pas faqeve të tij qëndrojnë njerëz që nuk përmenden në asnjë kapitull, por pa të cilët ai nuk do të ishte shkruar.</w:t>
      </w:r>
    </w:p>
    <w:p>
      <w:pPr>
        <w:spacing w:line="360" w:lineRule="auto"/>
        <w:ind w:firstLine="360"/>
        <w:jc w:val="both"/>
      </w:pPr>
      <w:r>
        <w:rPr>
          <w:rFonts w:ascii="Times New Roman" w:hAnsi="Times New Roman" w:eastAsia="Times New Roman"/>
          <w:b w:val="0"/>
          <w:caps w:val="0"/>
          <w:sz w:val="24"/>
        </w:rPr>
        <w:t>Falënderimi im i parë shkon për mentoren time, MSc. Altina Salihu, për udhëzimet, për kohën dhe për mbështetjen gjatë gjithë punës në këtë temë. Vërejtjet e saj, kapitull pas kapitulli, më mësuan të shkruaj më qartë, të mos e marr asnjë shifër si të mirëqenë dhe të pyes gjithmonë pse një rezultat ka dalë ashtu. Falë saj, punimi është më i saktë. Mënyrën e të menduarit që mësova gjatë kësaj pune do ta marr me vete edhe më tej.</w:t>
      </w:r>
    </w:p>
    <w:p>
      <w:pPr>
        <w:spacing w:line="360" w:lineRule="auto"/>
        <w:ind w:firstLine="360"/>
        <w:jc w:val="both"/>
      </w:pPr>
      <w:r>
        <w:rPr>
          <w:rFonts w:ascii="Times New Roman" w:hAnsi="Times New Roman" w:eastAsia="Times New Roman"/>
          <w:b w:val="0"/>
          <w:caps w:val="0"/>
          <w:sz w:val="24"/>
        </w:rPr>
        <w:t>Falënderoj profesorët dhe stafin e Programit për Shkenca Kompjuterike dhe Inxhinierisë në UBT. Njohuritë që mora në ligjërata dhe në projekte gjatë këtyre viteve janë themeli mbi të cilin u ndërtua ky punim.</w:t>
      </w:r>
    </w:p>
    <w:p>
      <w:pPr>
        <w:spacing w:line="360" w:lineRule="auto"/>
        <w:ind w:firstLine="360"/>
        <w:jc w:val="both"/>
      </w:pPr>
      <w:r>
        <w:rPr>
          <w:rFonts w:ascii="Times New Roman" w:hAnsi="Times New Roman" w:eastAsia="Times New Roman"/>
          <w:b w:val="0"/>
          <w:caps w:val="0"/>
          <w:sz w:val="24"/>
        </w:rPr>
        <w:t>Familjes sime i detyrohem më shumë nga sa mund të shkruhet në një faqe. Që nga dita e parë e studimeve e deri te kjo faqe, ajo më mbështeti pa kushte, më dha qetësinë të mësoj dhe besimin se do t’ia dal, edhe në çastet kur vetë nuk isha i sigurt.</w:t>
      </w:r>
    </w:p>
    <w:p>
      <w:pPr>
        <w:spacing w:line="360" w:lineRule="auto"/>
        <w:ind w:firstLine="360"/>
        <w:jc w:val="both"/>
      </w:pPr>
      <w:r>
        <w:rPr>
          <w:rFonts w:ascii="Times New Roman" w:hAnsi="Times New Roman" w:eastAsia="Times New Roman"/>
          <w:b w:val="0"/>
          <w:caps w:val="0"/>
          <w:sz w:val="24"/>
        </w:rPr>
        <w:t>Shokëve dhe kolegëve të mi u jam mirënjohës për bisedat, për ndihmën kur ngecja dhe për shoqërinë që i bëri vitet e studimeve më të lehta dhe më të bukura. Falënderoj edhe këdo tjetër që, me një fjalë apo me një gjest, më ndihmoi të arrij deri këtu.</w:t>
      </w:r>
    </w:p>
    <w:p>
      <w:pPr>
        <w:spacing w:line="360" w:lineRule="auto"/>
        <w:ind w:firstLine="360"/>
        <w:jc w:val="both"/>
      </w:pPr>
      <w:r>
        <w:rPr>
          <w:rFonts w:ascii="Times New Roman" w:hAnsi="Times New Roman" w:eastAsia="Times New Roman"/>
          <w:b w:val="0"/>
          <w:caps w:val="0"/>
          <w:sz w:val="24"/>
        </w:rPr>
        <w:t>Në fund, këtë punim ia kushtoj kujtimit të gjyshit dhe të gjyshes sime, dhe të nipit tim, Omerit. Asnjëri prej tyre nuk është më me ne për ta parë këtë ditë, por të tre mbeten pjesë e saj.</w:t>
      </w:r>
    </w:p>
    <w:p>
      <w:pPr>
        <w:spacing w:line="360" w:lineRule="auto" w:before="240" w:after="0"/>
      </w:pPr>
      <w:r>
        <w:rPr>
          <w:rFonts w:ascii="Times New Roman" w:hAnsi="Times New Roman" w:eastAsia="Times New Roman"/>
          <w:b w:val="0"/>
          <w:caps w:val="0"/>
          <w:sz w:val="24"/>
        </w:rPr>
        <w:t>Florent Latifi</w:t>
      </w:r>
    </w:p>
    <w:p>
      <w:pPr>
        <w:spacing w:line="360" w:lineRule="auto" w:before="0" w:after="0"/>
      </w:pPr>
      <w:r>
        <w:rPr>
          <w:rFonts w:ascii="Times New Roman" w:hAnsi="Times New Roman" w:eastAsia="Times New Roman"/>
          <w:b w:val="0"/>
          <w:caps w:val="0"/>
          <w:sz w:val="24"/>
        </w:rPr>
        <w:t>Prishtinë, Tetor 2026</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Një rishkrim i motorit mbi korpus: Replace Nested Conditional with Guard Clauses, para dhe pas</w:t>
      </w:r>
    </w:p>
    <w:p>
      <w:pPr>
        <w:spacing w:line="360" w:lineRule="auto"/>
        <w:ind w:firstLine="360"/>
        <w:jc w:val="both"/>
      </w:pPr>
      <w:r>
        <w:rPr>
          <w:rFonts w:ascii="Times New Roman" w:hAnsi="Times New Roman" w:eastAsia="Times New Roman"/>
          <w:b w:val="0"/>
          <w:caps w:val="0"/>
          <w:sz w:val="24"/>
        </w:rPr>
        <w:t>Figura 3. Paneli i ndërfaqes pas analizës së projektit jsoup, në mënyrën e thjeshtë</w:t>
      </w:r>
    </w:p>
    <w:p>
      <w:pPr>
        <w:spacing w:line="360" w:lineRule="auto"/>
        <w:ind w:firstLine="360"/>
        <w:jc w:val="both"/>
      </w:pPr>
      <w:r>
        <w:rPr>
          <w:rFonts w:ascii="Times New Roman" w:hAnsi="Times New Roman" w:eastAsia="Times New Roman"/>
          <w:b w:val="0"/>
          <w:caps w:val="0"/>
          <w:sz w:val="24"/>
        </w:rPr>
        <w:t>Figura 4. Ndryshimi që propozon Extract Method për NodeTraversor.traverse në jsoup, ashtu si e shfaq ndërfaqja</w:t>
      </w:r>
    </w:p>
    <w:p>
      <w:pPr>
        <w:spacing w:line="360" w:lineRule="auto"/>
        <w:ind w:firstLine="360"/>
        <w:jc w:val="both"/>
      </w:pPr>
      <w:r>
        <w:rPr>
          <w:rFonts w:ascii="Times New Roman" w:hAnsi="Times New Roman" w:eastAsia="Times New Roman"/>
          <w:b w:val="0"/>
          <w:caps w:val="0"/>
          <w:sz w:val="24"/>
        </w:rPr>
        <w:t>Figura 5. Shpërndarja e mostrave sipas erës</w:t>
      </w:r>
    </w:p>
    <w:p>
      <w:pPr>
        <w:spacing w:line="360" w:lineRule="auto"/>
        <w:ind w:firstLine="360"/>
        <w:jc w:val="both"/>
      </w:pPr>
      <w:r>
        <w:rPr>
          <w:rFonts w:ascii="Times New Roman" w:hAnsi="Times New Roman" w:eastAsia="Times New Roman"/>
          <w:b w:val="0"/>
          <w:caps w:val="0"/>
          <w:sz w:val="24"/>
        </w:rPr>
        <w:t>Figura 6. Recall-i sipas ashpërsisë së caktuar nga rishikuesit</w:t>
      </w:r>
    </w:p>
    <w:p>
      <w:pPr>
        <w:spacing w:line="360" w:lineRule="auto"/>
        <w:ind w:firstLine="360"/>
        <w:jc w:val="both"/>
      </w:pPr>
      <w:r>
        <w:rPr>
          <w:rFonts w:ascii="Times New Roman" w:hAnsi="Times New Roman" w:eastAsia="Times New Roman"/>
          <w:b w:val="0"/>
          <w:caps w:val="0"/>
          <w:sz w:val="24"/>
        </w:rPr>
        <w:t>Figura 7. Veçoritë me rëndësi më të lartë, të matura me permutim</w:t>
      </w:r>
    </w:p>
    <w:p>
      <w:pPr>
        <w:spacing w:line="360" w:lineRule="auto"/>
        <w:ind w:firstLine="360"/>
        <w:jc w:val="both"/>
      </w:pPr>
      <w:r>
        <w:rPr>
          <w:rFonts w:ascii="Times New Roman" w:hAnsi="Times New Roman" w:eastAsia="Times New Roman"/>
          <w:b w:val="0"/>
          <w:caps w:val="0"/>
          <w:sz w:val="24"/>
        </w:rPr>
        <w:t>Figura 8. MCC për të dyja qasjet</w:t>
      </w:r>
    </w:p>
    <w:p>
      <w:pPr>
        <w:spacing w:line="360" w:lineRule="auto"/>
        <w:ind w:firstLine="360"/>
        <w:jc w:val="both"/>
      </w:pPr>
      <w:r>
        <w:rPr>
          <w:rFonts w:ascii="Times New Roman" w:hAnsi="Times New Roman" w:eastAsia="Times New Roman"/>
          <w:b w:val="0"/>
          <w:caps w:val="0"/>
          <w:sz w:val="24"/>
        </w:rPr>
        <w:t>Figura 9. Mostrat e shënuara nga secila qasje</w:t>
      </w:r>
    </w:p>
    <w:p>
      <w:pPr>
        <w:spacing w:line="360" w:lineRule="auto"/>
        <w:ind w:firstLine="360"/>
        <w:jc w:val="both"/>
      </w:pPr>
      <w:r>
        <w:rPr>
          <w:rFonts w:ascii="Times New Roman" w:hAnsi="Times New Roman" w:eastAsia="Times New Roman"/>
          <w:b w:val="0"/>
          <w:caps w:val="0"/>
          <w:sz w:val="24"/>
        </w:rPr>
        <w:t>Figura 10. Nga vendet e detektuara te erërat e hequra</w:t>
      </w:r>
    </w:p>
    <w:p>
      <w:pPr>
        <w:spacing w:line="360" w:lineRule="auto"/>
        <w:ind w:firstLine="360"/>
        <w:jc w:val="both"/>
      </w:pPr>
      <w:r>
        <w:rPr>
          <w:rFonts w:ascii="Times New Roman" w:hAnsi="Times New Roman" w:eastAsia="Times New Roman"/>
          <w:b w:val="0"/>
          <w:caps w:val="0"/>
          <w:sz w:val="24"/>
        </w:rPr>
        <w:t>Figura 11. Pranueshmëria e rishkrimeve sipas transformimit</w:t>
      </w:r>
    </w:p>
    <w:p>
      <w:pPr>
        <w:spacing w:line="360" w:lineRule="auto"/>
        <w:ind w:firstLine="360"/>
        <w:jc w:val="both"/>
      </w:pPr>
      <w:r>
        <w:rPr>
          <w:rFonts w:ascii="Times New Roman" w:hAnsi="Times New Roman" w:eastAsia="Times New Roman"/>
          <w:b w:val="0"/>
          <w:caps w:val="0"/>
          <w:sz w:val="24"/>
        </w:rPr>
        <w:t>Figura 12. Dy arsyet kryesore të refuzimit sipas nivelit të ashpërsisë</w:t>
      </w:r>
    </w:p>
    <w:p>
      <w:pPr>
        <w:spacing w:line="360" w:lineRule="auto"/>
        <w:ind w:firstLine="360"/>
        <w:jc w:val="both"/>
      </w:pPr>
      <w:r>
        <w:rPr>
          <w:rFonts w:ascii="Times New Roman" w:hAnsi="Times New Roman" w:eastAsia="Times New Roman"/>
          <w:b w:val="0"/>
          <w:caps w:val="0"/>
          <w:sz w:val="24"/>
        </w:rPr>
        <w:t>Figura 13. Ndjeshmëria e MCC-së ndaj zhvendosjes së pragjeve</w:t>
      </w:r>
    </w:p>
    <w:p>
      <w:pPr>
        <w:spacing w:line="360" w:lineRule="auto"/>
        <w:ind w:firstLine="360"/>
        <w:jc w:val="both"/>
      </w:pPr>
      <w:r>
        <w:rPr>
          <w:rFonts w:ascii="Times New Roman" w:hAnsi="Times New Roman" w:eastAsia="Times New Roman"/>
          <w:b w:val="0"/>
          <w:caps w:val="0"/>
          <w:sz w:val="24"/>
        </w:rPr>
        <w:t>Figura 14. MCC me interval besimi 95% për të dyja qasjet</w:t>
      </w:r>
    </w:p>
    <w:p>
      <w:pPr>
        <w:spacing w:line="360" w:lineRule="auto"/>
        <w:ind w:firstLine="360"/>
        <w:jc w:val="both"/>
      </w:pPr>
      <w:r>
        <w:rPr>
          <w:rFonts w:ascii="Times New Roman" w:hAnsi="Times New Roman" w:eastAsia="Times New Roman"/>
          <w:b w:val="0"/>
          <w:caps w:val="0"/>
          <w:sz w:val="24"/>
        </w:rPr>
        <w:t>Figura 15. Ashpërsia e derivuar kundrejt asaj që caktuan rishikuesit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MCC e çdo algoritmi të Qasjes B, jashtë fold-it</w:t>
      </w:r>
    </w:p>
    <w:p>
      <w:pPr>
        <w:spacing w:line="360" w:lineRule="auto"/>
        <w:ind w:firstLine="360"/>
        <w:jc w:val="both"/>
      </w:pPr>
      <w:r>
        <w:rPr>
          <w:rFonts w:ascii="Times New Roman" w:hAnsi="Times New Roman" w:eastAsia="Times New Roman"/>
          <w:b w:val="0"/>
          <w:caps w:val="0"/>
          <w:sz w:val="24"/>
        </w:rPr>
        <w:t>Tabela 6. Sa shpesh një matje e vetme e mban verdiktin</w:t>
      </w:r>
    </w:p>
    <w:p>
      <w:pPr>
        <w:spacing w:line="360" w:lineRule="auto"/>
        <w:ind w:firstLine="360"/>
        <w:jc w:val="both"/>
      </w:pPr>
      <w:r>
        <w:rPr>
          <w:rFonts w:ascii="Times New Roman" w:hAnsi="Times New Roman" w:eastAsia="Times New Roman"/>
          <w:b w:val="0"/>
          <w:caps w:val="0"/>
          <w:sz w:val="24"/>
        </w:rPr>
        <w:t>Tabela 7. MCC me metrikat e strategjisë dhe me të gjitha metrikat</w:t>
      </w:r>
    </w:p>
    <w:p>
      <w:pPr>
        <w:spacing w:line="360" w:lineRule="auto"/>
        <w:ind w:firstLine="360"/>
        <w:jc w:val="both"/>
      </w:pPr>
      <w:r>
        <w:rPr>
          <w:rFonts w:ascii="Times New Roman" w:hAnsi="Times New Roman" w:eastAsia="Times New Roman"/>
          <w:b w:val="0"/>
          <w:caps w:val="0"/>
          <w:sz w:val="24"/>
        </w:rPr>
        <w:t>Tabela 8. Pajtimi mes dy qasjeve</w:t>
      </w:r>
    </w:p>
    <w:p>
      <w:pPr>
        <w:spacing w:line="360" w:lineRule="auto"/>
        <w:ind w:firstLine="360"/>
        <w:jc w:val="both"/>
      </w:pPr>
      <w:r>
        <w:rPr>
          <w:rFonts w:ascii="Times New Roman" w:hAnsi="Times New Roman" w:eastAsia="Times New Roman"/>
          <w:b w:val="0"/>
          <w:caps w:val="0"/>
          <w:sz w:val="24"/>
        </w:rPr>
        <w:t>Tabela 9. Të dyja qasjet së bashku</w:t>
      </w:r>
    </w:p>
    <w:p>
      <w:pPr>
        <w:spacing w:line="360" w:lineRule="auto"/>
        <w:ind w:firstLine="360"/>
        <w:jc w:val="both"/>
      </w:pPr>
      <w:r>
        <w:rPr>
          <w:rFonts w:ascii="Times New Roman" w:hAnsi="Times New Roman" w:eastAsia="Times New Roman"/>
          <w:b w:val="0"/>
          <w:caps w:val="0"/>
          <w:sz w:val="24"/>
        </w:rPr>
        <w:t>Tabela 10. Rezultati i motorit të refaktorimit</w:t>
      </w:r>
    </w:p>
    <w:p>
      <w:pPr>
        <w:spacing w:line="360" w:lineRule="auto"/>
        <w:ind w:firstLine="360"/>
        <w:jc w:val="both"/>
      </w:pPr>
      <w:r>
        <w:rPr>
          <w:rFonts w:ascii="Times New Roman" w:hAnsi="Times New Roman" w:eastAsia="Times New Roman"/>
          <w:b w:val="0"/>
          <w:caps w:val="0"/>
          <w:sz w:val="24"/>
        </w:rPr>
        <w:t>Tabela 11. Pse u refuzuan</w:t>
      </w:r>
    </w:p>
    <w:p>
      <w:pPr>
        <w:spacing w:line="360" w:lineRule="auto"/>
        <w:ind w:firstLine="360"/>
        <w:jc w:val="both"/>
      </w:pPr>
      <w:r>
        <w:rPr>
          <w:rFonts w:ascii="Times New Roman" w:hAnsi="Times New Roman" w:eastAsia="Times New Roman"/>
          <w:b w:val="0"/>
          <w:caps w:val="0"/>
          <w:sz w:val="24"/>
        </w:rPr>
        <w:t>Tabela 12. Verifikimi i atyre që u aplikuan</w:t>
      </w:r>
    </w:p>
    <w:p>
      <w:pPr>
        <w:spacing w:line="360" w:lineRule="auto"/>
        <w:ind w:firstLine="360"/>
        <w:jc w:val="both"/>
      </w:pPr>
      <w:r>
        <w:rPr>
          <w:rFonts w:ascii="Times New Roman" w:hAnsi="Times New Roman" w:eastAsia="Times New Roman"/>
          <w:b w:val="0"/>
          <w:caps w:val="0"/>
          <w:sz w:val="24"/>
        </w:rPr>
        <w:t>Tabela 13. A u hoq era pas rishkrimit</w:t>
      </w:r>
    </w:p>
    <w:p>
      <w:pPr>
        <w:spacing w:line="360" w:lineRule="auto"/>
        <w:ind w:firstLine="360"/>
        <w:jc w:val="both"/>
      </w:pPr>
      <w:r>
        <w:rPr>
          <w:rFonts w:ascii="Times New Roman" w:hAnsi="Times New Roman" w:eastAsia="Times New Roman"/>
          <w:b w:val="0"/>
          <w:caps w:val="0"/>
          <w:sz w:val="24"/>
        </w:rPr>
        <w:t>Tabela 14. Sa lëvizi matja pas rishkrimit</w:t>
      </w:r>
    </w:p>
    <w:p>
      <w:pPr>
        <w:spacing w:line="360" w:lineRule="auto"/>
        <w:ind w:firstLine="360"/>
        <w:jc w:val="both"/>
      </w:pPr>
      <w:r>
        <w:rPr>
          <w:rFonts w:ascii="Times New Roman" w:hAnsi="Times New Roman" w:eastAsia="Times New Roman"/>
          <w:b w:val="0"/>
          <w:caps w:val="0"/>
          <w:sz w:val="24"/>
        </w:rPr>
        <w:t>Tabela 15.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16. Pranueshmëria e rishkrimeve sipas rishikuesit</w:t>
      </w:r>
    </w:p>
    <w:p>
      <w:pPr>
        <w:spacing w:line="360" w:lineRule="auto"/>
        <w:ind w:firstLine="360"/>
        <w:jc w:val="both"/>
      </w:pPr>
      <w:r>
        <w:rPr>
          <w:rFonts w:ascii="Times New Roman" w:hAnsi="Times New Roman" w:eastAsia="Times New Roman"/>
          <w:b w:val="0"/>
          <w:caps w:val="0"/>
          <w:sz w:val="24"/>
        </w:rPr>
        <w:t>Tabela 17. Norma e transformimit sipas erës dhe ashpërsisë</w:t>
      </w:r>
    </w:p>
    <w:p>
      <w:pPr>
        <w:spacing w:line="360" w:lineRule="auto"/>
        <w:ind w:firstLine="360"/>
        <w:jc w:val="both"/>
      </w:pPr>
      <w:r>
        <w:rPr>
          <w:rFonts w:ascii="Times New Roman" w:hAnsi="Times New Roman" w:eastAsia="Times New Roman"/>
          <w:b w:val="0"/>
          <w:caps w:val="0"/>
          <w:sz w:val="24"/>
        </w:rPr>
        <w:t>Tabela 18. Përbërja e arsyeve të refuzimit brenda çdo niveli</w:t>
      </w:r>
    </w:p>
    <w:p>
      <w:pPr>
        <w:spacing w:line="360" w:lineRule="auto"/>
        <w:ind w:firstLine="360"/>
        <w:jc w:val="both"/>
      </w:pPr>
      <w:r>
        <w:rPr>
          <w:rFonts w:ascii="Times New Roman" w:hAnsi="Times New Roman" w:eastAsia="Times New Roman"/>
          <w:b w:val="0"/>
          <w:caps w:val="0"/>
          <w:sz w:val="24"/>
        </w:rPr>
        <w:t>Tabela 19. Rezultati i refaktorimit sipas transformimit</w:t>
      </w:r>
    </w:p>
    <w:p>
      <w:pPr>
        <w:spacing w:line="360" w:lineRule="auto"/>
        <w:ind w:firstLine="360"/>
        <w:jc w:val="both"/>
      </w:pPr>
      <w:r>
        <w:rPr>
          <w:rFonts w:ascii="Times New Roman" w:hAnsi="Times New Roman" w:eastAsia="Times New Roman"/>
          <w:b w:val="0"/>
          <w:caps w:val="0"/>
          <w:sz w:val="24"/>
        </w:rPr>
        <w:t>Tabela 20. Sa lëviz MCC-ja kur zhvendoset një prag</w:t>
      </w:r>
    </w:p>
    <w:p>
      <w:pPr>
        <w:spacing w:line="360" w:lineRule="auto"/>
        <w:ind w:firstLine="360"/>
        <w:jc w:val="both"/>
      </w:pPr>
      <w:r>
        <w:rPr>
          <w:rFonts w:ascii="Times New Roman" w:hAnsi="Times New Roman" w:eastAsia="Times New Roman"/>
          <w:b w:val="0"/>
          <w:caps w:val="0"/>
          <w:sz w:val="24"/>
        </w:rPr>
        <w:t>Tabela 21.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22.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23. Intervale besimi 95% për MCC-në</w:t>
      </w:r>
    </w:p>
    <w:p>
      <w:pPr>
        <w:spacing w:line="360" w:lineRule="auto"/>
        <w:ind w:firstLine="360"/>
        <w:jc w:val="both"/>
      </w:pPr>
      <w:r>
        <w:rPr>
          <w:rFonts w:ascii="Times New Roman" w:hAnsi="Times New Roman" w:eastAsia="Times New Roman"/>
          <w:b w:val="0"/>
          <w:caps w:val="0"/>
          <w:sz w:val="24"/>
        </w:rPr>
        <w:t>Tabela 24. B − A kur rregullat marrin pragun e tyre më të mirë</w:t>
      </w:r>
    </w:p>
    <w:p>
      <w:pPr>
        <w:spacing w:line="360" w:lineRule="auto"/>
        <w:ind w:firstLine="360"/>
        <w:jc w:val="both"/>
      </w:pPr>
      <w:r>
        <w:rPr>
          <w:rFonts w:ascii="Times New Roman" w:hAnsi="Times New Roman" w:eastAsia="Times New Roman"/>
          <w:b w:val="0"/>
          <w:caps w:val="0"/>
          <w:sz w:val="24"/>
        </w:rPr>
        <w:t>Tabela 25. Sa pajtohen rishikuesit me njëri-tjetrin</w:t>
      </w:r>
    </w:p>
    <w:p>
      <w:pPr>
        <w:spacing w:line="360" w:lineRule="auto"/>
        <w:ind w:firstLine="360"/>
        <w:jc w:val="both"/>
      </w:pPr>
      <w:r>
        <w:rPr>
          <w:rFonts w:ascii="Times New Roman" w:hAnsi="Times New Roman" w:eastAsia="Times New Roman"/>
          <w:b w:val="0"/>
          <w:caps w:val="0"/>
          <w:sz w:val="24"/>
        </w:rPr>
        <w:t>Tabela 26. Shifrat kryesore sipas pyetjes kërkimore</w:t>
      </w:r>
    </w:p>
    <w:p>
      <w:pPr>
        <w:spacing w:line="360" w:lineRule="auto"/>
        <w:ind w:firstLine="360"/>
        <w:jc w:val="both"/>
      </w:pPr>
      <w:r>
        <w:rPr>
          <w:rFonts w:ascii="Times New Roman" w:hAnsi="Times New Roman" w:eastAsia="Times New Roman"/>
          <w:b w:val="0"/>
          <w:caps w:val="0"/>
          <w:sz w:val="24"/>
        </w:rPr>
        <w:t>Tabela 27. Krahasimi i MCC-së me Madeyski dhe Lewowski (2023), mbi MLCQ</w:t>
      </w:r>
    </w:p>
    <w:p>
      <w:pPr>
        <w:spacing w:line="360" w:lineRule="auto"/>
        <w:ind w:firstLine="360"/>
        <w:jc w:val="both"/>
      </w:pPr>
      <w:r>
        <w:rPr>
          <w:rFonts w:ascii="Times New Roman" w:hAnsi="Times New Roman" w:eastAsia="Times New Roman"/>
          <w:b w:val="0"/>
          <w:caps w:val="0"/>
          <w:sz w:val="24"/>
        </w:rPr>
        <w:t>Tabela 28. Gjetjet e punimit përballë literaturës</w:t>
      </w:r>
    </w:p>
    <w:p>
      <w:pPr>
        <w:spacing w:line="360" w:lineRule="auto"/>
        <w:ind w:firstLine="360"/>
        <w:jc w:val="both"/>
      </w:pPr>
      <w:r>
        <w:rPr>
          <w:rFonts w:ascii="Times New Roman" w:hAnsi="Times New Roman" w:eastAsia="Times New Roman"/>
          <w:b w:val="0"/>
          <w:caps w:val="0"/>
          <w:sz w:val="24"/>
        </w:rPr>
        <w:t>Tabela 29. Përgjigjet e shkurtra ndaj pyetjeve kërkimore</w:t>
      </w:r>
    </w:p>
    <w:p>
      <w:pPr>
        <w:spacing w:line="360" w:lineRule="auto"/>
        <w:ind w:firstLine="360"/>
        <w:jc w:val="both"/>
      </w:pPr>
      <w:r>
        <w:rPr>
          <w:rFonts w:ascii="Times New Roman" w:hAnsi="Times New Roman" w:eastAsia="Times New Roman"/>
          <w:b w:val="0"/>
          <w:caps w:val="0"/>
          <w:sz w:val="24"/>
        </w:rPr>
        <w:t>Tabela 30. Kufizimet e sistemit dhe pasojat e tyre</w:t>
      </w:r>
    </w:p>
    <w:p>
      <w:pPr>
        <w:spacing w:line="360" w:lineRule="auto"/>
        <w:ind w:firstLine="360"/>
        <w:jc w:val="both"/>
      </w:pPr>
      <w:r>
        <w:rPr>
          <w:rFonts w:ascii="Times New Roman" w:hAnsi="Times New Roman" w:eastAsia="Times New Roman"/>
          <w:b w:val="0"/>
          <w:caps w:val="0"/>
          <w:sz w:val="24"/>
        </w:rPr>
        <w:t>Tabela 31. Strategjitë e detektimit dhe burimet e tyre</w:t>
      </w:r>
    </w:p>
    <w:p>
      <w:pPr>
        <w:spacing w:line="360" w:lineRule="auto"/>
        <w:ind w:firstLine="360"/>
        <w:jc w:val="both"/>
      </w:pPr>
      <w:r>
        <w:rPr>
          <w:rFonts w:ascii="Times New Roman" w:hAnsi="Times New Roman" w:eastAsia="Times New Roman"/>
          <w:b w:val="0"/>
          <w:caps w:val="0"/>
          <w:sz w:val="24"/>
        </w:rPr>
        <w:t>Tabela 32. Kuantifikuesit e përgjithshëm</w:t>
      </w:r>
    </w:p>
    <w:p>
      <w:pPr>
        <w:spacing w:line="360" w:lineRule="auto"/>
        <w:ind w:firstLine="360"/>
        <w:jc w:val="both"/>
      </w:pPr>
      <w:r>
        <w:rPr>
          <w:rFonts w:ascii="Times New Roman" w:hAnsi="Times New Roman" w:eastAsia="Times New Roman"/>
          <w:b w:val="0"/>
          <w:caps w:val="0"/>
          <w:sz w:val="24"/>
        </w:rPr>
        <w:t>Tabela 33. Pragjet e përdorura</w:t>
      </w:r>
    </w:p>
    <w:p>
      <w:pPr>
        <w:spacing w:line="360" w:lineRule="auto"/>
        <w:ind w:firstLine="360"/>
        <w:jc w:val="both"/>
      </w:pPr>
      <w:r>
        <w:rPr>
          <w:rFonts w:ascii="Times New Roman" w:hAnsi="Times New Roman" w:eastAsia="Times New Roman"/>
          <w:b w:val="0"/>
          <w:caps w:val="0"/>
          <w:sz w:val="24"/>
        </w:rPr>
        <w:t>Tabela 34. Metrikat sipas nivelit</w:t>
      </w:r>
    </w:p>
    <w:p>
      <w:pPr>
        <w:spacing w:line="360" w:lineRule="auto"/>
        <w:ind w:firstLine="360"/>
        <w:jc w:val="both"/>
      </w:pPr>
      <w:r>
        <w:rPr>
          <w:rFonts w:ascii="Times New Roman" w:hAnsi="Times New Roman" w:eastAsia="Times New Roman"/>
          <w:b w:val="0"/>
          <w:caps w:val="0"/>
          <w:sz w:val="24"/>
        </w:rPr>
        <w:t>Tabela 35. Çfarë propozohet dhe çfarë aplikohet</w:t>
      </w:r>
    </w:p>
    <w:p>
      <w:pPr>
        <w:spacing w:line="360" w:lineRule="auto"/>
        <w:ind w:firstLine="360"/>
        <w:jc w:val="both"/>
      </w:pPr>
      <w:r>
        <w:rPr>
          <w:rFonts w:ascii="Times New Roman" w:hAnsi="Times New Roman" w:eastAsia="Times New Roman"/>
          <w:b w:val="0"/>
          <w:caps w:val="0"/>
          <w:sz w:val="24"/>
        </w:rPr>
        <w:t>Tabela 36. Arsyet e refuzimit</w:t>
      </w:r>
    </w:p>
    <w:p>
      <w:pPr>
        <w:spacing w:line="360" w:lineRule="auto"/>
        <w:ind w:firstLine="360"/>
        <w:jc w:val="both"/>
      </w:pPr>
      <w:r>
        <w:rPr>
          <w:rFonts w:ascii="Times New Roman" w:hAnsi="Times New Roman" w:eastAsia="Times New Roman"/>
          <w:b w:val="0"/>
          <w:caps w:val="0"/>
          <w:sz w:val="24"/>
        </w:rPr>
        <w:t>Tabela 37. Radha e ekzekutimit</w:t>
      </w:r>
    </w:p>
    <w:p>
      <w:pPr>
        <w:spacing w:line="360" w:lineRule="auto"/>
        <w:ind w:firstLine="360"/>
        <w:jc w:val="both"/>
      </w:pPr>
      <w:r>
        <w:rPr>
          <w:rFonts w:ascii="Times New Roman" w:hAnsi="Times New Roman" w:eastAsia="Times New Roman"/>
          <w:b w:val="0"/>
          <w:caps w:val="0"/>
          <w:sz w:val="24"/>
        </w:rPr>
        <w:t>Tabela 38. Commit-i që prodhoi çdo skedar rezultati</w:t>
      </w:r>
    </w:p>
    <w:p>
      <w:pPr>
        <w:spacing w:line="360" w:lineRule="auto"/>
        <w:ind w:firstLine="360"/>
        <w:jc w:val="both"/>
      </w:pPr>
      <w:r>
        <w:rPr>
          <w:rFonts w:ascii="Times New Roman" w:hAnsi="Times New Roman" w:eastAsia="Times New Roman"/>
          <w:b w:val="0"/>
          <w:caps w:val="0"/>
          <w:sz w:val="24"/>
        </w:rPr>
        <w:t>Tabela 39. Sa klauzola dështuan te secila mospërputhje</w:t>
      </w:r>
    </w:p>
    <w:p>
      <w:pPr>
        <w:spacing w:line="360" w:lineRule="auto"/>
        <w:ind w:firstLine="360"/>
        <w:jc w:val="both"/>
      </w:pPr>
      <w:r>
        <w:rPr>
          <w:rFonts w:ascii="Times New Roman" w:hAnsi="Times New Roman" w:eastAsia="Times New Roman"/>
          <w:b w:val="0"/>
          <w:caps w:val="0"/>
          <w:sz w:val="24"/>
        </w:rPr>
        <w:t>Tabela 40. Kur një klauzolë e vetme e ndal strategjinë</w:t>
      </w:r>
    </w:p>
    <w:p>
      <w:pPr>
        <w:spacing w:line="360" w:lineRule="auto"/>
        <w:ind w:firstLine="360"/>
        <w:jc w:val="both"/>
      </w:pPr>
      <w:r>
        <w:rPr>
          <w:rFonts w:ascii="Times New Roman" w:hAnsi="Times New Roman" w:eastAsia="Times New Roman"/>
          <w:b w:val="0"/>
          <w:caps w:val="0"/>
          <w:sz w:val="24"/>
        </w:rPr>
        <w:t>Tabela 41. Pajtimi i ashpërsisë me rishikuesit</w:t>
      </w:r>
    </w:p>
    <w:p>
      <w:pPr>
        <w:spacing w:line="360" w:lineRule="auto"/>
        <w:ind w:firstLine="360"/>
        <w:jc w:val="both"/>
      </w:pPr>
      <w:r>
        <w:rPr>
          <w:rFonts w:ascii="Times New Roman" w:hAnsi="Times New Roman" w:eastAsia="Times New Roman"/>
          <w:b w:val="0"/>
          <w:caps w:val="0"/>
          <w:sz w:val="24"/>
        </w:rPr>
        <w:t>Tabela 42.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43.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44.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Bootstrap – rimostrim me kthim për të vlerësuar pasigurinë e një treguesi</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Commit – një gjendje e ruajtur e kodit në historikun e git-it</w:t>
      </w:r>
    </w:p>
    <w:p>
      <w:pPr>
        <w:pStyle w:val="ListBullet"/>
        <w:spacing w:line="360" w:lineRule="auto"/>
        <w:jc w:val="both"/>
      </w:pPr>
      <w:r>
        <w:rPr>
          <w:rFonts w:ascii="Times New Roman" w:hAnsi="Times New Roman" w:eastAsia="Times New Roman"/>
          <w:b w:val="0"/>
          <w:caps w:val="0"/>
          <w:sz w:val="24"/>
        </w:rPr>
        <w:t>Dataset – bashkësi të dhënash e etiketuar</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 (2010)</w:t>
      </w:r>
    </w:p>
    <w:p>
      <w:pPr>
        <w:pStyle w:val="ListBullet"/>
        <w:spacing w:line="360" w:lineRule="auto"/>
        <w:jc w:val="both"/>
      </w:pPr>
      <w:r>
        <w:rPr>
          <w:rFonts w:ascii="Times New Roman" w:hAnsi="Times New Roman" w:eastAsia="Times New Roman"/>
          <w:b w:val="0"/>
          <w:caps w:val="0"/>
          <w:sz w:val="24"/>
        </w:rPr>
        <w:t>Diff / patch – dallimi mes kodit para dhe pas një rishkrimi</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Fold – njëra nga pjesët në të cilat ndahet bashkësia për validim të kryqëzuar</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IB – interval besimi</w:t>
      </w:r>
    </w:p>
    <w:p>
      <w:pPr>
        <w:pStyle w:val="ListBullet"/>
        <w:spacing w:line="360" w:lineRule="auto"/>
        <w:jc w:val="both"/>
      </w:pPr>
      <w:r>
        <w:rPr>
          <w:rFonts w:ascii="Times New Roman" w:hAnsi="Times New Roman" w:eastAsia="Times New Roman"/>
          <w:b w:val="0"/>
          <w:caps w:val="0"/>
          <w:sz w:val="24"/>
        </w:rPr>
        <w:t>JDK – Java Development Kit, që përmban kompilatorin javac</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Mostër – një entitet i MLCQ-së i rishikuar për një erë të caktuar (çift mostër-erë)</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PK – pyetje kërkimore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Precizion – pjesa e rasteve të shënuara që janë vërtet pozitive</w:t>
      </w:r>
    </w:p>
    <w:p>
      <w:pPr>
        <w:pStyle w:val="ListBullet"/>
        <w:spacing w:line="360" w:lineRule="auto"/>
        <w:jc w:val="both"/>
      </w:pPr>
      <w:r>
        <w:rPr>
          <w:rFonts w:ascii="Times New Roman" w:hAnsi="Times New Roman" w:eastAsia="Times New Roman"/>
          <w:b w:val="0"/>
          <w:caps w:val="0"/>
          <w:sz w:val="24"/>
        </w:rPr>
        <w:t>Recall – pjesa e rasteve pozitive që detektori i gjen</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Rishkrim – një transformim i aplikuar mbi një vend të caktuar të kodit</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Vend – një entitet ku detektori ndez dhe motori ka një transformim për të</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kur kodi lexohet dhe ndryshohet vazhdimisht, shpesh vite më vonë dhe nga njerëz që nuk e kanë shkruar vetë. Lehman (1980) e formuloi këtë si ligj: një sistem që përdoret në një mjedis real duhet të ndryshojë vazhdimisht, përndryshe bëhet gradualisht më pak i dobishëm, dhe me çdo ndryshim kompleksiteti i tij rritet, përveç kur dikush punon qëllimisht për ta ulur. Sa lehtë ndryshohet kodi është prandaj një kosto e përditshme për çdo ekip, dhe kjo kosto rritet bashkë me moshën e sistemit.</w:t>
      </w:r>
    </w:p>
    <w:p>
      <w:pPr>
        <w:spacing w:line="360" w:lineRule="auto"/>
        <w:ind w:firstLine="360"/>
        <w:jc w:val="both"/>
      </w:pPr>
      <w:r>
        <w:rPr>
          <w:rFonts w:ascii="Times New Roman" w:hAnsi="Times New Roman" w:eastAsia="Times New Roman"/>
          <w:b w:val="0"/>
          <w:caps w:val="0"/>
          <w:sz w:val="24"/>
        </w:rPr>
        <w:t>Një burim i rëndësishëm i kësaj vështirësie janë code smells (Fowler, 2018), të cilat në vijim quhen edhe erëra të kodit, ose shkurt erëra. Një erë nuk është gabim, sepse programi kompilohet dhe punon saktë, por shenjë e një problemi dizajni: një klasë me shumë përgjegjësi të palidhura, një metodë qindra rreshta e gjatë, ose një klasë që mban vetëm të dhëna. Cunningham (1992) efektin e grumbulluar të këtyre kompromiseve e quajti borxh teknik, sepse çdo shkurtim në strukturë paguhet me interes në çdo ndryshim të mëvonshëm. Metafora ka edhe mbështetje empirike: kodi me erëra ka më shumë gjasë të ndryshojë dhe të përmbajë defekte (Palomba et al., 2018).</w:t>
      </w:r>
    </w:p>
    <w:p>
      <w:pPr>
        <w:spacing w:line="360" w:lineRule="auto"/>
        <w:ind w:firstLine="360"/>
        <w:jc w:val="both"/>
      </w:pPr>
      <w:r>
        <w:rPr>
          <w:rFonts w:ascii="Times New Roman" w:hAnsi="Times New Roman" w:eastAsia="Times New Roman"/>
          <w:b w:val="0"/>
          <w:caps w:val="0"/>
          <w:sz w:val="24"/>
        </w:rPr>
        <w:t>Zgjidhja e zakonshme është refaktorimi, që Fowler (2018) e përkufizon si ndryshim të strukturës së brendshme të kodit pa ndryshuar sjelljen e tij të jashtme. Por që një erë të ndreqet, ajo duhet gjetur më parë, dhe duhet ditur cili transformim e heq pa e prishur programin. Në një sistem me qindra klasa kjo nuk bëhet dot me dorë në mënyrë sistematike: rishikimi i kodit e kap një erë vetëm kur dikush e vëren, dy shqyrtues shpesh nuk pajtohen se çfarë është problem, dhe një rishkrim me dorë mund ta prishë programin aty ku synonte ta përmirësonte. Ajo që mungon, pra, nuk është përkufizimi, por një mënyrë e përsëritshme për ta zbatuar atë mbi kod real.</w:t>
      </w:r>
    </w:p>
    <w:p>
      <w:pPr>
        <w:spacing w:line="360" w:lineRule="auto"/>
        <w:ind w:firstLine="360"/>
        <w:jc w:val="both"/>
      </w:pPr>
      <w:r>
        <w:rPr>
          <w:rFonts w:ascii="Times New Roman" w:hAnsi="Times New Roman" w:eastAsia="Times New Roman"/>
          <w:b w:val="0"/>
          <w:caps w:val="0"/>
          <w:sz w:val="24"/>
        </w:rPr>
        <w:t>Mjetet e analizës statike e automatizojnë një pjesë të kësaj pune, por lënë tri mangësi. Strategjitë me metrika, si ato të Lanza dhe Marinescu (2006), përdorin pragje fikse të nxjerra nga sisteme të tjera, dhe rrallë dihet sa pajtohen me gjykimin e zhvilluesve. Detektimi me mësim të makinës premton më shumë, por rezultatet e tij varen nga mënyra si ndërtohen dhe ndahen të dhënat, dhe rrallë krahasohet me rregullat mbi të njëjtat mostra. Së fundi, shumica e mjeteve ndalen te njoftimi: tregojnë ku është problemi, por jo si ndreqet, dhe qasjet që propozojnë edhe refaktorimin, si ajo e Tsantalis dhe Chatzigeorgiou (2009) për Move Method, mbulojnë pak raste.</w:t>
      </w:r>
    </w:p>
    <w:p>
      <w:pPr>
        <w:spacing w:line="360" w:lineRule="auto"/>
        <w:ind w:firstLine="360"/>
        <w:jc w:val="both"/>
      </w:pPr>
      <w:r>
        <w:rPr>
          <w:rFonts w:ascii="Times New Roman" w:hAnsi="Times New Roman" w:eastAsia="Times New Roman"/>
          <w:b w:val="0"/>
          <w:caps w:val="0"/>
          <w:sz w:val="24"/>
        </w:rPr>
        <w:t>Ky punim merret me hapësirën mes gjetjes së problemit dhe ndreqjes së tij, për gjuhën Java. Kontributi kryesor është një zinxhir i vetëm që lidh detektimin, rishkrimin dhe verifikimin, hapa që literatura i trajton veç e veç. Dy qasje detektimi, strategjitë me metrika dhe një klasifikues i trajnuar mbi të njëjtat metrika, krahasohen mbi të njëjtin dataset të etiketuar nga zhvillues profesionistë, dhe një motor refaktorimi e rishkruan kodin vetëm kur transformimi është i sigurt në një kuptim të ngushtë e të matshëm. Parakushtet e tij, në kuptimin e Opdyke (1992), provohen mbi pemën sintaksore para aplikimit, përndryshe ai refuzohet me arsye; pas tij skedari parsohet sërish, kompilatori javac nuk duhet të japë lloj të ri gabimi, dhe klasa rimatet për të parë nëse era u hoq. Kjo është verifikim i kompilimit, jo provë se sjellja e programit ruhet: sjelljen gjatë ekzekutimit punimi nuk e verifikon, dhe rishkrimet që sollën gabime të reja raportohen veç (Nënkapitujt 3.4 dhe 5.4).</w:t>
      </w:r>
    </w:p>
    <w:p>
      <w:pPr>
        <w:spacing w:line="360" w:lineRule="auto"/>
        <w:ind w:firstLine="360"/>
        <w:jc w:val="both"/>
      </w:pPr>
      <w:r>
        <w:rPr>
          <w:rFonts w:ascii="Times New Roman" w:hAnsi="Times New Roman" w:eastAsia="Times New Roman"/>
          <w:b w:val="0"/>
          <w:caps w:val="0"/>
          <w:sz w:val="24"/>
        </w:rPr>
        <w:t>Kapitujt në vijim trajtojnë me radhë literaturën, problemin, metodologjinë, rezultatet dhe diskutimin e tyre.</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studiohen prej më shumë se dy dekadash. Shqyrtimi mbështetet te artikuj në revista dhe konferenca me rishikim nga kolegët, te librat që e themeluan fushën dhe te dy shqyrtime sistematike, ai i Sharma dhe Spinellis (2018) dhe ai i Azeem et al. (2019), të cilat shërbyen edhe si pikënisje për burime të tjera. Burimet u kërkuan kryesisht në IEEE Xplore, ACM Digital Library dhe Springer, dhe grupohen sipas idesë që trajtojnë, jo sipas autorit. Kapitulli nis me atë që është një erë dhe pse ka rëndësi, kalon te mënyrat si matet dhe si detektohet, dhe mbyllet me boshllëkun që adreson ky punim.</w:t>
      </w:r>
    </w:p>
    <w:p>
      <w:pPr>
        <w:pStyle w:val="Heading2"/>
      </w:pPr>
      <w:r>
        <w:rPr>
          <w:rFonts w:ascii="Times New Roman" w:hAnsi="Times New Roman" w:eastAsia="Times New Roman"/>
          <w:b/>
          <w:caps w:val="0"/>
          <w:sz w:val="24"/>
        </w:rPr>
        <w:t>2.1 Code smells dhe ndikimi i tyre</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është qëllimisht cilësor. Një erë është simptomë, jo gabim, dhe nëse diçka është problem apo jo varet nga konteksti. Edhe erërat që duken sasiore, si metoda e gjatë apo klasa e madhe, nuk thonë sa rreshta janë shumë; pikërisht ky boshllëk e detyron çdo mjet të vendosë kufijtë e vet.</w:t>
      </w:r>
    </w:p>
    <w:p>
      <w:pPr>
        <w:spacing w:line="360" w:lineRule="auto"/>
        <w:ind w:firstLine="360"/>
        <w:jc w:val="both"/>
      </w:pPr>
      <w:r>
        <w:rPr>
          <w:rFonts w:ascii="Times New Roman" w:hAnsi="Times New Roman" w:eastAsia="Times New Roman"/>
          <w:b w:val="0"/>
          <w:caps w:val="0"/>
          <w:sz w:val="24"/>
        </w:rPr>
        <w:t>A kanë erërat pasoja të matshme? Khomh et al. (2012) detektuan trembëdhjetë antimodele në 54 versione të katër sistemeve Java, ArgoUML, Eclipse, Mylyn dhe Rhino, dhe gjetën se klasat që marrin pjesë në to ndryshojnë dhe përmbajnë defekte më shpesh se klasat e tjera. Palomba et al. (2018) e përsëritën pyetjen në shkallë shumë më të madhe, mbi 395 versione të 30 projekteve me burim të hapur dhe 17 350 raste të validuara me dorë të trembëdhjetë erërave. Erërat që lidhen me kod të gjatë ose të ndërlikuar dolën më të përhapurat, dhe klasat e prekura dolën më të prirura ndaj ndryshimeve dhe defekteve se klasat pa erë.</w:t>
      </w:r>
    </w:p>
    <w:p>
      <w:pPr>
        <w:spacing w:line="360" w:lineRule="auto"/>
        <w:ind w:firstLine="360"/>
        <w:jc w:val="both"/>
      </w:pPr>
      <w:r>
        <w:rPr>
          <w:rFonts w:ascii="Times New Roman" w:hAnsi="Times New Roman" w:eastAsia="Times New Roman"/>
          <w:b w:val="0"/>
          <w:caps w:val="0"/>
          <w:sz w:val="24"/>
        </w:rPr>
        <w:t>Efekti nuk është i njëjtë në çdo kontekst. Sjøberg et al. (2013) matën me saktësi kohën që gjashtë zhvillues shpenzuan për të mirëmbajtur katër sisteme Java me funksionalitet të njëjtë, dhe gjetën se efekti i dymbëdhjetë erërave mbi përpjekjen ishte i kufizuar; sipas tyre, zvogëlimi i madhësisë së kodit dhe i numrit të ndryshimeve premtonte më shumë se refaktorimi i erërave. Kjo nuk i bën erërat të parëndësishme, por tregon se madhësia duhet ndarë prej tyre në çdo analizë: një klasë e madhe ndryshon më shpesh edhe kur nuk ka asnjë erë tjetër.</w:t>
      </w:r>
    </w:p>
    <w:p>
      <w:pPr>
        <w:spacing w:line="360" w:lineRule="auto"/>
        <w:ind w:firstLine="360"/>
        <w:jc w:val="both"/>
      </w:pPr>
      <w:r>
        <w:rPr>
          <w:rFonts w:ascii="Times New Roman" w:hAnsi="Times New Roman" w:eastAsia="Times New Roman"/>
          <w:b w:val="0"/>
          <w:caps w:val="0"/>
          <w:sz w:val="24"/>
        </w:rPr>
        <w:t>Tufano et al. (2015) ndoqën historikun e 200 projekteve me burim të hapur për të parë kur lindin erërat. Shumica e tyre futen që kur krijohet klasa ose metoda, jo gradualisht gjatë evolucionit. Nëse një erë lind bashkë me kodin, mjeti që e gjen ka më shumë vlerë kur vepron herët, para se kodi të rritet mbi të.</w:t>
      </w:r>
    </w:p>
    <w:p>
      <w:pPr>
        <w:spacing w:line="360" w:lineRule="auto"/>
        <w:ind w:firstLine="360"/>
        <w:jc w:val="both"/>
      </w:pPr>
      <w:r>
        <w:rPr>
          <w:rFonts w:ascii="Times New Roman" w:hAnsi="Times New Roman" w:eastAsia="Times New Roman"/>
          <w:b w:val="0"/>
          <w:caps w:val="0"/>
          <w:sz w:val="24"/>
        </w:rPr>
        <w:t>Mbetet pyetja nëse zhvilluesit i shohin erërat si probleme reale. Yamashita dhe Moonen (2013) anketuan 85 zhvillues profesionistë për njohjen, interesin dhe rëndësinë që u japin erërave, duke nisur nga vërejtja se vlera e tyre si koncept i cilësisë mbetej e diskutueshme nga pikëpamja e zhvilluesit. Pyetja ka rëndësi për çdo detektor: ai vlen aq sa zhvilluesi e njeh gjetjen e tij si problem.</w:t>
      </w:r>
    </w:p>
    <w:p>
      <w:pPr>
        <w:pStyle w:val="Heading2"/>
      </w:pPr>
      <w:r>
        <w:rPr>
          <w:rFonts w:ascii="Times New Roman" w:hAnsi="Times New Roman" w:eastAsia="Times New Roman"/>
          <w:b/>
          <w:caps w:val="0"/>
          <w:sz w:val="24"/>
        </w:rPr>
        <w:t>2.2 Matja e cilësisë së dizajnit</w:t>
      </w:r>
    </w:p>
    <w:p>
      <w:pPr>
        <w:spacing w:line="360" w:lineRule="auto"/>
        <w:ind w:firstLine="360"/>
        <w:jc w:val="both"/>
      </w:pPr>
      <w:r>
        <w:rPr>
          <w:rFonts w:ascii="Times New Roman" w:hAnsi="Times New Roman" w:eastAsia="Times New Roman"/>
          <w:b w:val="0"/>
          <w:caps w:val="0"/>
          <w:sz w:val="24"/>
        </w:rPr>
        <w:t>Matja sasiore e sistemeve me objekte u bë e mundur me suitën e Chidamber dhe Kemerer (1994), gjashtë metrika për klasën: WMC, DIT, NOC, CBO, RFC dhe LCOM. WMC e peshon klasën me kompleksitetin e metodave të saj, DIT dhe NOC e vendosin në hierarkinë e trashëgimisë, CBO dhe RFC matin sa varet nga klasat e tjera, dhe LCOM mat sa pak i ndajnë metodat fushat e saj. Kompleksiteti i një metode matet zakonisht me numrin ciklomatik të McCabe (1976), pra me numrin e shtigjeve të pavarura në grafin e saj të kontrollit.</w:t>
      </w:r>
    </w:p>
    <w:p>
      <w:pPr>
        <w:spacing w:line="360" w:lineRule="auto"/>
        <w:ind w:firstLine="360"/>
        <w:jc w:val="both"/>
      </w:pPr>
      <w:r>
        <w:rPr>
          <w:rFonts w:ascii="Times New Roman" w:hAnsi="Times New Roman" w:eastAsia="Times New Roman"/>
          <w:b w:val="0"/>
          <w:caps w:val="0"/>
          <w:sz w:val="24"/>
        </w:rPr>
        <w:t>LCOM-i origjinal rritet me katrorin e numrit të metodave dhe nuk krahason dot klasa me madhësi të ndryshme. Henderson-Sellers (1996) propozoi një variant të normalizuar mes 0 dhe 1, ndërsa Bieman dhe Kang (1995) prezantuan TCC-në, që e mat kohezionin me pjesën e çifteve të metodave që ndajnë të paktën një fushë. Mbi këto metrika ndërtohet pothuajse çdo detektim sasior i mëvonshëm.</w:t>
      </w:r>
    </w:p>
    <w:p>
      <w:pPr>
        <w:spacing w:line="360" w:lineRule="auto"/>
        <w:ind w:firstLine="360"/>
        <w:jc w:val="both"/>
      </w:pPr>
      <w:r>
        <w:rPr>
          <w:rFonts w:ascii="Times New Roman" w:hAnsi="Times New Roman" w:eastAsia="Times New Roman"/>
          <w:b w:val="0"/>
          <w:caps w:val="0"/>
          <w:sz w:val="24"/>
        </w:rPr>
        <w:t>Lanza dhe Marinescu (2006) i organizojnë metrikat në tri përmasa: madhësinë dhe kompleksitetin, lidhjen me klasat e tjera, dhe trashëgiminë. Ata shtuan edhe metrika të reja, si ATFD, LAA dhe FDP, që nuk matin madhësinë e një entiteti por marrëdhënien e tij me të dhënat e klasave të tjera. Këto janë metrikat që u duhen erërave të bashkëpunimit, si Feature Envy, të cilat nuk i kap dot asnjë metrikë madhësie.</w:t>
      </w:r>
    </w:p>
    <w:p>
      <w:pPr>
        <w:spacing w:line="360" w:lineRule="auto"/>
        <w:ind w:firstLine="360"/>
        <w:jc w:val="both"/>
      </w:pPr>
      <w:r>
        <w:rPr>
          <w:rFonts w:ascii="Times New Roman" w:hAnsi="Times New Roman" w:eastAsia="Times New Roman"/>
          <w:b w:val="0"/>
          <w:caps w:val="0"/>
          <w:sz w:val="24"/>
        </w:rPr>
        <w:t>Sharma dhe Spinellis (2018), në një shqyrtim sistematik të fushës, vërejnë se përkufizimet e erërave në literaturë nuk janë konsistente, dhe as rezultatet e metodave të detektimit, prandaj mjetet krahasohen me vështirësi. Ata i ndajnë metodat e detektimit në disa familje, ndër të cilat ato që mbështeten te metrikat, te rregullat, te historiku i ndryshimeve dhe te mësimi i makinës; nënkapitujt që vijnë ndjekin këtë ndarje.</w:t>
      </w:r>
    </w:p>
    <w:p>
      <w:pPr>
        <w:pStyle w:val="Heading2"/>
      </w:pPr>
      <w:r>
        <w:rPr>
          <w:rFonts w:ascii="Times New Roman" w:hAnsi="Times New Roman" w:eastAsia="Times New Roman"/>
          <w:b/>
          <w:caps w:val="0"/>
          <w:sz w:val="24"/>
        </w:rPr>
        <w:t>2.3 Detektimi me rregulla mbi metrika</w:t>
      </w:r>
    </w:p>
    <w:p>
      <w:pPr>
        <w:spacing w:line="360" w:lineRule="auto"/>
        <w:ind w:firstLine="360"/>
        <w:jc w:val="both"/>
      </w:pPr>
      <w:r>
        <w:rPr>
          <w:rFonts w:ascii="Times New Roman" w:hAnsi="Times New Roman" w:eastAsia="Times New Roman"/>
          <w:b w:val="0"/>
          <w:caps w:val="0"/>
          <w:sz w:val="24"/>
        </w:rPr>
        <w:t>Marinescu (2004) prezantoi strategjitë e detektimit: rregulla që kombinojnë disa metrika me pragje, në vend që të mbështeten te një metrikë e vetme. Një strategji filtron fillimisht entitetet që e kalojnë secilin prag dhe pastaj i kombinon filtrat me «dhe» dhe «ose», ndaj arsyeja e çdo detektimi mbetet e lexueshme si kusht. Lanza dhe Marinescu (2006) e zgjeruan idenë në një katalog të plotë, ku çdo erë shprehet si kombinim kushtesh mbi metrika, me pragje të nxjerra statistikisht nga dyzet e pesë sisteme Java.</w:t>
      </w:r>
    </w:p>
    <w:p>
      <w:pPr>
        <w:spacing w:line="360" w:lineRule="auto"/>
        <w:ind w:firstLine="360"/>
        <w:jc w:val="both"/>
      </w:pPr>
      <w:r>
        <w:rPr>
          <w:rFonts w:ascii="Times New Roman" w:hAnsi="Times New Roman" w:eastAsia="Times New Roman"/>
          <w:b w:val="0"/>
          <w:caps w:val="0"/>
          <w:sz w:val="24"/>
        </w:rPr>
        <w:t>Pragjet e tyre janë dy llojesh. Ato statistikore, si «i lartë» dhe «shumë i lartë», nxirren nga mesatarja dhe devijimi standard i metrikës në korpusin e tyre. Ato me kuptim të zakonshëm, si «pak» ose «një e treta», vijnë nga mënyra si njerëzit i përdorin këto fjalë. Të parat varen pra nga korpusi ku u matën, dhe vlefshmëria e tyre në një korpus tjetër mbetet pyetje e hapur.</w:t>
      </w:r>
    </w:p>
    <w:p>
      <w:pPr>
        <w:spacing w:line="360" w:lineRule="auto"/>
        <w:ind w:firstLine="360"/>
        <w:jc w:val="both"/>
      </w:pPr>
      <w:r>
        <w:rPr>
          <w:rFonts w:ascii="Times New Roman" w:hAnsi="Times New Roman" w:eastAsia="Times New Roman"/>
          <w:b w:val="0"/>
          <w:caps w:val="0"/>
          <w:sz w:val="24"/>
        </w:rPr>
        <w:t>Moha et al. (2010) propozuan DECOR-in, një metodë ku erërat përshkruhen në një gjuhë specifikimi dhe detektorët gjenerohen nga përshkrimet; zbatimi i saj u vlerësua me precizion dhe recall mbi sisteme me burim të hapur. Avantazhi i qasjeve me rregulla është se arsyeja e çdo detektimi lexohet qartë. Dobësia është ndjeshmëria ndaj pragjeve, që kalibrohen me vështirësi jashtë korpusit ku u nxorën.</w:t>
      </w:r>
    </w:p>
    <w:p>
      <w:pPr>
        <w:spacing w:line="360" w:lineRule="auto"/>
        <w:ind w:firstLine="360"/>
        <w:jc w:val="both"/>
      </w:pPr>
      <w:r>
        <w:rPr>
          <w:rFonts w:ascii="Times New Roman" w:hAnsi="Times New Roman" w:eastAsia="Times New Roman"/>
          <w:b w:val="0"/>
          <w:caps w:val="0"/>
          <w:sz w:val="24"/>
        </w:rPr>
        <w:t>Palomba et al. (2015) i detektojnë erërat me HIST nga historiku i ndryshimeve, jo nga një pamje e vetme e kodit. Për pesë erëra, ndër to Blob dhe Feature Envy, ata treguan se historiku kap raste që analiza e kodit nuk i sheh, por qasja kërkon historikun e plotë të depos, që jo çdo projekt e ka dhe jo çdo dataset e ruan.</w:t>
      </w:r>
    </w:p>
    <w:p>
      <w:pPr>
        <w:spacing w:line="360" w:lineRule="auto"/>
        <w:ind w:firstLine="360"/>
        <w:jc w:val="both"/>
      </w:pPr>
      <w:r>
        <w:rPr>
          <w:rFonts w:ascii="Times New Roman" w:hAnsi="Times New Roman" w:eastAsia="Times New Roman"/>
          <w:b w:val="0"/>
          <w:caps w:val="0"/>
          <w:sz w:val="24"/>
        </w:rPr>
        <w:t>Mjetet që përdoren në praktikë, si PMD (PMD Team, 2026), zbatojnë kryesisht këtë familje: rregulla me pragje të fiksuara, që zhvilluesi mund t'i ndryshojë por rrallë i ndryshon. Rezultati i tyre mbetet pra aq i mirë sa janë pragjet e parazgjedhura për kodin ku zbatohen.</w:t>
      </w:r>
    </w:p>
    <w:p>
      <w:pPr>
        <w:pStyle w:val="Heading2"/>
      </w:pPr>
      <w:r>
        <w:rPr>
          <w:rFonts w:ascii="Times New Roman" w:hAnsi="Times New Roman" w:eastAsia="Times New Roman"/>
          <w:b/>
          <w:caps w:val="0"/>
          <w:sz w:val="24"/>
        </w:rPr>
        <w:t>2.4 Detektimi me mësim të makinës</w:t>
      </w:r>
    </w:p>
    <w:p>
      <w:pPr>
        <w:spacing w:line="360" w:lineRule="auto"/>
        <w:ind w:firstLine="360"/>
        <w:jc w:val="both"/>
      </w:pPr>
      <w:r>
        <w:rPr>
          <w:rFonts w:ascii="Times New Roman" w:hAnsi="Times New Roman" w:eastAsia="Times New Roman"/>
          <w:b w:val="0"/>
          <w:caps w:val="0"/>
          <w:sz w:val="24"/>
        </w:rPr>
        <w:t>Ideja e mësimit të makinës është që pragjet t'i mësojë modeli nga shembuj të etiketuar, në vend që t'i vendosë njeriu. Arcelli Fontana et al. (2016) kryen një nga eksperimentet më të mëdha të këtij lloji: gjashtëmbëdhjetë algoritme mbi katër erëra (Data Class, Large Class, Feature Envy dhe Long Method), me 1986 raste të validuara me dorë nga 74 sisteme. Ata raportuan performancë të lartë për shumicën e algoritmeve në validimin e kryqëzuar, me J48 dhe Random Forest si më të mirat dhe makinat me vektorë mbështetës si më të dobëtat. Studimi u bë pikë referimi për shumë punime pasuese.</w:t>
      </w:r>
    </w:p>
    <w:p>
      <w:pPr>
        <w:spacing w:line="360" w:lineRule="auto"/>
        <w:ind w:firstLine="360"/>
        <w:jc w:val="both"/>
      </w:pPr>
      <w:r>
        <w:rPr>
          <w:rFonts w:ascii="Times New Roman" w:hAnsi="Times New Roman" w:eastAsia="Times New Roman"/>
          <w:b w:val="0"/>
          <w:caps w:val="0"/>
          <w:sz w:val="24"/>
        </w:rPr>
        <w:t>Di Nucci et al. (2018) vunë re megjithatë se aty çdo dataset kishte raste të një lloji të vetëm ere. Kur e përsëritën eksperimentin me dataset-e ku bashkëjetojnë disa erëra, performanca ra ndjeshëm. Pra shifra e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E njëjta arsye qëndron pas njërës nga zgjedhjet kryesore të këtij punimi: trajnimi dhe testimi ndahen sipas depos, jo rastësisht sipas rreshtave. Mostrat e një depoje kanë të njëjtët autorë, të njëjtat konvencione e shpesh kod të kopjuar, dhe një ndarje e rastësishme i vendos në të dyja anët, duke i fryrë shifrat.</w:t>
      </w:r>
    </w:p>
    <w:p>
      <w:pPr>
        <w:spacing w:line="360" w:lineRule="auto"/>
        <w:ind w:firstLine="360"/>
        <w:jc w:val="both"/>
      </w:pPr>
      <w:r>
        <w:rPr>
          <w:rFonts w:ascii="Times New Roman" w:hAnsi="Times New Roman" w:eastAsia="Times New Roman"/>
          <w:b w:val="0"/>
          <w:caps w:val="0"/>
          <w:sz w:val="24"/>
        </w:rPr>
        <w:t>Azeem et al. (2019), në një shqyrtim sistematik me meta-analizë, gjetën vetëm pesëmbëdhjetë studime që përdorin mësimin e makinës për këtë qëllim, nga mbi dy mijë punime fillestare, dhe përfundojnë se fusha ka ende vend për përmirësim. Ata e vendosin mësimin e makinës si përgjigje ndaj tri kufizimeve të detektorëve me rregulla: subjektivitetit të zhvilluesve, pajtimit të ulët mes detektorëve të ndryshëm dhe vështirësisë për të gjetur pragje të mira.</w:t>
      </w:r>
    </w:p>
    <w:p>
      <w:pPr>
        <w:spacing w:line="360" w:lineRule="auto"/>
        <w:ind w:firstLine="360"/>
        <w:jc w:val="both"/>
      </w:pPr>
      <w:r>
        <w:rPr>
          <w:rFonts w:ascii="Times New Roman" w:hAnsi="Times New Roman" w:eastAsia="Times New Roman"/>
          <w:b w:val="0"/>
          <w:caps w:val="0"/>
          <w:sz w:val="24"/>
        </w:rPr>
        <w:t>Madeyski dhe Lewowski (2023) trajnuan klasifikues mbi MLCQ-në, me metrikat e mjeteve të përgjithshme të analizës statike si veçori, dhe raportuan koeficientin e Matthews-it në vend të saktësisë. Punimi i tyre është krahasimi më i afërt me këtë punim, sepse përdor të njëjtën të vërtetë bazë, dhe Kapitulli 6 i vë rezultatet përballë.</w:t>
      </w:r>
    </w:p>
    <w:p>
      <w:pPr>
        <w:spacing w:line="360" w:lineRule="auto"/>
        <w:ind w:firstLine="360"/>
        <w:jc w:val="both"/>
      </w:pPr>
      <w:r>
        <w:rPr>
          <w:rFonts w:ascii="Times New Roman" w:hAnsi="Times New Roman" w:eastAsia="Times New Roman"/>
          <w:b w:val="0"/>
          <w:caps w:val="0"/>
          <w:sz w:val="24"/>
        </w:rPr>
        <w:t>Një kundërshtim i përsëritur ndaj modeleve është se nuk e shpjegojnë vendimin e tyre. Rëndësia e veçorive jep një përgjigje për tërë bashkësinë, por mënyra si llogaritet ka rëndësi: Strobl et al. (2007) treguan se rëndësia e bazuar te papastërtia në pyjet e rastësishme anon nga veçoritë me shumë vlera të mundshme, dhe propozuan matje që e shmangin këtë anim.</w:t>
      </w:r>
    </w:p>
    <w:p>
      <w:pPr>
        <w:pStyle w:val="Heading2"/>
      </w:pPr>
      <w:r>
        <w:rPr>
          <w:rFonts w:ascii="Times New Roman" w:hAnsi="Times New Roman" w:eastAsia="Times New Roman"/>
          <w:b/>
          <w:caps w:val="0"/>
          <w:sz w:val="24"/>
        </w:rPr>
        <w:t>2.5 E vërteta bazë dhe subjektiviteti</w:t>
      </w:r>
    </w:p>
    <w:p>
      <w:pPr>
        <w:spacing w:line="360" w:lineRule="auto"/>
        <w:ind w:firstLine="360"/>
        <w:jc w:val="both"/>
      </w:pPr>
      <w:r>
        <w:rPr>
          <w:rFonts w:ascii="Times New Roman" w:hAnsi="Times New Roman" w:eastAsia="Times New Roman"/>
          <w:b w:val="0"/>
          <w:caps w:val="0"/>
          <w:sz w:val="24"/>
        </w:rPr>
        <w:t>Çdo vlerësim i detektimit ka nevojë për një të vërtetë bazë, dhe këtu del një problem themelor. Mäntylä dhe Lassenius (2006), në një studim rasti në një kompani finlandeze produktesh softuerike, treguan se vlerësimi i zhvilluesve për praninë e një ere është subjektiv dhe se vlerësues të ndryshëm shpesh nuk pajtohen për të njëjtin modul.</w:t>
      </w:r>
    </w:p>
    <w:p>
      <w:pPr>
        <w:spacing w:line="360" w:lineRule="auto"/>
        <w:ind w:firstLine="360"/>
        <w:jc w:val="both"/>
      </w:pPr>
      <w:r>
        <w:rPr>
          <w:rFonts w:ascii="Times New Roman" w:hAnsi="Times New Roman" w:eastAsia="Times New Roman"/>
          <w:b w:val="0"/>
          <w:caps w:val="0"/>
          <w:sz w:val="24"/>
        </w:rPr>
        <w:t>Madeyski dhe Lewowski (2020) ndërtuan MLCQ-në, një bashkësi mostrash Java të etiketuara nga zhvillues profesionistë për katër erëra, me ashpërsi në shkallën none/minor/major/critical. Mostrat vijnë nga projekte me burim të hapur të zgjedhura për rëndësi industriale, dhe për çdo rishikues publikohet edhe profili i përvojës së tij, kështu që çdo gjykim mund të lidhet me atë që e dha. Ky punim e përdor MLCQ-në si të vërtetë bazë, dhe mospajtimin mes rishikuesve e raporton si të dhënë, në vend që ta pastrojë si zhurmë.</w:t>
      </w:r>
    </w:p>
    <w:p>
      <w:pPr>
        <w:pStyle w:val="Heading2"/>
      </w:pPr>
      <w:r>
        <w:rPr>
          <w:rFonts w:ascii="Times New Roman" w:hAnsi="Times New Roman" w:eastAsia="Times New Roman"/>
          <w:b/>
          <w:caps w:val="0"/>
          <w:sz w:val="24"/>
        </w:rPr>
        <w:t>2.6 Refaktorimi i automatizuar</w:t>
      </w:r>
    </w:p>
    <w:p>
      <w:pPr>
        <w:spacing w:line="360" w:lineRule="auto"/>
        <w:ind w:firstLine="360"/>
        <w:jc w:val="both"/>
      </w:pPr>
      <w:r>
        <w:rPr>
          <w:rFonts w:ascii="Times New Roman" w:hAnsi="Times New Roman" w:eastAsia="Times New Roman"/>
          <w:b w:val="0"/>
          <w:caps w:val="0"/>
          <w:sz w:val="24"/>
        </w:rPr>
        <w:t>Opdyke (1992), në tezën e doktoratës, e formalizoi refaktorimin me nocionin e parakushteve: një transformim është i sigurt vetëm nëse disa kushte vërtetohen para se të aplikohet. Mbi këtë nocion mbështetet çdo motor refaktorimi që pretendon se e ruan sjelljen.</w:t>
      </w:r>
    </w:p>
    <w:p>
      <w:pPr>
        <w:spacing w:line="360" w:lineRule="auto"/>
        <w:ind w:firstLine="360"/>
        <w:jc w:val="both"/>
      </w:pPr>
      <w:r>
        <w:rPr>
          <w:rFonts w:ascii="Times New Roman" w:hAnsi="Times New Roman" w:eastAsia="Times New Roman"/>
          <w:b w:val="0"/>
          <w:caps w:val="0"/>
          <w:sz w:val="24"/>
        </w:rPr>
        <w:t>Mens dhe Tourwé (2004), në shqyrtimin e tyre të fushës, e ndajnë procesin e refaktorimit në disa veprimtari: gjetja e vendit që duhet refaktoruar, zgjedhja e transformimit, garantimi që sjellja ruhet, aplikimi, vlerësimi i efektit mbi cilësinë, dhe ruajtja e përputhjes me artefaktet e tjera. Mjetet zakonisht mbulojnë vetëm aplikimin; ky punim synon të lidhë gjetjen, aplikimin dhe matjen e efektit në një zinxhir të vetëm.</w:t>
      </w:r>
    </w:p>
    <w:p>
      <w:pPr>
        <w:spacing w:line="360" w:lineRule="auto"/>
        <w:ind w:firstLine="360"/>
        <w:jc w:val="both"/>
      </w:pPr>
      <w:r>
        <w:rPr>
          <w:rFonts w:ascii="Times New Roman" w:hAnsi="Times New Roman" w:eastAsia="Times New Roman"/>
          <w:b w:val="0"/>
          <w:caps w:val="0"/>
          <w:sz w:val="24"/>
        </w:rPr>
        <w:t>Tsantalis dhe Chatzigeorgiou (2009) propozuan një metodë për gjetjen e rasteve të Move Method si zgjidhje për Feature Envy. Algoritmi mat distancën mes entiteteve dhe klasave, propozon vetëm lëvizje që kalojnë një bashkësi parakushtesh, dhe vendimin e fundit ia lë projektuesit.</w:t>
      </w:r>
    </w:p>
    <w:p>
      <w:pPr>
        <w:spacing w:line="360" w:lineRule="auto"/>
        <w:ind w:firstLine="360"/>
        <w:jc w:val="both"/>
      </w:pPr>
      <w:r>
        <w:rPr>
          <w:rFonts w:ascii="Times New Roman" w:hAnsi="Times New Roman" w:eastAsia="Times New Roman"/>
          <w:b w:val="0"/>
          <w:caps w:val="0"/>
          <w:sz w:val="24"/>
        </w:rPr>
        <w:t>Murphy-Hill et al. (2012), me të dhëna nga mbi tridhjetë e nëntë mijë zhvillues, gjetën se refaktorimi shpesh përzihet me ndryshime të tjera dhe rrallë përmendet në mesazhet e commit-eve, prandaj matet me vështirësi nga historiku. Silva et al. (2016) i pyetën zhvilluesit pse refaktorojnë dhe gjetën se arsyet janë kryesisht praktike, të lidhura me një ndryshim konkret që duhet bërë.</w:t>
      </w:r>
    </w:p>
    <w:p>
      <w:pPr>
        <w:spacing w:line="360" w:lineRule="auto"/>
        <w:ind w:firstLine="360"/>
        <w:jc w:val="both"/>
      </w:pPr>
      <w:r>
        <w:rPr>
          <w:rFonts w:ascii="Times New Roman" w:hAnsi="Times New Roman" w:eastAsia="Times New Roman"/>
          <w:b w:val="0"/>
          <w:caps w:val="0"/>
          <w:sz w:val="24"/>
        </w:rPr>
        <w:t>Lidhja mes refaktorimit dhe erërave është më e dobët nga sa pritet. Bavota et al. (2015), duke ndjekur refaktorimet në historikun e sistemeve me burim të hapur, gjetën se vetëm 42% e refaktorimeve prekin entitete me erë, dhe vetëm 7% e tyre e heqin erën nga klasa. Refaktorimi që bëjnë zhvilluesit, pra, nuk është në shumicën e rasteve ndreqje e një ere, dhe as ndreqja e një ere nuk është domosdoshmërisht e suksesshme; kjo e bën të nevojshme që çdo rishkrim automatik të matet pas aplikimit.</w:t>
      </w:r>
    </w:p>
    <w:p>
      <w:pPr>
        <w:pStyle w:val="Heading2"/>
      </w:pPr>
      <w:r>
        <w:rPr>
          <w:rFonts w:ascii="Times New Roman" w:hAnsi="Times New Roman" w:eastAsia="Times New Roman"/>
          <w:b/>
          <w:caps w:val="0"/>
          <w:sz w:val="24"/>
        </w:rPr>
        <w:t>2.7 Boshllëku në literaturë</w:t>
      </w:r>
    </w:p>
    <w:p>
      <w:pPr>
        <w:spacing w:line="360" w:lineRule="auto"/>
        <w:ind w:firstLine="360"/>
        <w:jc w:val="both"/>
      </w:pPr>
      <w:r>
        <w:rPr>
          <w:rFonts w:ascii="Times New Roman" w:hAnsi="Times New Roman" w:eastAsia="Times New Roman"/>
          <w:b w:val="0"/>
          <w:caps w:val="0"/>
          <w:sz w:val="24"/>
        </w:rPr>
        <w:t>Nga ky shqyrtim dalin tri vërejtje. Qasja me rregulla dhe ajo me mësim të makinës rrallë vlerësohen mbi të njëjtën të vërtetë bazë dhe me të njëjtat metrika, kështu që krahasimi i drejtpërdrejtë mungon. Jo çdo punim e thotë qartë si e ndan bashkësinë e vlerësimit, edhe pse shifra e raportuar varet drejtpërdrejt prej saj. Detektimi dhe refaktorimi, nga ana tjetër, trajtohen zakonisht veç e veç, dhe mbetet pa përgjigje empirike nëse një erë e gjetur mund të ndreqet edhe automatikisht, dhe nëse ndreqja e heq vërtet.</w:t>
      </w:r>
    </w:p>
    <w:p>
      <w:pPr>
        <w:spacing w:line="360" w:lineRule="auto"/>
        <w:ind w:firstLine="360"/>
        <w:jc w:val="both"/>
      </w:pPr>
      <w:r>
        <w:rPr>
          <w:rFonts w:ascii="Times New Roman" w:hAnsi="Times New Roman" w:eastAsia="Times New Roman"/>
          <w:b w:val="0"/>
          <w:caps w:val="0"/>
          <w:sz w:val="24"/>
        </w:rPr>
        <w:t>Ky punim u përgjigjet të triave, dhe pikërisht kjo e dallon nga studimet e përmendura. Ndryshe nga Lanza dhe Marinescu (2006), pragjet e strategjive nuk merren si të sakta, por maten kundrejt gjykimit të zhvilluesve profesionistë të MLCQ-së. Ndryshe nga Arcelli Fontana et al. (2016), rregullat dhe modelet vlerësohen mbi të njëjtat mostra, me të njëjtin kod pikëzimi, dhe ndarja e të dhënave bëhet sipas depos, ndaj shifra nuk fryhet nga mostra të të njëjtit projekt në trajnim dhe në testim. Ndryshe nga Madeyski dhe Lewowski (2023), që përdorën metrikat e mjeteve të përgjithshme të analizës statike, modeli trajnohet mbi metrikat e vetë sistemit, përfshirë ato që lexojnë strategjitë, dhe një ablacion me vetëm metrikat e strategjisë tregon sa nga dallimi vjen nga kufiri i mësuar. Ndryshe nga Tsantalis dhe Chatzigeorgiou (2009), që propozojnë një transformim dhe vendimin ia lënë projektuesit, këtu transformimi aplikohet, verifikohet me kompilator dhe matet nëse e hoqi erën, sepse Bavota et al. (2015) treguan se refaktorimi rrallë e heq erën vetvetiu. Kapitulli 3 i kthen këto vërejtje në problemin dhe pyetjet e punimit.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ekipi do të duhej të dinte nëse ka një problem dizajni, sa i rëndë është, dhe cili transformim e heq pa ndryshuar sjelljen. Ky gjykim do të duhej të ishte i përsëritshëm dhe i krahasuar me vlerësimin e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me dorë nuk shkallëzohet, dhe mjetet ekzistuese zakonisht vetëm njoftojnë, me pragje të kalibruara në projekte të tjera (Kapitulli 1). Studimet rrallë i vënë dy qasjet përballë njëra-tjetrës, dhe nuk matin sa nga erërat e gjetura ndreqen dot automatikisht (Nënkapitulli 2.7).</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njëjtën mënyrë pikëzimi, dhe mat sa nga vendet e detektuara mund të rishkruhen automatikisht pa sjellë gabime të reja kompilimi.</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lidhet me një nga tri pjesët e sistemit: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mund të aplikohen automatikisht refaktorimet e propozuara pa shtuar gabime të reja kompilimi, dhe a e heqin ato erën për të cilën u propozuan, sipas rimatjes me të njëjtat metrika?</w:t>
      </w:r>
    </w:p>
    <w:p>
      <w:pPr>
        <w:spacing w:line="360" w:lineRule="auto"/>
        <w:ind w:firstLine="360"/>
        <w:jc w:val="both"/>
      </w:pPr>
      <w:r>
        <w:rPr>
          <w:rFonts w:ascii="Times New Roman" w:hAnsi="Times New Roman" w:eastAsia="Times New Roman"/>
          <w:b w:val="0"/>
          <w:caps w:val="0"/>
          <w:sz w:val="24"/>
        </w:rPr>
        <w:t>PK1 e vë gjykimin e pragjeve fikse përballë atij njerëzor. PK2 pyet nëse të njëjtat metrika, të përdorura ndryshe, japin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të projektohet, të implementohet dhe të vlerësohet empirikisht një sistem që gjen code smells në kod Java dhe propozon refaktorime konkrete e të verifikueshme për to. Objektivat janë:</w:t>
      </w:r>
    </w:p>
    <w:p>
      <w:pPr>
        <w:pStyle w:val="ListBullet"/>
        <w:spacing w:line="360" w:lineRule="auto"/>
        <w:jc w:val="both"/>
      </w:pPr>
      <w:r>
        <w:rPr>
          <w:rFonts w:ascii="Times New Roman" w:hAnsi="Times New Roman" w:eastAsia="Times New Roman"/>
          <w:b w:val="0"/>
          <w:caps w:val="0"/>
          <w:sz w:val="24"/>
        </w:rPr>
        <w:t>Të shqyrtohet literatura për metrikat e cilësisë së kodit, strategjitë e detektimit dhe refaktorimin.</w:t>
      </w:r>
    </w:p>
    <w:p>
      <w:pPr>
        <w:pStyle w:val="ListBullet"/>
        <w:spacing w:line="360" w:lineRule="auto"/>
        <w:jc w:val="both"/>
      </w:pPr>
      <w:r>
        <w:rPr>
          <w:rFonts w:ascii="Times New Roman" w:hAnsi="Times New Roman" w:eastAsia="Times New Roman"/>
          <w:b w:val="0"/>
          <w:caps w:val="0"/>
          <w:sz w:val="24"/>
        </w:rPr>
        <w:t>Të ndërtohet një motor analize që mat kodin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me burimin e çdo pragu të deklaruar.</w:t>
      </w:r>
    </w:p>
    <w:p>
      <w:pPr>
        <w:pStyle w:val="ListBullet"/>
        <w:spacing w:line="360" w:lineRule="auto"/>
        <w:jc w:val="both"/>
      </w:pPr>
      <w:r>
        <w:rPr>
          <w:rFonts w:ascii="Times New Roman" w:hAnsi="Times New Roman" w:eastAsia="Times New Roman"/>
          <w:b w:val="0"/>
          <w:caps w:val="0"/>
          <w:sz w:val="24"/>
        </w:rPr>
        <w:t>Të trajnohet një klasifikues mbi të dhënat e MLCQ-së dhe të krahasohet me rregullat.</w:t>
      </w:r>
    </w:p>
    <w:p>
      <w:pPr>
        <w:pStyle w:val="ListBullet"/>
        <w:spacing w:line="360" w:lineRule="auto"/>
        <w:jc w:val="both"/>
      </w:pPr>
      <w:r>
        <w:rPr>
          <w:rFonts w:ascii="Times New Roman" w:hAnsi="Times New Roman" w:eastAsia="Times New Roman"/>
          <w:b w:val="0"/>
          <w:caps w:val="0"/>
          <w:sz w:val="24"/>
        </w:rPr>
        <w:t>Të ndërtohet një motor refaktorimi që i aplikon transformimet vetëm kur parakushtet e tyre provohen nga pema sintaksore, dhe që e verifikon rezultatin me kompilator.</w:t>
      </w:r>
    </w:p>
    <w:p>
      <w:pPr>
        <w:pStyle w:val="ListBullet"/>
        <w:spacing w:line="360" w:lineRule="auto"/>
        <w:jc w:val="both"/>
      </w:pPr>
      <w:r>
        <w:rPr>
          <w:rFonts w:ascii="Times New Roman" w:hAnsi="Times New Roman" w:eastAsia="Times New Roman"/>
          <w:b w:val="0"/>
          <w:caps w:val="0"/>
          <w:sz w:val="24"/>
        </w:rPr>
        <w:t>Të ndërtohet një ndërfaqe web që ia bën rezultatet të përdorshme zhvilluesit.</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trajtohet si klasifikim binar: një klasë ose metodë është ose nuk është shembull i një ere të caktuar. E vërteta bazë vjen nga rishikuesit e MLCQ-së, dhe krahasimi bëhet me matricën e konfuzionit dhe shifrat që dalin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aplikohet pa shtuar gabime kompilimi. Raportohen vendet e detektuara, ato të transformuara dhe arsyet pse të tjerat u refuzuan. Kriteret e suksesit janë:</w:t>
      </w:r>
    </w:p>
    <w:p>
      <w:pPr>
        <w:pStyle w:val="ListBullet"/>
        <w:spacing w:line="360" w:lineRule="auto"/>
        <w:jc w:val="both"/>
      </w:pPr>
      <w:r>
        <w:rPr>
          <w:rFonts w:ascii="Times New Roman" w:hAnsi="Times New Roman" w:eastAsia="Times New Roman"/>
          <w:b w:val="0"/>
          <w:caps w:val="0"/>
          <w:sz w:val="24"/>
        </w:rPr>
        <w:t>Për PK1: shifra për çdo erë mbi një korpus të deklaruar, të riprodhueshme me një komandë. Edhe një recall i ulët është përgjigje e vlefshme, për sa kohë nuk fshihet.</w:t>
      </w:r>
    </w:p>
    <w:p>
      <w:pPr>
        <w:pStyle w:val="ListBullet"/>
        <w:spacing w:line="360" w:lineRule="auto"/>
        <w:jc w:val="both"/>
      </w:pPr>
      <w:r>
        <w:rPr>
          <w:rFonts w:ascii="Times New Roman" w:hAnsi="Times New Roman" w:eastAsia="Times New Roman"/>
          <w:b w:val="0"/>
          <w:caps w:val="0"/>
          <w:sz w:val="24"/>
        </w:rPr>
        <w:t>Për PK2: krahasim mostër për mostër me detektimin me rregulla, plus një model bazë që nuk mëson asgjë, që fitimi të mos ngatërrohet me çekuilibrin e klasave.</w:t>
      </w:r>
    </w:p>
    <w:p>
      <w:pPr>
        <w:pStyle w:val="ListBullet"/>
        <w:spacing w:line="360" w:lineRule="auto"/>
        <w:jc w:val="both"/>
      </w:pPr>
      <w:r>
        <w:rPr>
          <w:rFonts w:ascii="Times New Roman" w:hAnsi="Times New Roman" w:eastAsia="Times New Roman"/>
          <w:b w:val="0"/>
          <w:caps w:val="0"/>
          <w:sz w:val="24"/>
        </w:rPr>
        <w:t>Për PK3: çdo rishkrim i aplikuar verifikohet me kompilator se nuk shton lloj të ri gabimi, rastet ku shton numërohen veç, dhe matet nëse era u hoq. Kriteri mat kompilueshmërinë, jo ruajtjen e sjelljes.</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te Java, sepse shumica e literaturës për metrikat e objekteve dhe dataset-et e etiketuara të code smells janë ndërtuar mbi kod Java. Vlerësohen vetëm erërat për të cilat ka strategji të publikuara dhe të dhëna të etiketuara. Analiza është statike: programi nuk ekzekutohet, prandaj sjellja gjatë ekzekutimit nuk mbulohet.</w:t>
      </w:r>
    </w:p>
    <w:p>
      <w:pPr>
        <w:spacing w:line="360" w:lineRule="auto"/>
        <w:ind w:firstLine="360"/>
        <w:jc w:val="both"/>
      </w:pPr>
      <w:r>
        <w:rPr>
          <w:rFonts w:ascii="Times New Roman" w:hAnsi="Times New Roman" w:eastAsia="Times New Roman"/>
          <w:b w:val="0"/>
          <w:caps w:val="0"/>
          <w:sz w:val="24"/>
        </w:rPr>
        <w:t>Dy zgjedhje janë bërë me qëllim. E para, analizuesi regjistron fakte sintaksore dhe nuk zgjidh simbole. Prandaj një transformim që duhet të gjejë çdo referencë ndaj një emri nuk mund t'i provojë parakushtet e veta, dhe dy nga pesë transformimet e planifikuara mbeten vetëm propozim. Për të njëjtën arsye Introduce Parameter Object aplikohet vetëm te metodat «private», thirrjet e të cilave mbeten brenda skedarit. E dyta, refaktorimi bëhet me transformime mbi pemën sintaksore dhe jo me gjenerim teksti, sepse ajo që aplikohet duhet të jetë e saktë. Kur siguria nuk provohet, refuzimi konsiderohet rezultat i saktë.</w:t>
      </w:r>
    </w:p>
    <w:p>
      <w:pPr>
        <w:spacing w:line="360" w:lineRule="auto"/>
        <w:ind w:firstLine="360"/>
        <w:jc w:val="both"/>
      </w:pPr>
      <w:r>
        <w:rPr>
          <w:rFonts w:ascii="Times New Roman" w:hAnsi="Times New Roman" w:eastAsia="Times New Roman"/>
          <w:b w:val="0"/>
          <w:caps w:val="0"/>
          <w:sz w:val="24"/>
        </w:rPr>
        <w:t xml:space="preserve">Korpusi mban nga depot e MLCQ-së vetëm skedarët «.java», pa skedarë ndërtimi dhe pa varësi, dhe disa depo nuk gjenden më. Prandaj çdo rishkrim kontrollohet vetëm me kompilator: nëse kompilon, ose të paktën nëse nuk shton lloj të ri gabimi. Ruajtja e sjelljes, prandaj, nuk është pjesë e PK3 dhe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do të kërkonte ekzekutimin e testeve të projekteve, gjë që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si u ndërtua sistemi dhe si u krye eksperimenti, me aq hollësi sa një lexues tjetër ta përsërisë. Radha ndjek rrugën e të dhënave: arkitektura dhe teknologjitë (4.1–4.2), korpusi dhe matja (4.3–4.4), tri qasjet (4.5–4.7), ndërfaqja (4.8), mënyra e vlerësimit (4.9), validimi i sistemit (4.10), riprodhueshmëria dhe mjedisi (4.11), etika (4.12) dhe kërcënimet ndaj vlefshmërisë (4.13). Rezultatet nuk jepen këtu; ato janë te Kapitulli 5.</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 pjesë cilësore është vlerësimi me rubrikë i një mostre rishkrimesh (Nënkapitulli 4.7), sepse vlera e një rishkrimi për zhvilluesin nuk matet vetëm me kompilim.</w:t>
      </w:r>
    </w:p>
    <w:p>
      <w:pPr>
        <w:spacing w:line="360" w:lineRule="auto"/>
        <w:ind w:firstLine="360"/>
        <w:jc w:val="both"/>
      </w:pPr>
      <w:r>
        <w:rPr>
          <w:rFonts w:ascii="Times New Roman" w:hAnsi="Times New Roman" w:eastAsia="Times New Roman"/>
          <w:b/>
          <w:caps w:val="0"/>
          <w:sz w:val="24"/>
        </w:rPr>
        <w:t>Dizajni.</w:t>
      </w:r>
      <w:r>
        <w:rPr>
          <w:rFonts w:ascii="Times New Roman" w:hAnsi="Times New Roman" w:eastAsia="Times New Roman"/>
          <w:b w:val="0"/>
          <w:caps w:val="0"/>
          <w:sz w:val="24"/>
        </w:rPr>
        <w:t xml:space="preserve"> Çdo mostër e MLCQ-së gjykohet nga të dyja qasjet e detektimit, kështu që dallimi mes tyre nuk ngatërrohet me dallimin mes mostrave. Variabla e pavarur është qasja e detektimit, dhe te refaktorimi lloji i transformimit; variablat e varura janë treguesit e Nënkapitullit 4.9. Për PK2 hipoteza zero është se MCC-ja e Qasjes B nuk ndryshon nga ajo e Qasjes A. Ajo hidhet poshtë për një erë kur intervali 95% i dallimit B − A, i llogaritur me bootstrap sipas depos, nuk e përmban zeron.</w:t>
      </w:r>
    </w:p>
    <w:p>
      <w:pPr>
        <w:spacing w:line="360" w:lineRule="auto"/>
        <w:ind w:firstLine="360"/>
        <w:jc w:val="both"/>
      </w:pPr>
      <w:r>
        <w:rPr>
          <w:rFonts w:ascii="Times New Roman" w:hAnsi="Times New Roman" w:eastAsia="Times New Roman"/>
          <w:b/>
          <w:caps w:val="0"/>
          <w:sz w:val="24"/>
        </w:rPr>
        <w:t>Hapat e studimit.</w:t>
      </w:r>
      <w:r>
        <w:rPr>
          <w:rFonts w:ascii="Times New Roman" w:hAnsi="Times New Roman" w:eastAsia="Times New Roman"/>
          <w:b w:val="0"/>
          <w:caps w:val="0"/>
          <w:sz w:val="24"/>
        </w:rPr>
        <w:t xml:space="preserve"> Eksperimenti kryhet në tetë hapa, secili me skriptin e vet, sipas radhës së Shtojcës 8.5:</w:t>
      </w:r>
    </w:p>
    <w:p>
      <w:pPr>
        <w:pStyle w:val="ListBullet"/>
        <w:spacing w:line="360" w:lineRule="auto"/>
        <w:jc w:val="both"/>
      </w:pPr>
      <w:r>
        <w:rPr>
          <w:rFonts w:ascii="Times New Roman" w:hAnsi="Times New Roman" w:eastAsia="Times New Roman"/>
          <w:b w:val="0"/>
          <w:caps w:val="0"/>
          <w:sz w:val="24"/>
        </w:rPr>
        <w:t>materializimi i korpusit: çdo depo e MLCQ-së shkarkohet në commit-in që panë rishikuesit;</w:t>
      </w:r>
    </w:p>
    <w:p>
      <w:pPr>
        <w:pStyle w:val="ListBullet"/>
        <w:spacing w:line="360" w:lineRule="auto"/>
        <w:jc w:val="both"/>
      </w:pPr>
      <w:r>
        <w:rPr>
          <w:rFonts w:ascii="Times New Roman" w:hAnsi="Times New Roman" w:eastAsia="Times New Roman"/>
          <w:b w:val="0"/>
          <w:caps w:val="0"/>
          <w:sz w:val="24"/>
        </w:rPr>
        <w:t>përputhja e çdo mostre me entitetin që prodhon analizuesi;</w:t>
      </w:r>
    </w:p>
    <w:p>
      <w:pPr>
        <w:pStyle w:val="ListBullet"/>
        <w:spacing w:line="360" w:lineRule="auto"/>
        <w:jc w:val="both"/>
      </w:pPr>
      <w:r>
        <w:rPr>
          <w:rFonts w:ascii="Times New Roman" w:hAnsi="Times New Roman" w:eastAsia="Times New Roman"/>
          <w:b w:val="0"/>
          <w:caps w:val="0"/>
          <w:sz w:val="24"/>
        </w:rPr>
        <w:t>matja e çdo entiteti dhe ruajtja e tabelës së veçorive;</w:t>
      </w:r>
    </w:p>
    <w:p>
      <w:pPr>
        <w:pStyle w:val="ListBullet"/>
        <w:spacing w:line="360" w:lineRule="auto"/>
        <w:jc w:val="both"/>
      </w:pPr>
      <w:r>
        <w:rPr>
          <w:rFonts w:ascii="Times New Roman" w:hAnsi="Times New Roman" w:eastAsia="Times New Roman"/>
          <w:b w:val="0"/>
          <w:caps w:val="0"/>
          <w:sz w:val="24"/>
        </w:rPr>
        <w:t>pikëzimi i strategjive të Qasjes A kundrejt etiketave;</w:t>
      </w:r>
    </w:p>
    <w:p>
      <w:pPr>
        <w:pStyle w:val="ListBullet"/>
        <w:spacing w:line="360" w:lineRule="auto"/>
        <w:jc w:val="both"/>
      </w:pPr>
      <w:r>
        <w:rPr>
          <w:rFonts w:ascii="Times New Roman" w:hAnsi="Times New Roman" w:eastAsia="Times New Roman"/>
          <w:b w:val="0"/>
          <w:caps w:val="0"/>
          <w:sz w:val="24"/>
        </w:rPr>
        <w:t>trajnimi i modeleve të Qasjes B dhe pikëzimi i tyre jashtë fold-it, bashkë me ablacionin mbi metrikat e strategjive;</w:t>
      </w:r>
    </w:p>
    <w:p>
      <w:pPr>
        <w:pStyle w:val="ListBullet"/>
        <w:spacing w:line="360" w:lineRule="auto"/>
        <w:jc w:val="both"/>
      </w:pPr>
      <w:r>
        <w:rPr>
          <w:rFonts w:ascii="Times New Roman" w:hAnsi="Times New Roman" w:eastAsia="Times New Roman"/>
          <w:b w:val="0"/>
          <w:caps w:val="0"/>
          <w:sz w:val="24"/>
        </w:rPr>
        <w:t>krahasimi i dy qasjeve mostër për mostër, me intervale besimi;</w:t>
      </w:r>
    </w:p>
    <w:p>
      <w:pPr>
        <w:pStyle w:val="ListBullet"/>
        <w:spacing w:line="360" w:lineRule="auto"/>
        <w:jc w:val="both"/>
      </w:pPr>
      <w:r>
        <w:rPr>
          <w:rFonts w:ascii="Times New Roman" w:hAnsi="Times New Roman" w:eastAsia="Times New Roman"/>
          <w:b w:val="0"/>
          <w:caps w:val="0"/>
          <w:sz w:val="24"/>
        </w:rPr>
        <w:t>ekzekutimi i motorit të refaktorimit mbi korpus, me verifikim dhe rimatje;</w:t>
      </w:r>
    </w:p>
    <w:p>
      <w:pPr>
        <w:pStyle w:val="ListBullet"/>
        <w:spacing w:line="360" w:lineRule="auto"/>
        <w:jc w:val="both"/>
      </w:pPr>
      <w:r>
        <w:rPr>
          <w:rFonts w:ascii="Times New Roman" w:hAnsi="Times New Roman" w:eastAsia="Times New Roman"/>
          <w:b w:val="0"/>
          <w:caps w:val="0"/>
          <w:sz w:val="24"/>
        </w:rPr>
        <w:t>analizat dytësore: ndjeshmëria dhe kalibrimi i pragjeve, krahasimi me PMD-në dhe pajtimi mes rishikuesve.</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ku varësia shkon në një drejtim: një modul importon vetëm nga shtresat para tij. Kështu çdo shtresë testohet veç, dhe logjika e detektimit nuk përzihet me transportin. Shtresat dhe rrjedha e të dhënave janë (Figura 1):</w:t>
      </w:r>
    </w:p>
    <w:p>
      <w:pPr>
        <w:keepNext/>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deklarime, thirrje dhe qasje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strukturat e të dhënave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Të gjitha pragjet numerike janë në një skedar.</w:t>
      </w:r>
    </w:p>
    <w:p>
      <w:pPr>
        <w:pStyle w:val="ListBullet"/>
        <w:spacing w:line="360" w:lineRule="auto"/>
        <w:jc w:val="both"/>
      </w:pPr>
      <w:r>
        <w:rPr>
          <w:rFonts w:ascii="Times New Roman" w:hAnsi="Times New Roman" w:eastAsia="Times New Roman"/>
          <w:b w:val="0"/>
          <w:caps w:val="0"/>
          <w:sz w:val="24"/>
        </w:rPr>
        <w:t>ml dhe refactor: Qasja B dhe Qasja C, që përdorin daljen e detektorëve por nuk importojnë njëra-tjetrën.</w:t>
      </w:r>
    </w:p>
    <w:p>
      <w:pPr>
        <w:pStyle w:val="ListBullet"/>
        <w:spacing w:line="360" w:lineRule="auto"/>
        <w:jc w:val="both"/>
      </w:pPr>
      <w:r>
        <w:rPr>
          <w:rFonts w:ascii="Times New Roman" w:hAnsi="Times New Roman" w:eastAsia="Times New Roman"/>
          <w:b w:val="0"/>
          <w:caps w:val="0"/>
          <w:sz w:val="24"/>
        </w:rPr>
        <w:t>projects: shkarkon në disk një depo publike të GitHub-ut, që të analizohet.</w:t>
      </w:r>
    </w:p>
    <w:p>
      <w:pPr>
        <w:pStyle w:val="ListBullet"/>
        <w:spacing w:line="360" w:lineRule="auto"/>
        <w:jc w:val="both"/>
      </w:pPr>
      <w:r>
        <w:rPr>
          <w:rFonts w:ascii="Times New Roman" w:hAnsi="Times New Roman" w:eastAsia="Times New Roman"/>
          <w:b w:val="0"/>
          <w:caps w:val="0"/>
          <w:sz w:val="24"/>
        </w:rPr>
        <w:t>api: vetëm transport (validim, serializim, gabime),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komunikon me shërbimin vetëm përmes HTTP.</w:t>
      </w:r>
    </w:p>
    <w:p>
      <w:pPr>
        <w:spacing w:line="360" w:lineRule="auto"/>
        <w:ind w:firstLine="360"/>
        <w:jc w:val="both"/>
      </w:pPr>
      <w:r>
        <w:rPr>
          <w:rFonts w:ascii="Times New Roman" w:hAnsi="Times New Roman" w:eastAsia="Times New Roman"/>
          <w:b w:val="0"/>
          <w:caps w:val="0"/>
          <w:sz w:val="24"/>
        </w:rPr>
        <w:t>Gjatë një analize parsohet i gjithë projekti, sepse disa metrika kërkojnë klasat e tjera të tij. Pastaj çdo entitet matet, detektorët vlerësojnë strategjitë, modeli jep verdiktin e vet kur kërkohet, dhe motori prodhon një diff të verifikuar me kompilator për çdo erë që ka transformim të automatizuar. E njëjta rrjedhë thirret nga rreshti i komandës dhe nga shërbimi HTTP. Skriptet e eksperimenteve, te evaluation dhe scripts/, përdorin po këto shtresa mbi korpusin, ndaj çdo numër i punimit vjen nga i njëjti kod që përdor zhvilluesi.</w:t>
      </w:r>
    </w:p>
    <w:p>
      <w:pPr>
        <w:spacing w:line="360" w:lineRule="auto"/>
        <w:ind w:firstLine="360"/>
        <w:jc w:val="both"/>
      </w:pPr>
      <w:r>
        <w:rPr>
          <w:rFonts w:ascii="Times New Roman" w:hAnsi="Times New Roman" w:eastAsia="Times New Roman"/>
          <w:b/>
          <w:caps w:val="0"/>
          <w:sz w:val="24"/>
        </w:rPr>
        <w:t>Modeli i të dhënave.</w:t>
      </w:r>
      <w:r>
        <w:rPr>
          <w:rFonts w:ascii="Times New Roman" w:hAnsi="Times New Roman" w:eastAsia="Times New Roman"/>
          <w:b w:val="0"/>
          <w:caps w:val="0"/>
          <w:sz w:val="24"/>
        </w:rPr>
        <w:t xml:space="preserve"> Për çdo skedar, parser-i ndërton një njësi me paketën, importet dhe klasat e saj. Një klasë mban llojin (class, interface, enum ose record), emrin, modifikuesit, superklasën, ndërfaqet, fushat, metodat dhe rangun e rreshtave. Një metodë mban tipin që kthen, parametrat me tipet e tyre, variablat lokale që deklaron, emrat e thjeshtë që lexon, qasjet e formës «this.x» dhe «marrësi.anëtari», thirrjet me marrës dhe pa marrës, dhe tipet që përmend. Këto janë të gjitha fakte që lexohen drejtpërdrejt nga pema; asnjëra nuk kërkon të dihet se çfarë tipi ka një shprehje e ndërlikuar.</w:t>
      </w:r>
    </w:p>
    <w:p>
      <w:pPr>
        <w:spacing w:line="360" w:lineRule="auto"/>
        <w:ind w:firstLine="360"/>
        <w:jc w:val="both"/>
      </w:pPr>
      <w:r>
        <w:rPr>
          <w:rFonts w:ascii="Times New Roman" w:hAnsi="Times New Roman" w:eastAsia="Times New Roman"/>
          <w:b/>
          <w:caps w:val="0"/>
          <w:sz w:val="24"/>
        </w:rPr>
        <w:t>Rreshti i komandës.</w:t>
      </w:r>
      <w:r>
        <w:rPr>
          <w:rFonts w:ascii="Times New Roman" w:hAnsi="Times New Roman" w:eastAsia="Times New Roman"/>
          <w:b w:val="0"/>
          <w:caps w:val="0"/>
          <w:sz w:val="24"/>
        </w:rPr>
        <w:t xml:space="preserve"> Analiza nis me «python -m javasmell» dhe dosjen e projektit. Gjetjet dalin si tekst, JSON ose CSV, metrikat e çdo entiteti si tabelë, dhe rishkrimet që kaluan parakushtet dhe kompilatorin si patch i unifikuar që autori e lexon para se ta aplikojë. Si portë ndërtimi, opsioni «--fail-on» e mbyll komandën me kod 3 kur mbetet një gjetje në ashpërsinë e kërkuar ose mbi të, ndërsa kodet 1 dhe 2 i mbeten dështimit të vetë mjetit. Opsioni «--thresholds» lexon nga një skedar TOML vetëm pragjet që ndryshojnë, dhe i shkruan ato në dalje, që një raport me pragje të lëvizura të mos ngatërrohet me një të matur me vlerat e botuara.</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në Python, ndërfaqja në TypeScript. Të gjitha varësitë janë falas, me licencë të hapur dhe me version të fiksuar, që një rezultat të mund të riprodhohet me të njëjtat versione (Tabela 1).</w:t>
      </w:r>
    </w:p>
    <w:p>
      <w:pPr>
        <w:keepNext/>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Zgjedhjet kryesore kanë arsye konkrete. tree-sitter u preferua ndaj një analizuesi që kërkon ndërtimin e projektit, sepse korpusi nuk mban skedarë ndërtimi dhe shumica e skedarëve të tij nuk kompilojnë të vetëm; një analizues që toleron gabimet jep pemë të plotë edhe për ta. scikit-learn ofron në një vend ndarjen e grupuar, dy ansamblet e pemëve dhe rëndësinë me permutim, dhe asnjëra prej tyre nuk u desh të shkruhej nga e para. FastAPI dhe Pydantic e validojnë çdo kërkesë nga tipet e deklaruara, dhe TypeScript e bën kontratën me ndërfaqen të kontrollueshme që gjatë ndërtimit. JDK 21 është versioni me mbështetje afatgjatë, prandaj javac-u i tij është kompilatori i verifikimit. PMD zgjidhet si mjet i jashtëm krahasimi, sepse zbaton dy nga strategjitë e Lanza dhe Marinescu (2006) dhe është i lirë. Sistemi nuk përdor asnjë model gjuhësor apo shërbim me pagesë.</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14 739 rishikime të 4770 mostrave kodi, të bëra nga 26 zhvillues profesionistë për katër erëra: Blob dhe Data Class në nivel klase, Feature Envy dhe Long Method në nivel metode. Çdo rishikim i jep mostrës një ashpërsi në shkallën none, minor, major dhe critical, ku «none» do të thotë se rishikuesi nuk e sheh erën. Një mostër kodi zakonisht është rishikuar për të dyja erërat e nivelit të saj: një klasë për Blob dhe për Data Class, një metodë për Feature Envy dhe për Long Method. Prandaj njësia e vlerësimit në këtë punim është çifti mostër-erë, dhe 4770 mostrat japin 9517 çifte të tilla. Mostrat vijnë nga projekte me burim të hapur, por vetë kodi nuk është pjesë e dataset-it: çdo rresht tregon depon, commit-in, skedarin dhe rangun e rreshtave të entitetit.</w:t>
      </w:r>
    </w:p>
    <w:p>
      <w:pPr>
        <w:spacing w:line="360" w:lineRule="auto"/>
        <w:ind w:firstLine="360"/>
        <w:jc w:val="both"/>
      </w:pPr>
      <w:r>
        <w:rPr>
          <w:rFonts w:ascii="Times New Roman" w:hAnsi="Times New Roman" w:eastAsia="Times New Roman"/>
          <w:b/>
          <w:caps w:val="0"/>
          <w:sz w:val="24"/>
        </w:rPr>
        <w:t>Materializimi.</w:t>
      </w:r>
      <w:r>
        <w:rPr>
          <w:rFonts w:ascii="Times New Roman" w:hAnsi="Times New Roman" w:eastAsia="Times New Roman"/>
          <w:b w:val="0"/>
          <w:caps w:val="0"/>
          <w:sz w:val="24"/>
        </w:rPr>
        <w:t xml:space="preserve"> Për çdo depo u shkarkua arkivi i commit-it të rishikuar, dhe prej tij u mbajtën vetëm skedarët «.java». Merret depoja e plotë e jo vetëm skedari i mostrës, sepse ATFD, CBO, DIT dhe NOC përkufizohen kundrejt tipave të tjerë të projektit, dhe një skedar i vetëm do të dukej pothuajse pa qasje në të dhëna të huaja. Shkarkimi është inkremental dhe mund të ndërpritet: depot e përfunduara kapërcehen, dështimet riprovohen, dhe një manifest e ruan gjendjen e secilës depo pas çdo hapi.</w:t>
      </w:r>
    </w:p>
    <w:p>
      <w:pPr>
        <w:spacing w:line="360" w:lineRule="auto"/>
        <w:ind w:firstLine="360"/>
        <w:jc w:val="both"/>
      </w:pPr>
      <w:r>
        <w:rPr>
          <w:rFonts w:ascii="Times New Roman" w:hAnsi="Times New Roman" w:eastAsia="Times New Roman"/>
          <w:b w:val="0"/>
          <w:caps w:val="0"/>
          <w:sz w:val="24"/>
        </w:rPr>
        <w:t>Nëse një depo ishte zhvendosur, ajo u ndoq vetëm kur commit-i gjendej edhe te vendi i ri. Meqë SHA-ja e git-it është hash i përmbajtjes, një commit i gjetur garanton se kodi është i njëjti që panë rishikuesit. Kur nuk gjendet, depoja nuk zëvendësohet me hamendje.</w:t>
      </w:r>
    </w:p>
    <w:p>
      <w:pPr>
        <w:spacing w:line="360" w:lineRule="auto"/>
        <w:ind w:firstLine="360"/>
        <w:jc w:val="both"/>
      </w:pPr>
      <w:r>
        <w:rPr>
          <w:rFonts w:ascii="Times New Roman" w:hAnsi="Times New Roman" w:eastAsia="Times New Roman"/>
          <w:b/>
          <w:caps w:val="0"/>
          <w:sz w:val="24"/>
        </w:rPr>
        <w:t>Përputhja.</w:t>
      </w:r>
      <w:r>
        <w:rPr>
          <w:rFonts w:ascii="Times New Roman" w:hAnsi="Times New Roman" w:eastAsia="Times New Roman"/>
          <w:b w:val="0"/>
          <w:caps w:val="0"/>
          <w:sz w:val="24"/>
        </w:rPr>
        <w:t xml:space="preserve"> Një mostër e MLCQ-së lidhet me entitetin përkatës sipas rangut të rreshtave, dhe lidhja verifikohet me emrin. Renditja e kundërt nuk do të punonte, sepse emri i entitetit në dataset shfaqet në katër formate të ndryshme, ndërsa rangu i rreshtave përputhet pothuajse gjithmonë me atë të parser-it. Ky ankorim zgjidh pa asnjë zgjidhës simbolesh dy rastet që dukeshin të vështira: dy mbingarkesa të një metode nuk nisin në të njëjtin rresht, dhe as një klasë e brendshme me klasën që e përmban. Një mostër që nuk lidhet nuk detyrohet të lidhet: shkaku regjistrohet (skedari mungon, ka gabim sintakse, ose te rreshtat e dhënë nuk ka entitet me atë emër) dhe mostra del nga vlerësimi.</w:t>
      </w:r>
    </w:p>
    <w:p>
      <w:pPr>
        <w:spacing w:line="360" w:lineRule="auto"/>
        <w:ind w:firstLine="360"/>
        <w:jc w:val="both"/>
      </w:pPr>
      <w:r>
        <w:rPr>
          <w:rFonts w:ascii="Times New Roman" w:hAnsi="Times New Roman" w:eastAsia="Times New Roman"/>
          <w:b/>
          <w:caps w:val="0"/>
          <w:sz w:val="24"/>
        </w:rPr>
        <w:t>Etiketa.</w:t>
      </w:r>
      <w:r>
        <w:rPr>
          <w:rFonts w:ascii="Times New Roman" w:hAnsi="Times New Roman" w:eastAsia="Times New Roman"/>
          <w:b w:val="0"/>
          <w:caps w:val="0"/>
          <w:sz w:val="24"/>
        </w:rPr>
        <w:t xml:space="preserve"> Ashpërsitë e rishikuesve kthehen në numra nga 0 (none) te 3 (critical), dhe për çdo çift mostër-erë merret mesatarja e ashpërsive të dhëna për atë erë, e rrumbullakosur te numri i plotë më i afërt me gjysmën drejt lart. Mostra quhet pozitive kur rezultati është mbi zero; te dy rishikues, pra, mjafton që njëri ta shohë erën. Si analizë ndjeshmërie përdoren edhe maksimumi, minimumi dhe unanimiteti, ku mostrat me mospajtim hidhen. Rishikimet e një ere nuk përzihen me ato të erës tjetër të së njëjtës mostër: një klasë që rishikuesit e quajtën Blob por jo Data Class është pozitive për të parën dhe negative për të dytën.</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mbështetet te tree-sitter (Brunsfeld, 2026), dhe mbi pemën që ai prodhon maten shtatëmbëdhjetë metrika klase dhe nëntë metrika metode, me një kalim për klasë. Ndër to janë metrikat e Chidamber dhe Kemerer (1994), varianti i normalizuar i LCOM-it nga Henderson-Sellers (1996), TCC-ja e Bieman dhe Kang (1995) dhe kompleksiteti ciklomatik (McCabe, 1976), i matur si numri i pikave të vendimit në trupin e metodës plus një. Përkufizimet e të gjitha metrikave jepen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të Park (1992) mes rreshtave fizikë dhe logjikë: rreshtat bosh, komentet dhe rreshtat që kanë vetëm shenja si «}» ose «});» nuk numërohen.</w:t>
      </w:r>
    </w:p>
    <w:p>
      <w:pPr>
        <w:spacing w:line="360" w:lineRule="auto"/>
        <w:ind w:firstLine="360"/>
        <w:jc w:val="both"/>
      </w:pPr>
      <w:r>
        <w:rPr>
          <w:rFonts w:ascii="Times New Roman" w:hAnsi="Times New Roman" w:eastAsia="Times New Roman"/>
          <w:b/>
          <w:caps w:val="0"/>
          <w:sz w:val="24"/>
        </w:rPr>
        <w:t>Metrikat e metodës.</w:t>
      </w:r>
      <w:r>
        <w:rPr>
          <w:rFonts w:ascii="Times New Roman" w:hAnsi="Times New Roman" w:eastAsia="Times New Roman"/>
          <w:b w:val="0"/>
          <w:caps w:val="0"/>
          <w:sz w:val="24"/>
        </w:rPr>
        <w:t xml:space="preserve"> ATFD numëron atributet e klasave të tjera të projektit që metoda i lexon, drejtpërdrejt ose përmes një akses-metode, që njihet nga parashtesa «get», «set», «is» ose «has». FDP numëron klasat nga vijnë këto atribute. LAA është pjesa e qasjeve në atribute që bien mbi klasën e vet, dhe merr vlerën 1 kur metoda nuk prek asnjë atribut. NOAV numëron variablat lokale dhe atributet që metoda prek, ndërsa CINT mat sa operacione të ndryshme thërret ajo. Një thirrje me sjellje mbi një objekt tjetër është lidhje, jo qasje në të dhëna, ndaj hyn te CINT dhe CBO por jo te ATFD.</w:t>
      </w:r>
    </w:p>
    <w:p>
      <w:pPr>
        <w:spacing w:line="360" w:lineRule="auto"/>
        <w:ind w:firstLine="360"/>
        <w:jc w:val="both"/>
      </w:pPr>
      <w:r>
        <w:rPr>
          <w:rFonts w:ascii="Times New Roman" w:hAnsi="Times New Roman" w:eastAsia="Times New Roman"/>
          <w:b/>
          <w:caps w:val="0"/>
          <w:sz w:val="24"/>
        </w:rPr>
        <w:t>Metrikat e klasës.</w:t>
      </w:r>
      <w:r>
        <w:rPr>
          <w:rFonts w:ascii="Times New Roman" w:hAnsi="Times New Roman" w:eastAsia="Times New Roman"/>
          <w:b w:val="0"/>
          <w:caps w:val="0"/>
          <w:sz w:val="24"/>
        </w:rPr>
        <w:t xml:space="preserve"> WMC është shuma e kompleksitetit ciklomatik të metodave, ndërsa AMW mesatarja e tij. TCC është pjesa e çifteve të metodave publike që ndajnë të paktën një fushë; konstruktorët përjashtohen, sepse prekin çdo fushë, dhe kur klasa ka më pak se dy metoda publike, TCC merr vlerën 1. WOC është pjesa e anëtarëve publikë që nuk janë akses-metoda, NOPA numri i fushave publike që nuk janë konstante, dhe NOAM numri i akses-metodave.</w:t>
      </w:r>
    </w:p>
    <w:p>
      <w:pPr>
        <w:spacing w:line="360" w:lineRule="auto"/>
        <w:ind w:firstLine="360"/>
        <w:jc w:val="both"/>
      </w:pPr>
      <w:r>
        <w:rPr>
          <w:rFonts w:ascii="Times New Roman" w:hAnsi="Times New Roman" w:eastAsia="Times New Roman"/>
          <w:b w:val="0"/>
          <w:caps w:val="0"/>
          <w:sz w:val="24"/>
        </w:rPr>
        <w:t>Metrikat ATFD, CBO, DIT dhe TCC varen nga tipat e tjerë të projektit, ndaj çdo depo analizohet e plotë. Si «e huaj» numërohet vetëm një klasë që i përket projektit, që thirrjet në bibliotekën standarde të mos e fryjnë ATFD-në. Tipi i marrësit gjendet vetëm kur marrësi është një identifikues i vetëm; një shprehje si «a.getB().getC()» lihet jashtë në vend që të hamendësohet, dhe për këtë arsye matja anon nga vlera më e ulët.</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janë marrë ashtu siç i publikuan Lanza dhe Marinescu (2006). Large Class, Long Method dhe Long Parameter List ndjekin përshkrimet e Fowler (2018), ndërsa Deep Nesting mat sa thellë janë futur blloqet brenda njëri-tjetrit. Kushtet dhe burimi i secilës janë te Shtojca 8.1.</w:t>
      </w:r>
    </w:p>
    <w:p>
      <w:pPr>
        <w:spacing w:line="360" w:lineRule="auto"/>
        <w:ind w:firstLine="360"/>
        <w:jc w:val="both"/>
      </w:pPr>
      <w:r>
        <w:rPr>
          <w:rFonts w:ascii="Times New Roman" w:hAnsi="Times New Roman" w:eastAsia="Times New Roman"/>
          <w:b/>
          <w:caps w:val="0"/>
          <w:sz w:val="24"/>
        </w:rPr>
        <w:t>Si shprehen strategjitë.</w:t>
      </w:r>
      <w:r>
        <w:rPr>
          <w:rFonts w:ascii="Times New Roman" w:hAnsi="Times New Roman" w:eastAsia="Times New Roman"/>
          <w:b w:val="0"/>
          <w:caps w:val="0"/>
          <w:sz w:val="24"/>
        </w:rPr>
        <w:t xml:space="preserve"> Secila strategji është kombinim kushtesh mbi metrika, jo një metrikë e vetme. God Class kërkon njëkohësisht kompleksitet të lartë (WMC ≥ 47), kohezion të ulët (TCC &lt; 1/3) dhe qasje në të dhëna të huaja (ATFD &gt; 5). Feature Envy kërkon që metoda të lexojë shumë atribute të huaja (ATFD &gt; 5), më shumë të huaja se të vetat (LAA &lt; 1/3), por nga pak klasa (FDP ≤ 5). Data Class kërkon një sipërfaqe publike pothuajse pa sjellje (WOC &lt; 1/3), me shumë fusha publike ose akses-metoda dhe me kompleksitet të ulët. Long Method kërkon vetëm që rreshtat efektivë të kalojnë 30.</w:t>
      </w:r>
    </w:p>
    <w:p>
      <w:pPr>
        <w:spacing w:line="360" w:lineRule="auto"/>
        <w:ind w:firstLine="360"/>
        <w:jc w:val="both"/>
      </w:pPr>
      <w:r>
        <w:rPr>
          <w:rFonts w:ascii="Times New Roman" w:hAnsi="Times New Roman" w:eastAsia="Times New Roman"/>
          <w:b w:val="0"/>
          <w:caps w:val="0"/>
          <w:sz w:val="24"/>
        </w:rPr>
        <w:t>Katër pragje nuk kanë burim të botuar dhe i ka zgjedhur autori: kufiri i Long Method (30 rreshta), dy kushte të Brain Method (CC ≥ 4, ndërfutja ≥ 3) dhe kufiri i Deep Nesting (&gt; 3). Ndjeshmëria ndaj të parit matet te Nënkapitulli 5.5, ndërsa tre të tjerët nuk maten dot kundrejt MLCQ-së. Të autorit janë edhe tre pragjet e ashpërsisë (Shtojca 8.7); të tjerat vijnë nga Lanza dhe Marinescu (2006), me vlerat e Shtojcës 8.2. Pragu i Long Method është i vetmi kufi gjatësie i një ere metode: metoda shënohet kur ka mbi 30 rreshta efektivë. Numri 35 që del te Brain Method nuk është një prag i dytë për të njëjtën erë, por njëra nga katër klauzolat e asaj strategjie, gjysma e pragut të lartë prej 70 rreshtash të Lanza dhe Marinescu (2006), dhe ndez vetëm bashkë me tri të tjerat.</w:t>
      </w:r>
    </w:p>
    <w:p>
      <w:pPr>
        <w:spacing w:line="360" w:lineRule="auto"/>
        <w:ind w:firstLine="360"/>
        <w:jc w:val="both"/>
      </w:pPr>
      <w:r>
        <w:rPr>
          <w:rFonts w:ascii="Times New Roman" w:hAnsi="Times New Roman" w:eastAsia="Times New Roman"/>
          <w:b w:val="0"/>
          <w:caps w:val="0"/>
          <w:sz w:val="24"/>
        </w:rPr>
        <w:t>Kundrejt MLCQ-së vlerësohen katër strategji: God Class kundrejt etiketës «blob», dhe Data Class, Feature Envy e Long Method kundrejt etiketave me të njëjtin emër. Për Blob-in pikëzohet edhe një variant që bashkon God Class me Large Class, detektorin që shikon vetëm madhësinë.</w:t>
      </w:r>
    </w:p>
    <w:p>
      <w:pPr>
        <w:spacing w:line="360" w:lineRule="auto"/>
        <w:ind w:firstLine="360"/>
        <w:jc w:val="both"/>
      </w:pPr>
      <w:r>
        <w:rPr>
          <w:rFonts w:ascii="Times New Roman" w:hAnsi="Times New Roman" w:eastAsia="Times New Roman"/>
          <w:b w:val="0"/>
          <w:caps w:val="0"/>
          <w:sz w:val="24"/>
        </w:rPr>
        <w:t>Një detektor nuk kthen thjesht po ose jo, por kushtet që vlerësoi me vlerat e matura. Kjo i lejon ndërfaqes të shpjegojë pse u shënua diçka dhe punimit të raportojë cili kusht e mbajti detektimin.</w:t>
      </w:r>
    </w:p>
    <w:p>
      <w:pPr>
        <w:spacing w:line="360" w:lineRule="auto"/>
        <w:ind w:firstLine="360"/>
        <w:jc w:val="both"/>
      </w:pPr>
      <w:r>
        <w:rPr>
          <w:rFonts w:ascii="Times New Roman" w:hAnsi="Times New Roman" w:eastAsia="Times New Roman"/>
          <w:b/>
          <w:caps w:val="0"/>
          <w:sz w:val="24"/>
        </w:rPr>
        <w:t>Ashpërsia.</w:t>
      </w:r>
      <w:r>
        <w:rPr>
          <w:rFonts w:ascii="Times New Roman" w:hAnsi="Times New Roman" w:eastAsia="Times New Roman"/>
          <w:b w:val="0"/>
          <w:caps w:val="0"/>
          <w:sz w:val="24"/>
        </w:rPr>
        <w:t xml:space="preserve"> Për çdo kusht të plotësuar llogaritet teprica e, raporti mes matjes v dhe pragut t. Kur kushti kërkon që matja të jetë mbi prag, teprica është:</w:t>
      </w:r>
    </w:p>
    <w:p>
      <w:pPr>
        <w:keepLines/>
        <w:tabs>
          <w:tab w:pos="4419" w:val="center"/>
          <w:tab w:pos="8838" w:val="right"/>
        </w:tabs>
        <w:spacing w:line="360" w:lineRule="auto"/>
        <w:jc w:val="both"/>
      </w:pPr>
      <w:r>
        <w:rPr>
          <w:rFonts w:ascii="Times New Roman" w:hAnsi="Times New Roman" w:eastAsia="Times New Roman"/>
          <w:b w:val="0"/>
          <w:caps w:val="0"/>
          <w:sz w:val="24"/>
        </w:rPr>
        <w:tab/>
        <w:t>e = v / t</w:t>
        <w:tab/>
        <w:t>(1)</w:t>
      </w:r>
    </w:p>
    <w:p>
      <w:pPr>
        <w:spacing w:line="360" w:lineRule="auto"/>
        <w:ind w:firstLine="360"/>
        <w:jc w:val="both"/>
      </w:pPr>
      <w:r>
        <w:rPr>
          <w:rFonts w:ascii="Times New Roman" w:hAnsi="Times New Roman" w:eastAsia="Times New Roman"/>
          <w:b w:val="0"/>
          <w:caps w:val="0"/>
          <w:sz w:val="24"/>
        </w:rPr>
        <w:t>Kur kushti kërkon që matja të jetë nën prag, si te TCC-ja, raporti përmbyset, që teprica të jetë përsëri së paku 1 dhe kushtet me drejtim të kundërt të mesatarizohen bashkë:</w:t>
      </w:r>
    </w:p>
    <w:p>
      <w:pPr>
        <w:keepLines/>
        <w:tabs>
          <w:tab w:pos="4419" w:val="center"/>
          <w:tab w:pos="8838" w:val="right"/>
        </w:tabs>
        <w:spacing w:line="360" w:lineRule="auto"/>
        <w:jc w:val="both"/>
      </w:pPr>
      <w:r>
        <w:rPr>
          <w:rFonts w:ascii="Times New Roman" w:hAnsi="Times New Roman" w:eastAsia="Times New Roman"/>
          <w:b w:val="0"/>
          <w:caps w:val="0"/>
          <w:sz w:val="24"/>
        </w:rPr>
        <w:tab/>
        <w:t>e = t / v</w:t>
        <w:tab/>
        <w:t>(2)</w:t>
      </w:r>
    </w:p>
    <w:p>
      <w:pPr>
        <w:spacing w:line="360" w:lineRule="auto"/>
        <w:ind w:firstLine="360"/>
        <w:jc w:val="both"/>
      </w:pPr>
      <w:r>
        <w:rPr>
          <w:rFonts w:ascii="Times New Roman" w:hAnsi="Times New Roman" w:eastAsia="Times New Roman"/>
          <w:b w:val="0"/>
          <w:caps w:val="0"/>
          <w:sz w:val="24"/>
        </w:rPr>
        <w:t>Rezultati i gjetjes është mesatarja e tepricave të saj, ku secila kufizohet te 5, që një metrikë e vetme ekstreme të mos e shtyjë një rast të butë te niveli më i lartë; shuma merret mbi të n kushtet e strategjisë:</w:t>
      </w:r>
    </w:p>
    <w:p>
      <w:pPr>
        <w:keepLines/>
        <w:tabs>
          <w:tab w:pos="4419" w:val="center"/>
          <w:tab w:pos="8838" w:val="right"/>
        </w:tabs>
        <w:spacing w:line="360" w:lineRule="auto"/>
        <w:jc w:val="both"/>
      </w:pPr>
      <w:r>
        <w:rPr>
          <w:rFonts w:ascii="Times New Roman" w:hAnsi="Times New Roman" w:eastAsia="Times New Roman"/>
          <w:b w:val="0"/>
          <w:caps w:val="0"/>
          <w:sz w:val="24"/>
        </w:rPr>
        <w:tab/>
        <w:t>s = (1 / n) · Σ min(e, 5)</w:t>
        <w:tab/>
        <w:t>(3)</w:t>
      </w:r>
    </w:p>
    <w:p>
      <w:pPr>
        <w:spacing w:line="360" w:lineRule="auto"/>
        <w:ind w:firstLine="360"/>
        <w:jc w:val="both"/>
      </w:pPr>
      <w:r>
        <w:rPr>
          <w:rFonts w:ascii="Times New Roman" w:hAnsi="Times New Roman" w:eastAsia="Times New Roman"/>
          <w:b w:val="0"/>
          <w:caps w:val="0"/>
          <w:sz w:val="24"/>
        </w:rPr>
        <w:t>Gjetja quhet minor kur s &lt; 1.5, major kur 1.5 ≤ s &lt; 2.5, dhe critical përndryshe. Meqë shkalla është ajo e MLCQ-së, ashpërsia e derivuar krahasohet drejtpërdrejt me atë të rishikuesve.</w:t>
      </w:r>
    </w:p>
    <w:p>
      <w:pPr>
        <w:pStyle w:val="Heading2"/>
      </w:pPr>
      <w:r>
        <w:rPr>
          <w:rFonts w:ascii="Times New Roman" w:hAnsi="Times New Roman" w:eastAsia="Times New Roman"/>
          <w:b/>
          <w:caps w:val="0"/>
          <w:sz w:val="24"/>
        </w:rPr>
        <w:t>4.6 Qasja B: detektimi me mësim të makinës</w:t>
      </w:r>
    </w:p>
    <w:p>
      <w:pPr>
        <w:spacing w:line="360" w:lineRule="auto"/>
        <w:ind w:firstLine="360"/>
        <w:jc w:val="both"/>
      </w:pPr>
      <w:r>
        <w:rPr>
          <w:rFonts w:ascii="Times New Roman" w:hAnsi="Times New Roman" w:eastAsia="Times New Roman"/>
          <w:b w:val="0"/>
          <w:caps w:val="0"/>
          <w:sz w:val="24"/>
        </w:rPr>
        <w:t>Vlerësohen katër modele: klasifikuesi i shumicës, regresioni logjistik, Random Forest (Breiman, 2001) dhe Gradient Boosting (Friedman, 2001), të gjitha me scikit-learn (Pedregosa et al., 2011). Si veçori përdoren të gjitha metrikat e Nënkapitullit 4.4, jo vetëm ato të strategjive. Për erërat e klasës vektori ka shtatëmbëdhjetë metrika klase; për erërat e metodës ka nëntë metrika metode bashkë me metrikat e klasës që e përmban, gjithsej 26. Parashtesa «c_» shënon një metrikë klase dhe «m_» një metrikë metode, sepse disa metrika, si ATFD, maten në të dy nivelet.</w:t>
      </w:r>
    </w:p>
    <w:p>
      <w:pPr>
        <w:spacing w:line="360" w:lineRule="auto"/>
        <w:ind w:firstLine="360"/>
        <w:jc w:val="both"/>
      </w:pPr>
      <w:r>
        <w:rPr>
          <w:rFonts w:ascii="Times New Roman" w:hAnsi="Times New Roman" w:eastAsia="Times New Roman"/>
          <w:b/>
          <w:caps w:val="0"/>
          <w:sz w:val="24"/>
        </w:rPr>
        <w:t>Konfigurimi.</w:t>
      </w:r>
      <w:r>
        <w:rPr>
          <w:rFonts w:ascii="Times New Roman" w:hAnsi="Times New Roman" w:eastAsia="Times New Roman"/>
          <w:b w:val="0"/>
          <w:caps w:val="0"/>
          <w:sz w:val="24"/>
        </w:rPr>
        <w:t xml:space="preserve"> Klasifikuesi i shumicës parashikon gjithmonë «pa erë» dhe shërben si model bazë. Regresioni logjistik përdoret pas standardizimit të veçorive, sepse vetëm ai është i ndjeshëm ndaj shkallës: pa të, LCOM-i, që arrin mijëra, do ta mbulonte TCC-në, që qëndron mes 0 dhe 1. Random Forest ndërtohet me 300 pemë, ndërsa Gradient Boosting përdor variantin me histograma të scikit-learn me parametrat e parazgjedhur. Hiperparametrat nuk optimizohen: optimizimi do të kërkonte një ndarje të dytë brenda çdo fold-i, dhe pa të do të rridhte informacion nga bashkësia e testimit. Të gjitha modelet përdorin farën 20260826.</w:t>
      </w:r>
    </w:p>
    <w:p>
      <w:pPr>
        <w:spacing w:line="360" w:lineRule="auto"/>
        <w:ind w:firstLine="360"/>
        <w:jc w:val="both"/>
      </w:pPr>
      <w:r>
        <w:rPr>
          <w:rFonts w:ascii="Times New Roman" w:hAnsi="Times New Roman" w:eastAsia="Times New Roman"/>
          <w:b/>
          <w:caps w:val="0"/>
          <w:sz w:val="24"/>
        </w:rPr>
        <w:t>Ndarja.</w:t>
      </w:r>
      <w:r>
        <w:rPr>
          <w:rFonts w:ascii="Times New Roman" w:hAnsi="Times New Roman" w:eastAsia="Times New Roman"/>
          <w:b w:val="0"/>
          <w:caps w:val="0"/>
          <w:sz w:val="24"/>
        </w:rPr>
        <w:t xml:space="preserve"> Ndarja bëhet me GroupKFold në pesë folde sipas depos, që mostrat e një projekti të mos jenë njëkohësisht në trajnim dhe në testim (Nënkapitulli 2.4). Një ndarje e rastësishme sipas rreshtave do të ishte rast i asaj që Kaufman et al. (2012) e quajnë rrjedhje: modeli do të mësonte nga të dhëna që në përdorim real nuk i ka. Çdo mostër parashikohet një herë, nga një model që nuk e ka parë projektin e saj. Kështu modeli jep dalje të së njëjtës formë si detektorët, dhe të dy krahasohen mostër për mostër.</w:t>
      </w:r>
    </w:p>
    <w:p>
      <w:pPr>
        <w:spacing w:line="360" w:lineRule="auto"/>
        <w:ind w:firstLine="360"/>
        <w:jc w:val="both"/>
      </w:pPr>
      <w:r>
        <w:rPr>
          <w:rFonts w:ascii="Times New Roman" w:hAnsi="Times New Roman" w:eastAsia="Times New Roman"/>
          <w:b w:val="0"/>
          <w:caps w:val="0"/>
          <w:sz w:val="24"/>
        </w:rPr>
        <w:t>Çekuilibri i klasave trajtohet me pesha, jo me mbi-mostrim, sepse mbi-mostrimi do t'i kopjonte rreshtat përtej kufirit të fold-it dhe do ta prishte grupimin. Bashkësia e testimit nuk ribalancohet.</w:t>
      </w:r>
    </w:p>
    <w:p>
      <w:pPr>
        <w:spacing w:line="360" w:lineRule="auto"/>
        <w:ind w:firstLine="360"/>
        <w:jc w:val="both"/>
      </w:pPr>
      <w:r>
        <w:rPr>
          <w:rFonts w:ascii="Times New Roman" w:hAnsi="Times New Roman" w:eastAsia="Times New Roman"/>
          <w:b/>
          <w:caps w:val="0"/>
          <w:sz w:val="24"/>
        </w:rPr>
        <w:t>Ablacioni.</w:t>
      </w:r>
      <w:r>
        <w:rPr>
          <w:rFonts w:ascii="Times New Roman" w:hAnsi="Times New Roman" w:eastAsia="Times New Roman"/>
          <w:b w:val="0"/>
          <w:caps w:val="0"/>
          <w:sz w:val="24"/>
        </w:rPr>
        <w:t xml:space="preserve"> Modelet trajnohen edhe vetëm me metrikat që lexon strategjia përkatëse: te Blob WMC, TCC dhe ATFD e klasës, te Feature Envy ATFD, LAA dhe FDP e metodës, te Data Class WOC, NOPA, NOAM dhe WMC, dhe te Long Method vetëm MLOC. Foldet, fara dhe pikëzimi mbeten të njëjta, ndaj dallimi me modelin e plotë tregon sa nga fitimi vjen nga kufiri i mësuar dhe sa nga metrikat shtesë.</w:t>
      </w:r>
    </w:p>
    <w:p>
      <w:pPr>
        <w:spacing w:line="360" w:lineRule="auto"/>
        <w:ind w:firstLine="360"/>
        <w:jc w:val="both"/>
      </w:pPr>
      <w:r>
        <w:rPr>
          <w:rFonts w:ascii="Times New Roman" w:hAnsi="Times New Roman" w:eastAsia="Times New Roman"/>
          <w:b/>
          <w:caps w:val="0"/>
          <w:sz w:val="24"/>
        </w:rPr>
        <w:t>Rëndësia dhe shpjegimi.</w:t>
      </w:r>
      <w:r>
        <w:rPr>
          <w:rFonts w:ascii="Times New Roman" w:hAnsi="Times New Roman" w:eastAsia="Times New Roman"/>
          <w:b w:val="0"/>
          <w:caps w:val="0"/>
          <w:sz w:val="24"/>
        </w:rPr>
        <w:t xml:space="preserve"> Rëndësia e veçorive matet me permutim (permutation importance) mbi fold-in e testimit, me dhjetë përsëritje, sepse rëndësia e bazuar te papastërtia favorizon veçoritë me shumë vlera të ndryshme (Strobl et al., 2007). Kjo tregon cila metrikë ka peshë në tërë korpusin, por jo pse u shënua një entitet i caktuar. Prandaj çdo verdikt pozitiv shpjegohet veç: çdo metrikë, një nga një, zëvendësohet me mesoren e bashkësisë së trajnimit dhe modeli pyetet sërish. Nëse ky ndryshim i vetëm e ul probabilitetin nën 0.5, ajo metrikë e mban verdiktin, dhe ndërfaqja e shkruan si fjali: «po të ishte CLOC-u tipik, kjo klasë nuk do të shënohej». Metoda vlen për çdo lloj modeli, por shikon një metrikë në një kohë: kur dy metrika mbajnë të njëjtin informacion, ndryshimi i njërës mund të mos lëvizë asgjë, dhe rasti mbetet pa shpjegim. Edhe shpjegimet llogariten jashtë fold-it.</w:t>
      </w:r>
    </w:p>
    <w:p>
      <w:pPr>
        <w:spacing w:line="360" w:lineRule="auto"/>
        <w:ind w:firstLine="360"/>
        <w:jc w:val="both"/>
      </w:pPr>
      <w:r>
        <w:rPr>
          <w:rFonts w:ascii="Times New Roman" w:hAnsi="Times New Roman" w:eastAsia="Times New Roman"/>
          <w:b/>
          <w:caps w:val="0"/>
          <w:sz w:val="24"/>
        </w:rPr>
        <w:t>Zgjedhja e modelit.</w:t>
      </w:r>
      <w:r>
        <w:rPr>
          <w:rFonts w:ascii="Times New Roman" w:hAnsi="Times New Roman" w:eastAsia="Times New Roman"/>
          <w:b w:val="0"/>
          <w:caps w:val="0"/>
          <w:sz w:val="24"/>
        </w:rPr>
        <w:t xml:space="preserve"> Algoritmi që e përfaqëson Qasjen B te secila erë caktohet pas vlerësimit, si ai që del më mirë. Zgjedhja bëhet mbi të njëjtat parashikime mbi të cilat raportohet shifra, pa një bashkësi të tretë të mbajtur veç për të, ndaj MCC-ja e modelit më të mirë përmban një anim të vogël optimist (Cawley &amp; Talbot, 2010). Për këtë arsye Nënkapitulli 5.2 jep MCC-në e çdo algoritmi dhe jo vetëm të më të mirit, ndërsa sa ndikon zgjedhja te përfundimet diskutohet te Nënkapitulli 6.6.</w:t>
      </w:r>
    </w:p>
    <w:p>
      <w:pPr>
        <w:spacing w:line="360" w:lineRule="auto"/>
        <w:ind w:firstLine="360"/>
        <w:jc w:val="both"/>
      </w:pPr>
      <w:r>
        <w:rPr>
          <w:rFonts w:ascii="Times New Roman" w:hAnsi="Times New Roman" w:eastAsia="Times New Roman"/>
          <w:b w:val="0"/>
          <w:caps w:val="0"/>
          <w:sz w:val="24"/>
        </w:rPr>
        <w:t>Për ndërfaqen, modeli më i mirë i secilës erë trajnohet sërish mbi të gjitha mostrat dhe ruhet në disk me një manifest që mban veçoritë, versionet dhe farën. Ai pyetet vetëm kur përdoruesi e kërkon; nëse mungon, analiza me rregulla vazhdon dhe shërbimi e njofton me një kod gabimi të veçantë. Shifrat e punimit vijnë vetëm nga parashikimet jashtë fold-it, kurrë nga ky model.</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nga katalogu i Fowler (2018): Extract Method për Long Method dhe Brain Method, Replace Nested Conditional with Guard Clauses për Deep Nesting, dhe Introduce Parameter Object për Long Parameter List, vetëm te metodat «private». Për katër erërat e tjera refaktorimi vetëm propozohet (Shtojca 8.4).</w:t>
      </w:r>
    </w:p>
    <w:p>
      <w:pPr>
        <w:spacing w:line="360" w:lineRule="auto"/>
        <w:ind w:firstLine="360"/>
        <w:jc w:val="both"/>
      </w:pPr>
      <w:r>
        <w:rPr>
          <w:rFonts w:ascii="Times New Roman" w:hAnsi="Times New Roman" w:eastAsia="Times New Roman"/>
          <w:b w:val="0"/>
          <w:caps w:val="0"/>
          <w:sz w:val="24"/>
        </w:rPr>
        <w:t>Çdo transformim ka parakushtet e veta. Nëse ndonjë prej tyre nuk mund të provohet nga pema sintaksore, transformimi kthen «e paaplikueshme» bashkë me arsyen, dhe ky refuzim numërohet si rezultat.</w:t>
      </w:r>
    </w:p>
    <w:p>
      <w:pPr>
        <w:spacing w:line="360" w:lineRule="auto"/>
        <w:ind w:firstLine="360"/>
        <w:jc w:val="both"/>
      </w:pPr>
      <w:r>
        <w:rPr>
          <w:rFonts w:ascii="Times New Roman" w:hAnsi="Times New Roman" w:eastAsia="Times New Roman"/>
          <w:b/>
          <w:caps w:val="0"/>
          <w:sz w:val="24"/>
        </w:rPr>
        <w:t>Extract Method.</w:t>
      </w:r>
      <w:r>
        <w:rPr>
          <w:rFonts w:ascii="Times New Roman" w:hAnsi="Times New Roman" w:eastAsia="Times New Roman"/>
          <w:b w:val="0"/>
          <w:caps w:val="0"/>
          <w:sz w:val="24"/>
        </w:rPr>
        <w:t xml:space="preserve"> Nga trupi i metodës zgjidhet deklarata e përbërë më e madhe e nivelit të parë (një if, for, while, do, try ose switch), e matur në rreshta. Zgjedhja është mekanike, që e njëjta hyrje të japë gjithmonë të njëjtin rishkrim. Një analizë e rrjedhës së të dhënave i ndan variablat e bllokut në tri grupe: ato që blloku i lexon dhe që janë deklaruar para tij bëhen parametra; ajo që blloku e shkruan dhe që lexohet pas tij bëhet vlera që kthehet, dhe mund të jetë vetëm një; ato që deklarohen brenda tij mbeten brenda. Blloku refuzohet kur prej tij del një return, break ose continue, kur ka më shumë se një dalje, kur një variabël që lexon nuk ka vlerë me siguri, ose kur tipi i një variable nuk duket në skedar. Metoda e re është private, statike kur edhe metoda burimore është statike, dhe e trashëgon klauzolën «throws». Ajo quhet «extracted»: një emër sipas qëllimit kërkon të kuptosh për çfarë shërben kodi, gjë që pema sintaksore nuk e jep, ndaj emërtimi i lihet autorit.</w:t>
      </w:r>
    </w:p>
    <w:p>
      <w:pPr>
        <w:spacing w:line="360" w:lineRule="auto"/>
        <w:ind w:firstLine="360"/>
        <w:jc w:val="both"/>
      </w:pPr>
      <w:r>
        <w:rPr>
          <w:rFonts w:ascii="Times New Roman" w:hAnsi="Times New Roman" w:eastAsia="Times New Roman"/>
          <w:b/>
          <w:caps w:val="0"/>
          <w:sz w:val="24"/>
        </w:rPr>
        <w:t>Replace Nested Conditional with Guard Clauses.</w:t>
      </w:r>
      <w:r>
        <w:rPr>
          <w:rFonts w:ascii="Times New Roman" w:hAnsi="Times New Roman" w:eastAsia="Times New Roman"/>
          <w:b w:val="0"/>
          <w:caps w:val="0"/>
          <w:sz w:val="24"/>
        </w:rPr>
        <w:t xml:space="preserve"> Transformimi pranon vetëm një formë: metodë void, trupi i së cilës është një if i vetëm pa else. Kushti mbështillet si «!(kushti)», metoda del menjëherë kur ai vlen, dhe trupi i if-it zbret një nivel. Mbështjellja, në vend të përmbysjes së operatorit, e ruan kuptimin edhe për numrat me presje lëvizëse, ku «a &gt; b» dhe «a &lt;= b» mund të jenë të dy të rremë, dhe e vlerëson kushtin saktësisht një herë. Çdo formë tjetër refuzohet, sepse një degë else apo një vlerë kthyese do të kërkonin një vendim që sintaksa nuk e jep.</w:t>
      </w:r>
    </w:p>
    <w:p>
      <w:pPr>
        <w:spacing w:line="360" w:lineRule="auto"/>
        <w:ind w:firstLine="360"/>
        <w:jc w:val="both"/>
      </w:pPr>
      <w:r>
        <w:rPr>
          <w:rFonts w:ascii="Times New Roman" w:hAnsi="Times New Roman" w:eastAsia="Times New Roman"/>
          <w:b/>
          <w:caps w:val="0"/>
          <w:sz w:val="24"/>
        </w:rPr>
        <w:t>Një shembull.</w:t>
      </w:r>
      <w:r>
        <w:rPr>
          <w:rFonts w:ascii="Times New Roman" w:hAnsi="Times New Roman" w:eastAsia="Times New Roman"/>
          <w:b w:val="0"/>
          <w:caps w:val="0"/>
          <w:sz w:val="24"/>
        </w:rPr>
        <w:t xml:space="preserve"> Figura që vijon tregon një rishkrim të vërtetë të motorit mbi korpus: metodën checkForLimitedOrNoAccess të klasës DistributedRegion nga projekti Apache Geode, para dhe pas Replace Nested Conditional with Guard Clauses. Kushti i jashtëm kthehet në roje me një dalje të hershme, dhe pjesa tjetër e metodës humbet një nivel ndërfutjeje. Rishkrimi kaloi verifikimin, dhe në leximin e Nënkapitullit 5.4 u gjykua i pranueshëm ashtu si është. Extract Method, transformimi më i shpeshtë, del te pamja e ndërfaqes në Nënkapitullin 4.8 (Figura 2).</w:t>
      </w:r>
    </w:p>
    <w:p>
      <w:pPr>
        <w:keepNext/>
        <w:jc w:val="center"/>
      </w:pPr>
      <w:r>
        <w:drawing>
          <wp:inline xmlns:a="http://schemas.openxmlformats.org/drawingml/2006/main" xmlns:pic="http://schemas.openxmlformats.org/drawingml/2006/picture">
            <wp:extent cx="5577840" cy="5254752"/>
            <wp:docPr id="4" name="Picture 4"/>
            <wp:cNvGraphicFramePr>
              <a:graphicFrameLocks noChangeAspect="1"/>
            </wp:cNvGraphicFramePr>
            <a:graphic>
              <a:graphicData uri="http://schemas.openxmlformats.org/drawingml/2006/picture">
                <pic:pic>
                  <pic:nvPicPr>
                    <pic:cNvPr id="0" name="shembull_guard_clauses.png"/>
                    <pic:cNvPicPr/>
                  </pic:nvPicPr>
                  <pic:blipFill>
                    <a:blip r:embed="rId14"/>
                    <a:stretch>
                      <a:fillRect/>
                    </a:stretch>
                  </pic:blipFill>
                  <pic:spPr>
                    <a:xfrm>
                      <a:off x="0" y="0"/>
                      <a:ext cx="5577840" cy="52547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Një rishkrim i motorit mbi korpus: Replace Nested Conditional with Guard Clauses, para dhe pas</w:t>
      </w:r>
    </w:p>
    <w:p>
      <w:pPr>
        <w:spacing w:line="360" w:lineRule="auto"/>
        <w:ind w:firstLine="360"/>
        <w:jc w:val="both"/>
      </w:pPr>
      <w:r>
        <w:rPr>
          <w:rFonts w:ascii="Times New Roman" w:hAnsi="Times New Roman" w:eastAsia="Times New Roman"/>
          <w:b/>
          <w:caps w:val="0"/>
          <w:sz w:val="24"/>
        </w:rPr>
        <w:t>Introduce Parameter Object.</w:t>
      </w:r>
      <w:r>
        <w:rPr>
          <w:rFonts w:ascii="Times New Roman" w:hAnsi="Times New Roman" w:eastAsia="Times New Roman"/>
          <w:b w:val="0"/>
          <w:caps w:val="0"/>
          <w:sz w:val="24"/>
        </w:rPr>
        <w:t xml:space="preserve"> Zbatohet vetëm te metodat private, sepse Java i kufizon thirrjet e tyre brenda klasës së nivelit të lartë, pra brenda skedarit që rishkruhet. Parametrat mblidhen në një klasë të brendshme statike me fusha finale dhe konstruktor, metoda merr një parametër të vetëm, dhe çdo thirrje në skedar e ndërton objektin. Trupi i metodës nuk preket: në krye të tij parametrat e vjetër rideklarohen si variabla lokale me të njëjtin emër e tip, kështu që as fshehja e një emri as caktimi i një parametri nuk e ndryshojnë kuptimin. Refuzohen mbingarkesat, referencat ndaj metodës, parametrat me numër të ndryshueshëm, tipet gjenerike, parametrat me anotime dhe klasat që nuk mund të mbajnë një klasë të brendshme statike.</w:t>
      </w:r>
    </w:p>
    <w:p>
      <w:pPr>
        <w:spacing w:line="360" w:lineRule="auto"/>
        <w:ind w:firstLine="360"/>
        <w:jc w:val="both"/>
      </w:pPr>
      <w:r>
        <w:rPr>
          <w:rFonts w:ascii="Times New Roman" w:hAnsi="Times New Roman" w:eastAsia="Times New Roman"/>
          <w:b/>
          <w:caps w:val="0"/>
          <w:sz w:val="24"/>
        </w:rPr>
        <w:t>Gjetja e vendit dhe editimi.</w:t>
      </w:r>
      <w:r>
        <w:rPr>
          <w:rFonts w:ascii="Times New Roman" w:hAnsi="Times New Roman" w:eastAsia="Times New Roman"/>
          <w:b w:val="0"/>
          <w:caps w:val="0"/>
          <w:sz w:val="24"/>
        </w:rPr>
        <w:t xml:space="preserve"> Para rishkrimit skedari parsohet sërish, dhe entiteti gjendet me të njëjtin parim si mostrat e MLCQ-së: rreshti i fillimit si ankor, emri si kontroll. Kur skedari ka ndryshuar dhe rreshti mban diçka tjetër, vendi numërohet si i palokalizueshëm dhe nuk preket. Rishkrimi bëhet mbi pozicione bajtash, sepse tree-sitter jep pozicionet në bajta të tekstit UTF-8. Editimet aplikohen nga fundi i skedarit drejt fillimit, që pozicionet e të tjerave të mbeten të sakta, dhe dy editime që mbivendosen refuzohen.</w:t>
      </w:r>
    </w:p>
    <w:p>
      <w:pPr>
        <w:spacing w:line="360" w:lineRule="auto"/>
        <w:ind w:firstLine="360"/>
        <w:jc w:val="both"/>
      </w:pPr>
      <w:r>
        <w:rPr>
          <w:rFonts w:ascii="Times New Roman" w:hAnsi="Times New Roman" w:eastAsia="Times New Roman"/>
          <w:b/>
          <w:caps w:val="0"/>
          <w:sz w:val="24"/>
        </w:rPr>
        <w:t>Verifikimi.</w:t>
      </w:r>
      <w:r>
        <w:rPr>
          <w:rFonts w:ascii="Times New Roman" w:hAnsi="Times New Roman" w:eastAsia="Times New Roman"/>
          <w:b w:val="0"/>
          <w:caps w:val="0"/>
          <w:sz w:val="24"/>
        </w:rPr>
        <w:t xml:space="preserve"> Verifikimi ka tri nivele, sepse një skedar nga një depo reale varet nga fqinjët e tij dhe shpesh nuk kompilon i vetëm: skedari i rishkruar duhet të parsohet; javac, i ekzekutuar para dhe pas, nuk duhet të japë lloj të ri gabimi; dhe nëse skedari kompilonte i vetëm, duhet të kompilojë ende. Krahasohen llojet e mesazheve dhe jo numri i tyre, sepse një parametër i ri me tip të importuar shton një «cannot find symbol» që vjen nga izolimi e jo nga rishkrimi. Kompilatori thirret me argumente të fiksuara, me kufi kohe prej 60 sekondash dhe në një dosje të përkohshme. Ndikimi i izolimit matet veç: mbi një mostër skedarësh të zgjedhur me farë, i njëjti rishkrim kompilohet një herë i vetëm dhe një herë me burimet e projektit, dhe verdiktet krahasohen. Asnjë nga tri nivelet nuk e ekzekuton programin: verifikimi tregon se rishkrimi mbetet Java e vlefshme dhe nuk shton lloj të ri gabimi kompilimi, jo se programi sillet njësoj. Për sjelljen, motori mbështetet vetëm te parakushtet, që janë provë mbi sintaksën dhe jo ekzekutim. Një rishkrim që nuk e kalon verifikimin nuk hyn në patch dhe nuk shkruhet në disk, por në vlerësim numërohet, që shkalla e gabimeve të mos fshihet.</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Matet e gjithë klasa, para dhe pas, sepse Extract Method shton një metodë të re. Kështu shihet nëse era u hoq, sa ndryshoi metrika që e ndez detektorin, dhe nëse rishkrimi solli një erë të re.</w:t>
      </w:r>
    </w:p>
    <w:p>
      <w:pPr>
        <w:spacing w:line="360" w:lineRule="auto"/>
        <w:ind w:firstLine="360"/>
        <w:jc w:val="both"/>
      </w:pPr>
      <w:r>
        <w:rPr>
          <w:rFonts w:ascii="Times New Roman" w:hAnsi="Times New Roman" w:eastAsia="Times New Roman"/>
          <w:b/>
          <w:caps w:val="0"/>
          <w:sz w:val="24"/>
        </w:rPr>
        <w:t>Cilësia e rishkrimeve.</w:t>
      </w:r>
      <w:r>
        <w:rPr>
          <w:rFonts w:ascii="Times New Roman" w:hAnsi="Times New Roman" w:eastAsia="Times New Roman"/>
          <w:b w:val="0"/>
          <w:caps w:val="0"/>
          <w:sz w:val="24"/>
        </w:rPr>
        <w:t xml:space="preserve"> Kompilimi dëshmon vetëm se rishkrimi mbetet kod i vlefshëm. Përkufizimi i Fowler (2018) kërkon edhe që struktura të përmirësohet, dhe nëse u përmirësua e gjykon një njeri, mbi një mostër diff-esh, me një rubrikë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zgjidhet me farë, e shtresuar sipas transformimit, dhe shifra e përgjithshme ripeshohet sipas madhësisë së shtresave. Vlerësuesi nuk e sheh verdiktin e kompilatorit. Intervalet janë ato të Wilson (1927), sepse përafrimi normal me pak vëzhgime jep kufij jashtë [0, 1] (Brown et al., 2001). Vlerësuesi është vetë autori, gjë që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ka njëmbëdhjetë pika hyrjeje: analizën e projektit, metrikat dhe kodin e një entiteti, shfletimin e dosjeve, importin nga GitHub, gjendjen e shërbimit, dhe pesë pika nën /refactor (pamja paraprake, patch-i, i njëjti patch me përparim të raportuar, kontrolli i depos para shkrimit dhe shkrimi në disk). Secila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Meqë aplikacioni ka një përdorues dhe dëgjon vetëm në localhost, rreziqet kryesore janë shtigjet dhe burimet, jo autentikimi. Pranohen vetëm shtigje brenda rrënjëve të lejuara, edhe pas lidhjeve simbolike; analiza ka kufij për skedarët, madhësinë dhe kohën; dhe gabimet kthehen pa detaje të brendshme. Meqë çdo faqe e hapur në shfletues mund ta arrijë localhost-in, refuzohen edhe emrat jo-lokalë te koka Host (DNS rebinding), kërkesat POST nga origjina të huaja dhe shfaqja e ndërfaqes brenda një faqeje tjetër. Importi nga GitHub ruan vetëm skedarët «.java» të një depoje publike, me kufij madhësie dhe me çdo shteg brenda dosjes së synuar.</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konfirmim të qartë, një depo git pa ndryshime të pakomituara dhe skedarë që git-i i ndjek, që një «git restore» t'i kthejë të gjitha. Përndryshe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që shërbehet nga i njëjti proces si API-ja. Projekti zgjidhet duke shfletuar dosjet ose duke importuar një depo. Për çdo gjetje shfaqen kushtet me vlerat e matura, shpjegimi i modelit, dhe diff-i i rishkrimit ose arsyeja e refuzimit. Pas shkrimit në disk tregohet cilat erëra u hoqën dhe cilat u shfaqën.</w:t>
      </w:r>
    </w:p>
    <w:p>
      <w:pPr>
        <w:spacing w:line="360" w:lineRule="auto"/>
        <w:ind w:firstLine="360"/>
        <w:jc w:val="both"/>
      </w:pPr>
      <w:r>
        <w:rPr>
          <w:rFonts w:ascii="Times New Roman" w:hAnsi="Times New Roman" w:eastAsia="Times New Roman"/>
          <w:b w:val="0"/>
          <w:caps w:val="0"/>
          <w:sz w:val="24"/>
        </w:rPr>
        <w:t>Figura që vijon tregon panelin pas analizës së jsoup, një bibliotekë publike Java me 199 skedarë, në mënyrën e thjeshtë: sa klasa e metoda kanë probleme dhe sa të rënda janë, cilat erëra u gjetën më shpesh, dhe vendet për të cilat motori ka një transformim të automatizuar, secili me arsyen e shkruar si fjali. Nëse një vend rishkruhet vërtet varet nga parakushtet e tij, që provohen vetëm kur zhvilluesi e hap (Figura 3).</w:t>
      </w:r>
    </w:p>
    <w:p>
      <w:pPr>
        <w:keepNext/>
        <w:jc w:val="center"/>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nderfaqja_paneli.png"/>
                    <pic:cNvPicPr/>
                  </pic:nvPicPr>
                  <pic:blipFill>
                    <a:blip r:embed="rId15"/>
                    <a:stretch>
                      <a:fillRect/>
                    </a:stretch>
                  </pic:blipFill>
                  <pic:spPr>
                    <a:xfrm>
                      <a:off x="0" y="0"/>
                      <a:ext cx="5120640" cy="3200400"/>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Paneli i ndërfaqes pas analizës së projektit jsoup, në mënyrën e thjeshtë</w:t>
      </w:r>
    </w:p>
    <w:p>
      <w:pPr>
        <w:spacing w:line="360" w:lineRule="auto"/>
        <w:ind w:firstLine="360"/>
        <w:jc w:val="both"/>
      </w:pPr>
      <w:r>
        <w:rPr>
          <w:rFonts w:ascii="Times New Roman" w:hAnsi="Times New Roman" w:eastAsia="Times New Roman"/>
          <w:b w:val="0"/>
          <w:caps w:val="0"/>
          <w:sz w:val="24"/>
        </w:rPr>
        <w:t>Kur zhvilluesi hap një vend, ndërfaqja i kërkon motorit rishkrimin dhe e tregon si diff, pa prekur asnjë skedar. Figura që vijon tregon atë që doli për metodën traverse të klasës NodeTraversor në jsoup: Extract Method e nxjerr ciklin while në një metodë të re dhe e thërret atë aty ku ishte cikli. Metoda e re quhet «extracted», dhe emrin, siç u tha te Nënkapitulli 4.7, e zgjedh zhvilluesi (Figura 4).</w:t>
      </w:r>
    </w:p>
    <w:p>
      <w:pPr>
        <w:keepNext/>
        <w:jc w:val="center"/>
      </w:pPr>
      <w:r>
        <w:drawing>
          <wp:inline xmlns:a="http://schemas.openxmlformats.org/drawingml/2006/main" xmlns:pic="http://schemas.openxmlformats.org/drawingml/2006/picture">
            <wp:extent cx="5577840" cy="1815625"/>
            <wp:docPr id="6" name="Picture 6"/>
            <wp:cNvGraphicFramePr>
              <a:graphicFrameLocks noChangeAspect="1"/>
            </wp:cNvGraphicFramePr>
            <a:graphic>
              <a:graphicData uri="http://schemas.openxmlformats.org/drawingml/2006/picture">
                <pic:pic>
                  <pic:nvPicPr>
                    <pic:cNvPr id="0" name="nderfaqja_rishkrimi.png"/>
                    <pic:cNvPicPr/>
                  </pic:nvPicPr>
                  <pic:blipFill>
                    <a:blip r:embed="rId16"/>
                    <a:stretch>
                      <a:fillRect/>
                    </a:stretch>
                  </pic:blipFill>
                  <pic:spPr>
                    <a:xfrm>
                      <a:off x="0" y="0"/>
                      <a:ext cx="5577840" cy="1815625"/>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Ndryshimi që propozon Extract Method për NodeTraversor.traverse në jsoup, ashtu si e shfaq ndërfaqja</w:t>
      </w:r>
    </w:p>
    <w:p>
      <w:pPr>
        <w:spacing w:line="360" w:lineRule="auto"/>
        <w:ind w:firstLine="360"/>
        <w:jc w:val="both"/>
      </w:pPr>
      <w:r>
        <w:rPr>
          <w:rFonts w:ascii="Times New Roman" w:hAnsi="Times New Roman" w:eastAsia="Times New Roman"/>
          <w:b w:val="0"/>
          <w:caps w:val="0"/>
          <w:sz w:val="24"/>
        </w:rPr>
        <w:t>Ndërfaqja ka dy mënyra leximi. Mënyra teknike përdor emrat e literaturës, si Feature Envy ose klauzola «WOC &lt; 0.333». Mënyra e thjeshtë, që hapet si parazgjedhje për një vizitor të ri, i jep çdo ere, metrike, ashpërsie dhe refaktorimi një emër shqip dhe një fjali që e shpjegon, dhe çdo klauzolë e lexon si fjali. Klauzola e vetme e Long Method, për një metodë me 77 rreshta efektivë, del kështu: «Rreshtat e kodit të metodës: 77 (problem kur është mbi 30)». Shpjegimet janë në një fjalor të vetëm, që e lexojnë njësoj ndërfaqja dhe rreshti i komandës me opsionin --thjeshte, dhe testet kontrollojnë që çdo term që prodhon sistemi të ketë shpjegim.</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Detektimi vlerësohet si klasifikim binar mbi etiketën e Nënkapitullit 4.3. Te matrica e konfuzionit, TP janë mostrat pozitive që detektori i shënon, FP negativët që shënon, FN pozitivët që i humbet dhe TN negativët që i lë. Prej saj llogariten precizioni, recall-i dhe F1:</w:t>
      </w:r>
    </w:p>
    <w:p>
      <w:pPr>
        <w:keepLines/>
        <w:tabs>
          <w:tab w:pos="4419" w:val="center"/>
          <w:tab w:pos="8838" w:val="right"/>
        </w:tabs>
        <w:spacing w:line="360" w:lineRule="auto"/>
        <w:jc w:val="both"/>
      </w:pPr>
      <w:r>
        <w:rPr>
          <w:rFonts w:ascii="Times New Roman" w:hAnsi="Times New Roman" w:eastAsia="Times New Roman"/>
          <w:b w:val="0"/>
          <w:caps w:val="0"/>
          <w:sz w:val="24"/>
        </w:rPr>
        <w:tab/>
        <w:t>P = TP / (TP + FP)</w:t>
        <w:tab/>
        <w:t>(4)</w:t>
      </w:r>
    </w:p>
    <w:p>
      <w:pPr>
        <w:keepLines/>
        <w:tabs>
          <w:tab w:pos="4419" w:val="center"/>
          <w:tab w:pos="8838" w:val="right"/>
        </w:tabs>
        <w:spacing w:line="360" w:lineRule="auto"/>
        <w:jc w:val="both"/>
      </w:pPr>
      <w:r>
        <w:rPr>
          <w:rFonts w:ascii="Times New Roman" w:hAnsi="Times New Roman" w:eastAsia="Times New Roman"/>
          <w:b w:val="0"/>
          <w:caps w:val="0"/>
          <w:sz w:val="24"/>
        </w:rPr>
        <w:tab/>
        <w:t>R = TP / (TP + FN)</w:t>
        <w:tab/>
        <w:t>(5)</w:t>
      </w:r>
    </w:p>
    <w:p>
      <w:pPr>
        <w:keepLines/>
        <w:tabs>
          <w:tab w:pos="4419" w:val="center"/>
          <w:tab w:pos="8838" w:val="right"/>
        </w:tabs>
        <w:spacing w:line="360" w:lineRule="auto"/>
        <w:jc w:val="both"/>
      </w:pPr>
      <w:r>
        <w:rPr>
          <w:rFonts w:ascii="Times New Roman" w:hAnsi="Times New Roman" w:eastAsia="Times New Roman"/>
          <w:b w:val="0"/>
          <w:caps w:val="0"/>
          <w:sz w:val="24"/>
        </w:rPr>
        <w:tab/>
        <w:t>F1 = 2 · P · R / (P + R)</w:t>
        <w:tab/>
        <w:t>(6)</w:t>
      </w:r>
    </w:p>
    <w:p>
      <w:pPr>
        <w:spacing w:line="360" w:lineRule="auto"/>
        <w:ind w:firstLine="360"/>
        <w:jc w:val="both"/>
      </w:pPr>
      <w:r>
        <w:rPr>
          <w:rFonts w:ascii="Times New Roman" w:hAnsi="Times New Roman" w:eastAsia="Times New Roman"/>
          <w:b w:val="0"/>
          <w:caps w:val="0"/>
          <w:sz w:val="24"/>
        </w:rPr>
        <w:t>Treguesi kryesor është koeficienti i korrelacionit i Matthews-it (Matthews, 1975), që i merr parasysh të katër qelizat:</w:t>
      </w:r>
    </w:p>
    <w:p>
      <w:pPr>
        <w:keepLines/>
        <w:tabs>
          <w:tab w:pos="4419" w:val="center"/>
          <w:tab w:pos="8838" w:val="right"/>
        </w:tabs>
        <w:spacing w:line="360" w:lineRule="auto"/>
        <w:jc w:val="both"/>
      </w:pPr>
      <w:r>
        <w:rPr>
          <w:rFonts w:ascii="Times New Roman" w:hAnsi="Times New Roman" w:eastAsia="Times New Roman"/>
          <w:b w:val="0"/>
          <w:caps w:val="0"/>
          <w:sz w:val="24"/>
        </w:rPr>
        <w:tab/>
        <w:t>MCC = (TP·TN − FP·FN) / √((TP+FP)(TP+FN)(TN+FP)(TN+FN))</w:t>
        <w:tab/>
        <w:t>(7)</w:t>
      </w:r>
    </w:p>
    <w:p>
      <w:pPr>
        <w:spacing w:line="360" w:lineRule="auto"/>
        <w:ind w:firstLine="360"/>
        <w:jc w:val="both"/>
      </w:pPr>
      <w:r>
        <w:rPr>
          <w:rFonts w:ascii="Times New Roman" w:hAnsi="Times New Roman" w:eastAsia="Times New Roman"/>
          <w:b w:val="0"/>
          <w:caps w:val="0"/>
          <w:sz w:val="24"/>
        </w:rPr>
        <w:t>Kjo ka rëndësi kur shumica e etiketave janë negative: një detektor që nuk ndez kurrë del i papërcaktuar sipas MCC-së, ndërsa saktësia e përgjithshme do t'i jepte shifër të lartë. Chicco dhe Jurman (2020) tregojnë se MCC-ja del e lartë vetëm kur parashikimi është i mirë në të katër qelizat, ndërsa saktësia dhe F1 mund të dalin tepër optimiste mbi bashkësi të çekuilibruara. Recall-i raportohet edhe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ku A është pjesa e mostrave ku dy qasjet japin të njëjtin verdikt dhe E pajtimi që pritet rastësisht nga shpeshtësia me të cilën ndez secila:</w:t>
      </w:r>
    </w:p>
    <w:p>
      <w:pPr>
        <w:keepLines/>
        <w:tabs>
          <w:tab w:pos="4419" w:val="center"/>
          <w:tab w:pos="8838" w:val="right"/>
        </w:tabs>
        <w:spacing w:line="360" w:lineRule="auto"/>
        <w:jc w:val="both"/>
      </w:pPr>
      <w:r>
        <w:rPr>
          <w:rFonts w:ascii="Times New Roman" w:hAnsi="Times New Roman" w:eastAsia="Times New Roman"/>
          <w:b w:val="0"/>
          <w:caps w:val="0"/>
          <w:sz w:val="24"/>
        </w:rPr>
        <w:tab/>
        <w:t>κ = (A − E) / (1 − E)</w:t>
        <w:tab/>
        <w:t>(8)</w:t>
      </w:r>
    </w:p>
    <w:p>
      <w:pPr>
        <w:spacing w:line="360" w:lineRule="auto"/>
        <w:ind w:firstLine="360"/>
        <w:jc w:val="both"/>
      </w:pPr>
      <w:r>
        <w:rPr>
          <w:rFonts w:ascii="Times New Roman" w:hAnsi="Times New Roman" w:eastAsia="Times New Roman"/>
          <w:b w:val="0"/>
          <w:caps w:val="0"/>
          <w:sz w:val="24"/>
        </w:rPr>
        <w:t>Kappa zgjidhet sepse kur 87% e etiketave janë negative, dy detektorë që ndezin rrallë pajtohen shumë edhe rastësisht.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caps w:val="0"/>
          <w:sz w:val="24"/>
        </w:rPr>
        <w:t>Ndjeshmëria ndaj pragjeve.</w:t>
      </w:r>
      <w:r>
        <w:rPr>
          <w:rFonts w:ascii="Times New Roman" w:hAnsi="Times New Roman" w:eastAsia="Times New Roman"/>
          <w:b w:val="0"/>
          <w:caps w:val="0"/>
          <w:sz w:val="24"/>
        </w:rPr>
        <w:t xml:space="preserve"> Secili prag i katër strategjive të vlerësuara shumëzohet me faktorët 0.5, 0.75, 1, 1.25, 1.5, 2, një prag në një kohë dhe me të tjerët te vlerat e botuara, dhe strategjia pikëzohet sërish. Meqë pragjet nuk hyjnë në matje, kjo bëhet mbi tabelën e ruajtur të veçorive. Vlera që jep MCC-në më të lartë nuk adoptohet: e zgjedhur mbi të njëjtën bashkësi mbi të cilën raportohet, ajo do të matte sa mirë u përshtat pragu, jo sa mirë detekton strategjia.</w:t>
      </w:r>
    </w:p>
    <w:p>
      <w:pPr>
        <w:spacing w:line="360" w:lineRule="auto"/>
        <w:ind w:firstLine="360"/>
        <w:jc w:val="both"/>
      </w:pPr>
      <w:r>
        <w:rPr>
          <w:rFonts w:ascii="Times New Roman" w:hAnsi="Times New Roman" w:eastAsia="Times New Roman"/>
          <w:b/>
          <w:caps w:val="0"/>
          <w:sz w:val="24"/>
        </w:rPr>
        <w:t>Kalibrimi jashtë fold-it.</w:t>
      </w:r>
      <w:r>
        <w:rPr>
          <w:rFonts w:ascii="Times New Roman" w:hAnsi="Times New Roman" w:eastAsia="Times New Roman"/>
          <w:b w:val="0"/>
          <w:caps w:val="0"/>
          <w:sz w:val="24"/>
        </w:rPr>
        <w:t xml:space="preserve"> Për një shifër të ndershme me pragje të lëvizura, korpusi ndahet në pesë folde sipas depos, si te Qasja B. Për secilin fold, nga i njëjti rrjet faktorësh zgjidhet pragu me MCC-në më të lartë mbi foldet e tjera, dhe ai zbatohet mbi foldin e mbajtur jashtë. Parashikimet e të gjitha foldeve bashkohen dhe pikëzohen një herë, ndaj shifra është jashtë fold-it në të njëjtin kuptim me atë të modeleve.</w:t>
      </w:r>
    </w:p>
    <w:p>
      <w:pPr>
        <w:spacing w:line="360" w:lineRule="auto"/>
        <w:ind w:firstLine="360"/>
        <w:jc w:val="both"/>
      </w:pPr>
      <w:r>
        <w:rPr>
          <w:rFonts w:ascii="Times New Roman" w:hAnsi="Times New Roman" w:eastAsia="Times New Roman"/>
          <w:b/>
          <w:caps w:val="0"/>
          <w:sz w:val="24"/>
        </w:rPr>
        <w:t>Intervalet e besimit.</w:t>
      </w:r>
      <w:r>
        <w:rPr>
          <w:rFonts w:ascii="Times New Roman" w:hAnsi="Times New Roman" w:eastAsia="Times New Roman"/>
          <w:b w:val="0"/>
          <w:caps w:val="0"/>
          <w:sz w:val="24"/>
        </w:rPr>
        <w:t xml:space="preserve"> Çdo tregues rillogaritet mbi 2000 rimostrime me kthim (Efron &amp; Tibshirani, 1993). Njësia e rimostrimit është depoja e jo mostra, që mostrat e një projekti të mbeten bashkë, dhe intervali 95% merret nga percentilet 2.5 dhe 97.5. Për dallimin B − A raportohet edhe pjesa e rimostrimeve ku ai ruan shenjën pozitive, dhe dallimi rillogaritet edhe kur Qasja A merr pragun që i jep MCC-në më të lartë.</w:t>
      </w:r>
    </w:p>
    <w:p>
      <w:pPr>
        <w:spacing w:line="360" w:lineRule="auto"/>
        <w:ind w:firstLine="360"/>
        <w:jc w:val="both"/>
      </w:pPr>
      <w:r>
        <w:rPr>
          <w:rFonts w:ascii="Times New Roman" w:hAnsi="Times New Roman" w:eastAsia="Times New Roman"/>
          <w:b/>
          <w:caps w:val="0"/>
          <w:sz w:val="24"/>
        </w:rPr>
        <w:t>Pajtimi mes rishikuesve.</w:t>
      </w:r>
      <w:r>
        <w:rPr>
          <w:rFonts w:ascii="Times New Roman" w:hAnsi="Times New Roman" w:eastAsia="Times New Roman"/>
          <w:b w:val="0"/>
          <w:caps w:val="0"/>
          <w:sz w:val="24"/>
        </w:rPr>
        <w:t xml:space="preserve"> Për çdo mostër me dy rishikime ose më shumë, çdo çift rishikimesh kalon nëpër të njëjtën matricë konfuzioni: njëri rishikues merret si e vërtetë, tjetri si parashikim. MCC-ja që del shërben si tavan orientues për detektorët dhe jo si kufi i rreptë, sepse etiketa e agreguar e zbut zhurmën e një rishikuesi të vetëm.</w:t>
      </w:r>
    </w:p>
    <w:p>
      <w:pPr>
        <w:spacing w:line="360" w:lineRule="auto"/>
        <w:ind w:firstLine="360"/>
        <w:jc w:val="both"/>
      </w:pPr>
      <w:r>
        <w:rPr>
          <w:rFonts w:ascii="Times New Roman" w:hAnsi="Times New Roman" w:eastAsia="Times New Roman"/>
          <w:b w:val="0"/>
          <w:caps w:val="0"/>
          <w:sz w:val="24"/>
        </w:rPr>
        <w:t>Motori i refaktorimit matet ndryshe: numërohen vendet e detektuara, të transformuara dhe të refuzuara sipas arsyes, me verdiktin e verifikimit për çdo rishkrim.</w:t>
      </w:r>
    </w:p>
    <w:p>
      <w:pPr>
        <w:spacing w:line="360" w:lineRule="auto"/>
        <w:ind w:firstLine="360"/>
        <w:jc w:val="both"/>
      </w:pPr>
      <w:r>
        <w:rPr>
          <w:rFonts w:ascii="Times New Roman" w:hAnsi="Times New Roman" w:eastAsia="Times New Roman"/>
          <w:b/>
          <w:caps w:val="0"/>
          <w:sz w:val="24"/>
        </w:rPr>
        <w:t>Krahasimi me PMD-në.</w:t>
      </w:r>
      <w:r>
        <w:rPr>
          <w:rFonts w:ascii="Times New Roman" w:hAnsi="Times New Roman" w:eastAsia="Times New Roman"/>
          <w:b w:val="0"/>
          <w:caps w:val="0"/>
          <w:sz w:val="24"/>
        </w:rPr>
        <w:t xml:space="preserve"> Si krahasim i jashtëm, i njëjti vlerësim zbatohet te PMD (PMD Team, 2026), versioni 7.27.0, rregullat GodClass dhe DataClass të të cilit bazohen te strategjitë e Lanza dhe Marinescu (2006). PMD ekzekutohet me pragjet e veta, pikëzohet njësoj si Qasja A, dhe shkeljet lidhen me entitetet sipas emrit të klasës dhe të metodës. Meqë analizon një skedar në një kohë, ATFD-në e llogarit vetëm brenda skedarit, gjë që e vë në disavantazh; heqja e këtij handikapi do të kërkonte ndërtimin e çdo depoje në commit-in e vet historik. Rregull për Feature Envy PMD nuk ka, prandaj LawOfDemeter, që mat zinxhirët e thirrjeve, raportohet vetëm si referencë. Skedarët që PMD nuk i lexon dhe depot që nuk i përpunon hiqen nga të dyja anët, që dështimi i mjetit të mos lexohet si mosgjetje, dhe një raport XML i pavlefshëm lexohet me një rrugë rikuperimi që jep të njëjtat fusha. Dallimi i MCC-së ka interval të çiftuar, me të njëjtat rimostrime depo për të dyja anët.</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një ndryshim quhet i përfunduar vetëm kur i kalon të gjitha:</w:t>
      </w:r>
    </w:p>
    <w:p>
      <w:pPr>
        <w:pStyle w:val="ListBullet"/>
        <w:spacing w:line="360" w:lineRule="auto"/>
        <w:jc w:val="both"/>
      </w:pPr>
      <w:r>
        <w:rPr>
          <w:rFonts w:ascii="Times New Roman" w:hAnsi="Times New Roman" w:eastAsia="Times New Roman"/>
          <w:b w:val="0"/>
          <w:caps w:val="0"/>
          <w:sz w:val="24"/>
        </w:rPr>
        <w:t>Testet e backend-it me pytest, me vlera të pritura të llogaritura me dorë nga fiksturat dhe jo të marra nga dalja e kodit. Çdo detektor ka një rast pozitiv, një rast që plotëson vetëm disa kushte dhe një rast kufitar (ndërfaqe, enum, klasë bosh); çdo transformim testohet që aplikohet saktë, që refuzon kur një parakusht nuk provohet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që e përdorin aplikacionin si përdorues dhe kontrollojnë edhe aksesueshmërinë me axe-core.</w:t>
      </w:r>
    </w:p>
    <w:p>
      <w:pPr>
        <w:pStyle w:val="ListBullet"/>
        <w:spacing w:line="360" w:lineRule="auto"/>
        <w:jc w:val="both"/>
      </w:pPr>
      <w:r>
        <w:rPr>
          <w:rFonts w:ascii="Times New Roman" w:hAnsi="Times New Roman" w:eastAsia="Times New Roman"/>
          <w:b w:val="0"/>
          <w:caps w:val="0"/>
          <w:sz w:val="24"/>
        </w:rPr>
        <w:t>Analiza statike: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dokumentit.</w:t>
      </w:r>
    </w:p>
    <w:p>
      <w:pPr>
        <w:spacing w:line="360" w:lineRule="auto"/>
        <w:ind w:firstLine="360"/>
        <w:jc w:val="both"/>
      </w:pPr>
      <w:r>
        <w:rPr>
          <w:rFonts w:ascii="Times New Roman" w:hAnsi="Times New Roman" w:eastAsia="Times New Roman"/>
          <w:b w:val="0"/>
          <w:caps w:val="0"/>
          <w:sz w:val="24"/>
        </w:rPr>
        <w:t>Rregulli kryesor është që asnjë prag, metrikë apo detektor nuk ndryshohet vetëm që të kalojë një test; kur kodi dhe testi nuk pajtohen, gjendet më parë cili është i gabuar. Në verifikimin e fundit, më 12 tetor 2026, kaluan 798 teste të backend-it, me mbulim 96% të kodit, dhe 173 teste të ndërfaqes.</w:t>
      </w:r>
    </w:p>
    <w:p>
      <w:pPr>
        <w:spacing w:line="360" w:lineRule="auto"/>
        <w:ind w:firstLine="360"/>
        <w:jc w:val="both"/>
      </w:pPr>
      <w:r>
        <w:rPr>
          <w:rFonts w:ascii="Times New Roman" w:hAnsi="Times New Roman" w:eastAsia="Times New Roman"/>
          <w:b w:val="0"/>
          <w:caps w:val="0"/>
          <w:sz w:val="24"/>
        </w:rPr>
        <w:t>Edhe vetë ky dokument kontrollohet automatikisht: çdo citim duhet të ketë referencë dhe anasjelltas, formati krahasohet me rregullat e shabllonit, tabela e riprodhimit krahasohet me skriptet që ekzistojnë, dhe fjalitë e përsëritura mes kapitujve raportohen.</w:t>
      </w:r>
    </w:p>
    <w:p>
      <w:pPr>
        <w:pStyle w:val="Heading2"/>
      </w:pPr>
      <w:r>
        <w:rPr>
          <w:rFonts w:ascii="Times New Roman" w:hAnsi="Times New Roman" w:eastAsia="Times New Roman"/>
          <w:b/>
          <w:caps w:val="0"/>
          <w:sz w:val="24"/>
        </w:rPr>
        <w:t>4.11 Riprodhueshmëria dhe mjedisi</w:t>
      </w:r>
    </w:p>
    <w:p>
      <w:pPr>
        <w:spacing w:line="360" w:lineRule="auto"/>
        <w:ind w:firstLine="360"/>
        <w:jc w:val="both"/>
      </w:pPr>
      <w:r>
        <w:rPr>
          <w:rFonts w:ascii="Times New Roman" w:hAnsi="Times New Roman" w:eastAsia="Times New Roman"/>
          <w:b w:val="0"/>
          <w:caps w:val="0"/>
          <w:sz w:val="24"/>
        </w:rPr>
        <w:t>Çdo numër në punim prodhohet nga një skript dhe ruhet si CSV ose JSON në depo. Farat e rastësisë dhe versionet e varësive janë të fiksuara, dhe mjedisi regjistrohet në çdo skedar rezultati.</w:t>
      </w:r>
    </w:p>
    <w:p>
      <w:pPr>
        <w:spacing w:line="360" w:lineRule="auto"/>
        <w:ind w:firstLine="360"/>
        <w:jc w:val="both"/>
      </w:pPr>
      <w:r>
        <w:rPr>
          <w:rFonts w:ascii="Times New Roman" w:hAnsi="Times New Roman" w:eastAsia="Times New Roman"/>
          <w:b w:val="0"/>
          <w:caps w:val="0"/>
          <w:sz w:val="24"/>
        </w:rPr>
        <w:t>Kalimi mbi korpusin, afro një orë për rreth 690 mijë skedarë, bëhet një herë dhe prodhon një tabelë veçorish që ruhet në depo. Pragjet nuk hyjnë në këtë kalim, prandaj analiza e ndjeshmërisë i riekzekuton detektorët mbi rreshtat e ruajtur brenda sekondash. Radha e plotë e skripteve është te Shtojca 8.5.</w:t>
      </w:r>
    </w:p>
    <w:p>
      <w:pPr>
        <w:spacing w:line="360" w:lineRule="auto"/>
        <w:ind w:firstLine="360"/>
        <w:jc w:val="both"/>
      </w:pPr>
      <w:r>
        <w:rPr>
          <w:rFonts w:ascii="Times New Roman" w:hAnsi="Times New Roman" w:eastAsia="Times New Roman"/>
          <w:b/>
          <w:caps w:val="0"/>
          <w:sz w:val="24"/>
        </w:rPr>
        <w:t>Mjedisi eksperimental.</w:t>
      </w:r>
      <w:r>
        <w:rPr>
          <w:rFonts w:ascii="Times New Roman" w:hAnsi="Times New Roman" w:eastAsia="Times New Roman"/>
          <w:b w:val="0"/>
          <w:caps w:val="0"/>
          <w:sz w:val="24"/>
        </w:rPr>
        <w:t xml:space="preserve"> Eksperimentet u ekzekutuan në një laptop pa kartë grafike të dedikuar, me Windows 11, Python 3.13.1 dhe JDK 21. Çdo skedar rezultati mban commit-in e kodit që e prodhoi, platformën dhe versionin e Python-it, ndaj një shifër lidhet gjithmonë me kodin e saktë që e nxori. Trajnimi i modeleve zgjat disa minuta, ndërsa ekzekutimi i motorit të refaktorimit mbi tërë korpusin disa orë, sepse javac thirret dy herë për çdo skedar të rishkruar. Asnjë hap nuk kërkon shërbim në re apo me pagesë.</w:t>
      </w:r>
    </w:p>
    <w:p>
      <w:pPr>
        <w:spacing w:line="360" w:lineRule="auto"/>
        <w:ind w:firstLine="360"/>
        <w:jc w:val="both"/>
      </w:pPr>
      <w:r>
        <w:rPr>
          <w:rFonts w:ascii="Times New Roman" w:hAnsi="Times New Roman" w:eastAsia="Times New Roman"/>
          <w:b w:val="0"/>
          <w:caps w:val="0"/>
          <w:sz w:val="24"/>
        </w:rPr>
        <w:t>Mjeti shpërndahet edhe si imazh Docker në GitHub Container Registry, me Python-in, JDK-në dhe git-in brenda, kështu që mund të nisë me një komandë të vetme pa instaluar asgjë tjetër.</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Meqë punimi nuk mbledh të dhëna nga njerëz, pëlqimi i informuar dhe konfidencialiteti nuk zbatohen këtu. Të gjitha të dhënat janë publike: gjykimet e MLCQ-së, të mbledhura dhe publikuara nga autorët e saj (Madeyski &amp; Lewowski, 2020), dhe kodi i depove Java me burim të hapur ku ndodhen mostrat.</w:t>
      </w:r>
    </w:p>
    <w:p>
      <w:pPr>
        <w:spacing w:line="360" w:lineRule="auto"/>
        <w:ind w:firstLine="360"/>
        <w:jc w:val="both"/>
      </w:pPr>
      <w:r>
        <w:rPr>
          <w:rFonts w:ascii="Times New Roman" w:hAnsi="Times New Roman" w:eastAsia="Times New Roman"/>
          <w:b w:val="0"/>
          <w:caps w:val="0"/>
          <w:sz w:val="24"/>
        </w:rPr>
        <w:t>Ky kod përdoret vetëm si objekt matjeje dhe nuk ekzekutohet kurrë: analiza e lexon si tekst, dhe verifikimi e kompilon me javac pa e nisur. Korpusi nuk shpërndahet me punimin; kush do t'i riprodhojë rezultatet e shkarkon nga burimet origjinale me skriptin e parë të Shtojcës 8.5. Rezultatet negative raportohen njësoj si ato pozitive.</w:t>
      </w:r>
    </w:p>
    <w:p>
      <w:pPr>
        <w:spacing w:line="360" w:lineRule="auto"/>
        <w:ind w:firstLine="360"/>
        <w:jc w:val="both"/>
      </w:pPr>
      <w:r>
        <w:rPr>
          <w:rFonts w:ascii="Times New Roman" w:hAnsi="Times New Roman" w:eastAsia="Times New Roman"/>
          <w:b w:val="0"/>
          <w:caps w:val="0"/>
          <w:sz w:val="24"/>
        </w:rPr>
        <w:t>Dataset-i MLCQ dhe depot e korpusit mbeten nën licencat e veta. Kodi i sistemit publikohet nën licencën MIT, ndërsa asnjë pjesë e kodit të huaj nuk shpërndahet bashkë me të.</w:t>
      </w:r>
    </w:p>
    <w:p>
      <w:pPr>
        <w:pStyle w:val="Heading2"/>
      </w:pPr>
      <w:r>
        <w:rPr>
          <w:rFonts w:ascii="Times New Roman" w:hAnsi="Times New Roman" w:eastAsia="Times New Roman"/>
          <w:b/>
          <w:caps w:val="0"/>
          <w:sz w:val="24"/>
        </w:rPr>
        <w:t>4.13 Kërcënimet ndaj vlefshmërisë</w:t>
      </w:r>
    </w:p>
    <w:p>
      <w:pPr>
        <w:spacing w:line="360" w:lineRule="auto"/>
        <w:ind w:firstLine="360"/>
        <w:jc w:val="both"/>
      </w:pPr>
      <w:r>
        <w:rPr>
          <w:rFonts w:ascii="Times New Roman" w:hAnsi="Times New Roman" w:eastAsia="Times New Roman"/>
          <w:b w:val="0"/>
          <w:caps w:val="0"/>
          <w:sz w:val="24"/>
        </w:rPr>
        <w:t>Kërcënimet grupohen sipas katër llojeve të vlefshmërisë që përdor literatura e eksperimenteve në inxhinierinë softuerike (Wohlin et al., 2012), secili me masën që e zbut.</w:t>
      </w:r>
    </w:p>
    <w:p>
      <w:pPr>
        <w:spacing w:line="360" w:lineRule="auto"/>
        <w:ind w:firstLine="360"/>
        <w:jc w:val="both"/>
      </w:pPr>
      <w:r>
        <w:rPr>
          <w:rFonts w:ascii="Times New Roman" w:hAnsi="Times New Roman" w:eastAsia="Times New Roman"/>
          <w:b/>
          <w:caps w:val="0"/>
          <w:sz w:val="24"/>
        </w:rPr>
        <w:t>Vlefshmëria e konstruktit.</w:t>
      </w:r>
      <w:r>
        <w:rPr>
          <w:rFonts w:ascii="Times New Roman" w:hAnsi="Times New Roman" w:eastAsia="Times New Roman"/>
          <w:b w:val="0"/>
          <w:caps w:val="0"/>
          <w:sz w:val="24"/>
        </w:rPr>
        <w:t xml:space="preserve"> Pyetja është nëse shifra mat atë që pretendon. Etiketat e MLCQ-së janë gjykime njerëzore, dhe mënyra si bashkohen i ndryshon pozitivët; prandaj çdo agregim alternativ raportohet veç (Nënkapitulli 4.3). Numërimi i rreshtave dhe njohja e akses-metodave nga parashtesa janë zgjedhje që prekin disa metrika, dhe të dyja janë deklaruar te Nënkapitulli 4.4. Te refaktorimi, kompilimi provon se forma e kodit mbetet e ligjshme, jo se sjellja mbetet e njëjtë.</w:t>
      </w:r>
    </w:p>
    <w:p>
      <w:pPr>
        <w:spacing w:line="360" w:lineRule="auto"/>
        <w:ind w:firstLine="360"/>
        <w:jc w:val="both"/>
      </w:pPr>
      <w:r>
        <w:rPr>
          <w:rFonts w:ascii="Times New Roman" w:hAnsi="Times New Roman" w:eastAsia="Times New Roman"/>
          <w:b/>
          <w:caps w:val="0"/>
          <w:sz w:val="24"/>
        </w:rPr>
        <w:t>Vlefshmëria e brendshme.</w:t>
      </w:r>
      <w:r>
        <w:rPr>
          <w:rFonts w:ascii="Times New Roman" w:hAnsi="Times New Roman" w:eastAsia="Times New Roman"/>
          <w:b w:val="0"/>
          <w:caps w:val="0"/>
          <w:sz w:val="24"/>
        </w:rPr>
        <w:t xml:space="preserve"> Një lidhje e gabuar mes mostrës dhe entitetit do t'i prishte të gjitha shifrat pa u vënë re; prandaj përputhja ankorohet te rreshtat, kontrollohet me emrin, dhe çdo mostër e palidhur raportohet me shkakun. Rrjedhja mes trajnimit dhe testimit pengohet nga ndarja sipas depos, dhe peshat në vend të mbi-mostrimit e ruajnë atë ndarje. Pragjet pa burim të botuar janë emërtuar te Nënkapitulli 4.5.</w:t>
      </w:r>
    </w:p>
    <w:p>
      <w:pPr>
        <w:spacing w:line="360" w:lineRule="auto"/>
        <w:ind w:firstLine="360"/>
        <w:jc w:val="both"/>
      </w:pPr>
      <w:r>
        <w:rPr>
          <w:rFonts w:ascii="Times New Roman" w:hAnsi="Times New Roman" w:eastAsia="Times New Roman"/>
          <w:b/>
          <w:caps w:val="0"/>
          <w:sz w:val="24"/>
        </w:rPr>
        <w:t>Vlefshmëria e jashtme.</w:t>
      </w:r>
      <w:r>
        <w:rPr>
          <w:rFonts w:ascii="Times New Roman" w:hAnsi="Times New Roman" w:eastAsia="Times New Roman"/>
          <w:b w:val="0"/>
          <w:caps w:val="0"/>
          <w:sz w:val="24"/>
        </w:rPr>
        <w:t xml:space="preserve"> Rezultatet mbështeten te kod Java me burim të hapur, katër erëra dhe një dataset të vetëm, dhe asgjë këtu nuk provon se transferohen te gjuhë të tjera apo te kodi i mbyllur industrial. Humbja e disa depove mund ta anojë mostrën, dhe ky rrezik nuk matet dot pa kodin e tyre.</w:t>
      </w:r>
    </w:p>
    <w:p>
      <w:pPr>
        <w:spacing w:line="360" w:lineRule="auto"/>
        <w:ind w:firstLine="360"/>
        <w:jc w:val="both"/>
      </w:pPr>
      <w:r>
        <w:rPr>
          <w:rFonts w:ascii="Times New Roman" w:hAnsi="Times New Roman" w:eastAsia="Times New Roman"/>
          <w:b/>
          <w:caps w:val="0"/>
          <w:sz w:val="24"/>
        </w:rPr>
        <w:t>Vlefshmëria e përfundimeve.</w:t>
      </w:r>
      <w:r>
        <w:rPr>
          <w:rFonts w:ascii="Times New Roman" w:hAnsi="Times New Roman" w:eastAsia="Times New Roman"/>
          <w:b w:val="0"/>
          <w:caps w:val="0"/>
          <w:sz w:val="24"/>
        </w:rPr>
        <w:t xml:space="preserve"> Çdo model trajnohet një herë, me parametra të fiksuar dhe pa optimizim të hiperparametrave. Pasiguria që vjen nga korpusi matet me bootstrap sipas depos, por ajo që vjen nga ndryshimi i farës nuk matet, dhe as ajo që vjen nga zgjedhja e algoritmit më të mirë mbi të njëjtat parashikime (Nënkapitulli 4.6). Një dallim, intervali i të cilit përfshin zeron, raportohet si i padallueshëm dhe jo si fitore e njërës anë.</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9046 mostra nga 512 depo, dhe rigjenerohen me një komandë. Etiketa është mesatarja e rrumbullakosur e Nënkapitullit 4.3, përveç aty ku thuhet ndryshe.</w:t>
      </w:r>
    </w:p>
    <w:p>
      <w:pPr>
        <w:spacing w:line="360" w:lineRule="auto"/>
        <w:ind w:firstLine="360"/>
        <w:jc w:val="both"/>
      </w:pPr>
      <w:r>
        <w:rPr>
          <w:rFonts w:ascii="Times New Roman" w:hAnsi="Times New Roman" w:eastAsia="Times New Roman"/>
          <w:b w:val="0"/>
          <w:caps w:val="0"/>
          <w:sz w:val="24"/>
        </w:rPr>
        <w:t>MLCQ-ja jep 9517 çifte mostër-erë në 522 depo, nga të cilat 10 nuk ishin më të arritshme. Jashtë vlerësimit mbetën 471 çifte: 451 sepse skedari nuk ishte në korpus, dhe 20 sepse entiteti nuk u përputh ose skedari kishte gabim sintakse (Figura 5).</w:t>
      </w:r>
    </w:p>
    <w:p>
      <w:pPr>
        <w:keepNext/>
        <w:jc w:val="center"/>
      </w:pPr>
      <w:r>
        <w:drawing>
          <wp:inline xmlns:a="http://schemas.openxmlformats.org/drawingml/2006/main" xmlns:pic="http://schemas.openxmlformats.org/drawingml/2006/picture">
            <wp:extent cx="5120640" cy="2518876"/>
            <wp:docPr id="7" name="Picture 7"/>
            <wp:cNvGraphicFramePr>
              <a:graphicFrameLocks noChangeAspect="1"/>
            </wp:cNvGraphicFramePr>
            <a:graphic>
              <a:graphicData uri="http://schemas.openxmlformats.org/drawingml/2006/picture">
                <pic:pic>
                  <pic:nvPicPr>
                    <pic:cNvPr id="0" name="shperndarja_e_mostrave.png"/>
                    <pic:cNvPicPr/>
                  </pic:nvPicPr>
                  <pic:blipFill>
                    <a:blip r:embed="rId17"/>
                    <a:stretch>
                      <a:fillRect/>
                    </a:stretch>
                  </pic:blipFill>
                  <pic:spPr>
                    <a:xfrm>
                      <a:off x="0" y="0"/>
                      <a:ext cx="5120640" cy="2518876"/>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Shpërndarja e mostrave sipas erës</w:t>
      </w:r>
    </w:p>
    <w:p>
      <w:pPr>
        <w:spacing w:line="360" w:lineRule="auto"/>
        <w:ind w:firstLine="360"/>
        <w:jc w:val="both"/>
      </w:pPr>
      <w:r>
        <w:rPr>
          <w:rFonts w:ascii="Times New Roman" w:hAnsi="Times New Roman" w:eastAsia="Times New Roman"/>
          <w:b w:val="0"/>
          <w:caps w:val="0"/>
          <w:sz w:val="24"/>
        </w:rPr>
        <w:t>Rezultatet kryesore ndjekin pyetjet kërkimore: 5.1 i përgjigjet PK1, 5.2 dhe 5.3 PK2, dhe 5.4 PK3. Vëzhgimet dytësore vijnë pas tyre: ndjeshmëria ndaj pragjeve (5.5), krahasimi me një mjet ekzistues (5.6), dhe intervalet e besimit bashkë me pajtimin mes rishikuesve (5.7). Analizat e tjera dytësore janë te Shtojcat 8.6 deri 8.8.</w:t>
      </w:r>
    </w:p>
    <w:p>
      <w:pPr>
        <w:spacing w:line="360" w:lineRule="auto"/>
        <w:ind w:firstLine="360"/>
        <w:jc w:val="both"/>
      </w:pPr>
      <w:r>
        <w:rPr>
          <w:rFonts w:ascii="Times New Roman" w:hAnsi="Times New Roman" w:eastAsia="Times New Roman"/>
          <w:b w:val="0"/>
          <w:caps w:val="0"/>
          <w:sz w:val="24"/>
        </w:rPr>
        <w:t>Çdo nënkapitull hapet me metodën nga e cila vijnë shifrat e tij dhe mbyllet me pyetjen kërkimore të cilës ato i shërbejnë. Tabelat dhe figurat përshkruhen këtu ashtu si dolën; çfarë nënkuptojnë, pse dolën ashtu dhe si krahasohen me literaturën trajtohet te Kapitulli 6.</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Strategjitë e publikuara, të zbatuara me pragjet e Nënkapitullit 4.5, krahasohen këtu me gjykimin e rishikuesve të MLCQ-së. Treguesit janë ata të Nënkapitullit 4.9, dhe secili llogaritet mbi të gjitha mostrat e erës përkatëse. Për çdo erë jepen precizioni (P), recall-i (R), F1 dhe MCC-ja, bashkë me numrin e mostrave pozitive në kolonën e fundit (Tabela 2).</w:t>
      </w:r>
    </w:p>
    <w:p>
      <w:pPr>
        <w:keepNext/>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0.816</w:t>
            </w:r>
          </w:p>
        </w:tc>
        <w:tc>
          <w:tcPr>
            <w:tcW w:type="dxa" w:w="1473"/>
          </w:tcPr>
          <w:p>
            <w:pPr>
              <w:spacing w:line="240" w:lineRule="auto"/>
              <w:jc w:val="left"/>
            </w:pPr>
            <w:r>
              <w:rPr>
                <w:rFonts w:ascii="Times New Roman" w:hAnsi="Times New Roman" w:eastAsia="Times New Roman"/>
                <w:b w:val="0"/>
                <w:caps w:val="0"/>
                <w:sz w:val="22"/>
              </w:rPr>
              <w:t>0.174</w:t>
            </w:r>
          </w:p>
        </w:tc>
        <w:tc>
          <w:tcPr>
            <w:tcW w:type="dxa" w:w="1473"/>
          </w:tcPr>
          <w:p>
            <w:pPr>
              <w:spacing w:line="240" w:lineRule="auto"/>
              <w:jc w:val="left"/>
            </w:pPr>
            <w:r>
              <w:rPr>
                <w:rFonts w:ascii="Times New Roman" w:hAnsi="Times New Roman" w:eastAsia="Times New Roman"/>
                <w:b w:val="0"/>
                <w:caps w:val="0"/>
                <w:sz w:val="22"/>
              </w:rPr>
              <w:t>0.286</w:t>
            </w:r>
          </w:p>
        </w:tc>
        <w:tc>
          <w:tcPr>
            <w:tcW w:type="dxa" w:w="1473"/>
          </w:tcPr>
          <w:p>
            <w:pPr>
              <w:spacing w:line="240" w:lineRule="auto"/>
              <w:jc w:val="left"/>
            </w:pPr>
            <w:r>
              <w:rPr>
                <w:rFonts w:ascii="Times New Roman" w:hAnsi="Times New Roman" w:eastAsia="Times New Roman"/>
                <w:b w:val="0"/>
                <w:caps w:val="0"/>
                <w:sz w:val="22"/>
              </w:rPr>
              <w:t>0.336</w:t>
            </w:r>
          </w:p>
        </w:tc>
        <w:tc>
          <w:tcPr>
            <w:tcW w:type="dxa" w:w="1473"/>
          </w:tcPr>
          <w:p>
            <w:pPr>
              <w:spacing w:line="240" w:lineRule="auto"/>
              <w:jc w:val="left"/>
            </w:pPr>
            <w:r>
              <w:rPr>
                <w:rFonts w:ascii="Times New Roman" w:hAnsi="Times New Roman" w:eastAsia="Times New Roman"/>
                <w:b w:val="0"/>
                <w:caps w:val="0"/>
                <w:sz w:val="22"/>
              </w:rPr>
              <w:t>357</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0.695</w:t>
            </w:r>
          </w:p>
        </w:tc>
        <w:tc>
          <w:tcPr>
            <w:tcW w:type="dxa" w:w="1473"/>
          </w:tcPr>
          <w:p>
            <w:pPr>
              <w:spacing w:line="240" w:lineRule="auto"/>
              <w:jc w:val="left"/>
            </w:pPr>
            <w:r>
              <w:rPr>
                <w:rFonts w:ascii="Times New Roman" w:hAnsi="Times New Roman" w:eastAsia="Times New Roman"/>
                <w:b w:val="0"/>
                <w:caps w:val="0"/>
                <w:sz w:val="22"/>
              </w:rPr>
              <w:t>0.415</w:t>
            </w:r>
          </w:p>
        </w:tc>
        <w:tc>
          <w:tcPr>
            <w:tcW w:type="dxa" w:w="1473"/>
          </w:tcPr>
          <w:p>
            <w:pPr>
              <w:spacing w:line="240" w:lineRule="auto"/>
              <w:jc w:val="left"/>
            </w:pPr>
            <w:r>
              <w:rPr>
                <w:rFonts w:ascii="Times New Roman" w:hAnsi="Times New Roman" w:eastAsia="Times New Roman"/>
                <w:b w:val="0"/>
                <w:caps w:val="0"/>
                <w:sz w:val="22"/>
              </w:rPr>
              <w:t>0.519</w:t>
            </w:r>
          </w:p>
        </w:tc>
        <w:tc>
          <w:tcPr>
            <w:tcW w:type="dxa" w:w="1473"/>
          </w:tcPr>
          <w:p>
            <w:pPr>
              <w:spacing w:line="240" w:lineRule="auto"/>
              <w:jc w:val="left"/>
            </w:pPr>
            <w:r>
              <w:rPr>
                <w:rFonts w:ascii="Times New Roman" w:hAnsi="Times New Roman" w:eastAsia="Times New Roman"/>
                <w:b w:val="0"/>
                <w:caps w:val="0"/>
                <w:sz w:val="22"/>
              </w:rPr>
              <w:t>0.474</w:t>
            </w:r>
          </w:p>
        </w:tc>
        <w:tc>
          <w:tcPr>
            <w:tcW w:type="dxa" w:w="1473"/>
          </w:tcPr>
          <w:p>
            <w:pPr>
              <w:spacing w:line="240" w:lineRule="auto"/>
              <w:jc w:val="left"/>
            </w:pPr>
            <w:r>
              <w:rPr>
                <w:rFonts w:ascii="Times New Roman" w:hAnsi="Times New Roman" w:eastAsia="Times New Roman"/>
                <w:b w:val="0"/>
                <w:caps w:val="0"/>
                <w:sz w:val="22"/>
              </w:rPr>
              <w:t>357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0.765</w:t>
            </w:r>
          </w:p>
        </w:tc>
        <w:tc>
          <w:tcPr>
            <w:tcW w:type="dxa" w:w="1473"/>
          </w:tcPr>
          <w:p>
            <w:pPr>
              <w:spacing w:line="240" w:lineRule="auto"/>
              <w:jc w:val="left"/>
            </w:pPr>
            <w:r>
              <w:rPr>
                <w:rFonts w:ascii="Times New Roman" w:hAnsi="Times New Roman" w:eastAsia="Times New Roman"/>
                <w:b w:val="0"/>
                <w:caps w:val="0"/>
                <w:sz w:val="22"/>
              </w:rPr>
              <w:t>0.230</w:t>
            </w:r>
          </w:p>
        </w:tc>
        <w:tc>
          <w:tcPr>
            <w:tcW w:type="dxa" w:w="1473"/>
          </w:tcPr>
          <w:p>
            <w:pPr>
              <w:spacing w:line="240" w:lineRule="auto"/>
              <w:jc w:val="left"/>
            </w:pPr>
            <w:r>
              <w:rPr>
                <w:rFonts w:ascii="Times New Roman" w:hAnsi="Times New Roman" w:eastAsia="Times New Roman"/>
                <w:b w:val="0"/>
                <w:caps w:val="0"/>
                <w:sz w:val="22"/>
              </w:rPr>
              <w:t>0.353</w:t>
            </w:r>
          </w:p>
        </w:tc>
        <w:tc>
          <w:tcPr>
            <w:tcW w:type="dxa" w:w="1473"/>
          </w:tcPr>
          <w:p>
            <w:pPr>
              <w:spacing w:line="240" w:lineRule="auto"/>
              <w:jc w:val="left"/>
            </w:pPr>
            <w:r>
              <w:rPr>
                <w:rFonts w:ascii="Times New Roman" w:hAnsi="Times New Roman" w:eastAsia="Times New Roman"/>
                <w:b w:val="0"/>
                <w:caps w:val="0"/>
                <w:sz w:val="22"/>
              </w:rPr>
              <w:t>0.367</w:t>
            </w:r>
          </w:p>
        </w:tc>
        <w:tc>
          <w:tcPr>
            <w:tcW w:type="dxa" w:w="1473"/>
          </w:tcPr>
          <w:p>
            <w:pPr>
              <w:spacing w:line="240" w:lineRule="auto"/>
              <w:jc w:val="left"/>
            </w:pPr>
            <w:r>
              <w:rPr>
                <w:rFonts w:ascii="Times New Roman" w:hAnsi="Times New Roman" w:eastAsia="Times New Roman"/>
                <w:b w:val="0"/>
                <w:caps w:val="0"/>
                <w:sz w:val="22"/>
              </w:rPr>
              <w:t>383</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0.413</w:t>
            </w:r>
          </w:p>
        </w:tc>
        <w:tc>
          <w:tcPr>
            <w:tcW w:type="dxa" w:w="1473"/>
          </w:tcPr>
          <w:p>
            <w:pPr>
              <w:spacing w:line="240" w:lineRule="auto"/>
              <w:jc w:val="left"/>
            </w:pPr>
            <w:r>
              <w:rPr>
                <w:rFonts w:ascii="Times New Roman" w:hAnsi="Times New Roman" w:eastAsia="Times New Roman"/>
                <w:b w:val="0"/>
                <w:caps w:val="0"/>
                <w:sz w:val="22"/>
              </w:rPr>
              <w:t>0.188</w:t>
            </w:r>
          </w:p>
        </w:tc>
        <w:tc>
          <w:tcPr>
            <w:tcW w:type="dxa" w:w="1473"/>
          </w:tcPr>
          <w:p>
            <w:pPr>
              <w:spacing w:line="240" w:lineRule="auto"/>
              <w:jc w:val="left"/>
            </w:pPr>
            <w:r>
              <w:rPr>
                <w:rFonts w:ascii="Times New Roman" w:hAnsi="Times New Roman" w:eastAsia="Times New Roman"/>
                <w:b w:val="0"/>
                <w:caps w:val="0"/>
                <w:sz w:val="22"/>
              </w:rPr>
              <w:t>0.258</w:t>
            </w:r>
          </w:p>
        </w:tc>
        <w:tc>
          <w:tcPr>
            <w:tcW w:type="dxa" w:w="1473"/>
          </w:tcPr>
          <w:p>
            <w:pPr>
              <w:spacing w:line="240" w:lineRule="auto"/>
              <w:jc w:val="left"/>
            </w:pPr>
            <w:r>
              <w:rPr>
                <w:rFonts w:ascii="Times New Roman" w:hAnsi="Times New Roman" w:eastAsia="Times New Roman"/>
                <w:b w:val="0"/>
                <w:caps w:val="0"/>
                <w:sz w:val="22"/>
              </w:rPr>
              <w:t>0.243</w:t>
            </w:r>
          </w:p>
        </w:tc>
        <w:tc>
          <w:tcPr>
            <w:tcW w:type="dxa" w:w="1473"/>
          </w:tcPr>
          <w:p>
            <w:pPr>
              <w:spacing w:line="240" w:lineRule="auto"/>
              <w:jc w:val="left"/>
            </w:pPr>
            <w:r>
              <w:rPr>
                <w:rFonts w:ascii="Times New Roman" w:hAnsi="Times New Roman" w:eastAsia="Times New Roman"/>
                <w:b w:val="0"/>
                <w:caps w:val="0"/>
                <w:sz w:val="22"/>
              </w:rPr>
              <w:t>165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0.888</w:t>
            </w:r>
          </w:p>
        </w:tc>
        <w:tc>
          <w:tcPr>
            <w:tcW w:type="dxa" w:w="1473"/>
          </w:tcPr>
          <w:p>
            <w:pPr>
              <w:spacing w:line="240" w:lineRule="auto"/>
              <w:jc w:val="left"/>
            </w:pPr>
            <w:r>
              <w:rPr>
                <w:rFonts w:ascii="Times New Roman" w:hAnsi="Times New Roman" w:eastAsia="Times New Roman"/>
                <w:b w:val="0"/>
                <w:caps w:val="0"/>
                <w:sz w:val="22"/>
              </w:rPr>
              <w:t>0.470</w:t>
            </w:r>
          </w:p>
        </w:tc>
        <w:tc>
          <w:tcPr>
            <w:tcW w:type="dxa" w:w="1473"/>
          </w:tcPr>
          <w:p>
            <w:pPr>
              <w:spacing w:line="240" w:lineRule="auto"/>
              <w:jc w:val="left"/>
            </w:pPr>
            <w:r>
              <w:rPr>
                <w:rFonts w:ascii="Times New Roman" w:hAnsi="Times New Roman" w:eastAsia="Times New Roman"/>
                <w:b w:val="0"/>
                <w:caps w:val="0"/>
                <w:sz w:val="22"/>
              </w:rPr>
              <w:t>0.615</w:t>
            </w:r>
          </w:p>
        </w:tc>
        <w:tc>
          <w:tcPr>
            <w:tcW w:type="dxa" w:w="1473"/>
          </w:tcPr>
          <w:p>
            <w:pPr>
              <w:spacing w:line="240" w:lineRule="auto"/>
              <w:jc w:val="left"/>
            </w:pPr>
            <w:r>
              <w:rPr>
                <w:rFonts w:ascii="Times New Roman" w:hAnsi="Times New Roman" w:eastAsia="Times New Roman"/>
                <w:b w:val="0"/>
                <w:caps w:val="0"/>
                <w:sz w:val="22"/>
              </w:rPr>
              <w:t>0.617</w:t>
            </w:r>
          </w:p>
        </w:tc>
        <w:tc>
          <w:tcPr>
            <w:tcW w:type="dxa" w:w="1473"/>
          </w:tcPr>
          <w:p>
            <w:pPr>
              <w:spacing w:line="240" w:lineRule="auto"/>
              <w:jc w:val="left"/>
            </w:pPr>
            <w:r>
              <w:rPr>
                <w:rFonts w:ascii="Times New Roman" w:hAnsi="Times New Roman" w:eastAsia="Times New Roman"/>
                <w:b w:val="0"/>
                <w:caps w:val="0"/>
                <w:sz w:val="22"/>
              </w:rPr>
              <w:t>270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të katër erërat: precizioni shkon nga 0.413 deri në 0.888, recall-i nga 0.174 deri në 0.470. MCC-ja më e lartë është te Long Method (0.617) dhe më e ulëta te Feature Envy (0.243). Varianti i Blob-it që shton kushtin e madhësisë (Nënkapitulli 4.5) e ngre recall-in nga 0.174 në 0.415 dhe MCC-në nga 0.336 në 0.474, ndërsa precizioni zbret nga 0.816 në 0.695. Recall-i ndryshon ndjeshëm edhe sipas ashpërsisë që rishikuesit i dhanë secilës mostër (Tabela 3; Figura 6).</w:t>
      </w:r>
    </w:p>
    <w:p>
      <w:pPr>
        <w:keepNext/>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24/82 (29.3%)</w:t>
            </w:r>
          </w:p>
        </w:tc>
        <w:tc>
          <w:tcPr>
            <w:tcW w:type="dxa" w:w="2946"/>
          </w:tcPr>
          <w:p>
            <w:pPr>
              <w:spacing w:line="240" w:lineRule="auto"/>
              <w:jc w:val="left"/>
            </w:pPr>
            <w:r>
              <w:rPr>
                <w:rFonts w:ascii="Times New Roman" w:hAnsi="Times New Roman" w:eastAsia="Times New Roman"/>
                <w:b w:val="0"/>
                <w:caps w:val="0"/>
                <w:sz w:val="22"/>
              </w:rPr>
              <w:t>34/265 (12.8%)</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60/82 (73.2%)</w:t>
            </w:r>
          </w:p>
        </w:tc>
        <w:tc>
          <w:tcPr>
            <w:tcW w:type="dxa" w:w="2946"/>
          </w:tcPr>
          <w:p>
            <w:pPr>
              <w:spacing w:line="240" w:lineRule="auto"/>
              <w:jc w:val="left"/>
            </w:pPr>
            <w:r>
              <w:rPr>
                <w:rFonts w:ascii="Times New Roman" w:hAnsi="Times New Roman" w:eastAsia="Times New Roman"/>
                <w:b w:val="0"/>
                <w:caps w:val="0"/>
                <w:sz w:val="22"/>
              </w:rPr>
              <w:t>79/265 (29.8%)</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46/98 (46.9%)</w:t>
            </w:r>
          </w:p>
        </w:tc>
        <w:tc>
          <w:tcPr>
            <w:tcW w:type="dxa" w:w="2946"/>
          </w:tcPr>
          <w:p>
            <w:pPr>
              <w:spacing w:line="240" w:lineRule="auto"/>
              <w:jc w:val="left"/>
            </w:pPr>
            <w:r>
              <w:rPr>
                <w:rFonts w:ascii="Times New Roman" w:hAnsi="Times New Roman" w:eastAsia="Times New Roman"/>
                <w:b w:val="0"/>
                <w:caps w:val="0"/>
                <w:sz w:val="22"/>
              </w:rPr>
              <w:t>29/266 (10.9%)</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8/13 (61.5%)</w:t>
            </w:r>
          </w:p>
        </w:tc>
        <w:tc>
          <w:tcPr>
            <w:tcW w:type="dxa" w:w="2946"/>
          </w:tcPr>
          <w:p>
            <w:pPr>
              <w:spacing w:line="240" w:lineRule="auto"/>
              <w:jc w:val="left"/>
            </w:pPr>
            <w:r>
              <w:rPr>
                <w:rFonts w:ascii="Times New Roman" w:hAnsi="Times New Roman" w:eastAsia="Times New Roman"/>
                <w:b w:val="0"/>
                <w:caps w:val="0"/>
                <w:sz w:val="22"/>
              </w:rPr>
              <w:t>23/152 (15.1%)</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80/94 (85.1%)</w:t>
            </w:r>
          </w:p>
        </w:tc>
        <w:tc>
          <w:tcPr>
            <w:tcW w:type="dxa" w:w="2946"/>
          </w:tcPr>
          <w:p>
            <w:pPr>
              <w:spacing w:line="240" w:lineRule="auto"/>
              <w:jc w:val="left"/>
            </w:pPr>
            <w:r>
              <w:rPr>
                <w:rFonts w:ascii="Times New Roman" w:hAnsi="Times New Roman" w:eastAsia="Times New Roman"/>
                <w:b w:val="0"/>
                <w:caps w:val="0"/>
                <w:sz w:val="22"/>
              </w:rPr>
              <w:t>31/160 (19.4%)</w:t>
            </w:r>
          </w:p>
        </w:tc>
      </w:tr>
    </w:tbl>
    <w:p>
      <w:pPr>
        <w:spacing w:line="240" w:lineRule="auto" w:after="0"/>
      </w:pPr>
    </w:p>
    <w:p>
      <w:pPr>
        <w:keepNext/>
        <w:jc w:val="center"/>
      </w:pPr>
      <w:r>
        <w:drawing>
          <wp:inline xmlns:a="http://schemas.openxmlformats.org/drawingml/2006/main" xmlns:pic="http://schemas.openxmlformats.org/drawingml/2006/picture">
            <wp:extent cx="5120640" cy="2718364"/>
            <wp:docPr id="8" name="Picture 8"/>
            <wp:cNvGraphicFramePr>
              <a:graphicFrameLocks noChangeAspect="1"/>
            </wp:cNvGraphicFramePr>
            <a:graphic>
              <a:graphicData uri="http://schemas.openxmlformats.org/drawingml/2006/picture">
                <pic:pic>
                  <pic:nvPicPr>
                    <pic:cNvPr id="0" name="recall_sipas_ashpersise.png"/>
                    <pic:cNvPicPr/>
                  </pic:nvPicPr>
                  <pic:blipFill>
                    <a:blip r:embed="rId18"/>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Recall-i sipas ashpërsisë së caktuar nga rishikuesit</w:t>
      </w:r>
    </w:p>
    <w:p>
      <w:pPr>
        <w:spacing w:line="360" w:lineRule="auto"/>
        <w:ind w:firstLine="360"/>
        <w:jc w:val="both"/>
      </w:pPr>
      <w:r>
        <w:rPr>
          <w:rFonts w:ascii="Times New Roman" w:hAnsi="Times New Roman" w:eastAsia="Times New Roman"/>
          <w:b w:val="0"/>
          <w:caps w:val="0"/>
          <w:sz w:val="24"/>
        </w:rPr>
        <w:t>Te të katër erërat, strategjia e botuar i kap rastet major më shpesh se ato minor. Këto dy tabela janë përgjigjja empirike për PK1: ato japin, erë për erë, sa shpesh strategjitë pajtohen me rishikuesit dhe sa nga rastet e shënuara prej tyre i kapin.</w:t>
      </w:r>
    </w:p>
    <w:p>
      <w:pPr>
        <w:pStyle w:val="Heading2"/>
      </w:pPr>
      <w:r>
        <w:rPr>
          <w:rFonts w:ascii="Times New Roman" w:hAnsi="Times New Roman" w:eastAsia="Times New Roman"/>
          <w:b/>
          <w:caps w:val="0"/>
          <w:sz w:val="24"/>
        </w:rPr>
        <w:t>5.2 Qasja B: detektimi me mësim të makinës</w:t>
      </w:r>
    </w:p>
    <w:p>
      <w:pPr>
        <w:spacing w:line="360" w:lineRule="auto"/>
        <w:ind w:firstLine="360"/>
        <w:jc w:val="both"/>
      </w:pPr>
      <w:r>
        <w:rPr>
          <w:rFonts w:ascii="Times New Roman" w:hAnsi="Times New Roman" w:eastAsia="Times New Roman"/>
          <w:b w:val="0"/>
          <w:caps w:val="0"/>
          <w:sz w:val="24"/>
        </w:rPr>
        <w:t>Qasja B vlerësohet me katër algoritmet e Nënkapitullit 4.6, të trajnuar mbi të njëjtat mostra dhe të vlerësuar me ndarjen e grupuar sipas depos, që asnjë depo të mos dalë njëkohësisht në trajnim dhe në vlerësim. Për secilën erë raportohet modeli me MCC-në më të lartë, i pikëzuar mbi parashikimet jashtë fold-it. Klasifikuesi i shumicës nuk ndez asnjëherë për asnjë erë, prandaj MCC-ja e tij është e papërcaktuar (Tabela 4).</w:t>
      </w:r>
    </w:p>
    <w:p>
      <w:pPr>
        <w:keepNext/>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Regresioni logjistik</w:t>
            </w:r>
          </w:p>
        </w:tc>
        <w:tc>
          <w:tcPr>
            <w:tcW w:type="dxa" w:w="1473"/>
          </w:tcPr>
          <w:p>
            <w:pPr>
              <w:spacing w:line="240" w:lineRule="auto"/>
              <w:jc w:val="left"/>
            </w:pPr>
            <w:r>
              <w:rPr>
                <w:rFonts w:ascii="Times New Roman" w:hAnsi="Times New Roman" w:eastAsia="Times New Roman"/>
                <w:b w:val="0"/>
                <w:caps w:val="0"/>
                <w:sz w:val="22"/>
              </w:rPr>
              <w:t>0.510</w:t>
            </w:r>
          </w:p>
        </w:tc>
        <w:tc>
          <w:tcPr>
            <w:tcW w:type="dxa" w:w="1473"/>
          </w:tcPr>
          <w:p>
            <w:pPr>
              <w:spacing w:line="240" w:lineRule="auto"/>
              <w:jc w:val="left"/>
            </w:pPr>
            <w:r>
              <w:rPr>
                <w:rFonts w:ascii="Times New Roman" w:hAnsi="Times New Roman" w:eastAsia="Times New Roman"/>
                <w:b w:val="0"/>
                <w:caps w:val="0"/>
                <w:sz w:val="22"/>
              </w:rPr>
              <w:t>0.770</w:t>
            </w:r>
          </w:p>
        </w:tc>
        <w:tc>
          <w:tcPr>
            <w:tcW w:type="dxa" w:w="1473"/>
          </w:tcPr>
          <w:p>
            <w:pPr>
              <w:spacing w:line="240" w:lineRule="auto"/>
              <w:jc w:val="left"/>
            </w:pPr>
            <w:r>
              <w:rPr>
                <w:rFonts w:ascii="Times New Roman" w:hAnsi="Times New Roman" w:eastAsia="Times New Roman"/>
                <w:b w:val="0"/>
                <w:caps w:val="0"/>
                <w:sz w:val="22"/>
              </w:rPr>
              <w:t>0.614</w:t>
            </w:r>
          </w:p>
        </w:tc>
        <w:tc>
          <w:tcPr>
            <w:tcW w:type="dxa" w:w="1473"/>
          </w:tcPr>
          <w:p>
            <w:pPr>
              <w:spacing w:line="240" w:lineRule="auto"/>
              <w:jc w:val="left"/>
            </w:pPr>
            <w:r>
              <w:rPr>
                <w:rFonts w:ascii="Times New Roman" w:hAnsi="Times New Roman" w:eastAsia="Times New Roman"/>
                <w:b w:val="0"/>
                <w:caps w:val="0"/>
                <w:sz w:val="22"/>
              </w:rPr>
              <w:t>0.539</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0.546</w:t>
            </w:r>
          </w:p>
        </w:tc>
        <w:tc>
          <w:tcPr>
            <w:tcW w:type="dxa" w:w="1473"/>
          </w:tcPr>
          <w:p>
            <w:pPr>
              <w:spacing w:line="240" w:lineRule="auto"/>
              <w:jc w:val="left"/>
            </w:pPr>
            <w:r>
              <w:rPr>
                <w:rFonts w:ascii="Times New Roman" w:hAnsi="Times New Roman" w:eastAsia="Times New Roman"/>
                <w:b w:val="0"/>
                <w:caps w:val="0"/>
                <w:sz w:val="22"/>
              </w:rPr>
              <w:t>0.590</w:t>
            </w:r>
          </w:p>
        </w:tc>
        <w:tc>
          <w:tcPr>
            <w:tcW w:type="dxa" w:w="1473"/>
          </w:tcPr>
          <w:p>
            <w:pPr>
              <w:spacing w:line="240" w:lineRule="auto"/>
              <w:jc w:val="left"/>
            </w:pPr>
            <w:r>
              <w:rPr>
                <w:rFonts w:ascii="Times New Roman" w:hAnsi="Times New Roman" w:eastAsia="Times New Roman"/>
                <w:b w:val="0"/>
                <w:caps w:val="0"/>
                <w:sz w:val="22"/>
              </w:rPr>
              <w:t>0.567</w:t>
            </w:r>
          </w:p>
        </w:tc>
        <w:tc>
          <w:tcPr>
            <w:tcW w:type="dxa" w:w="1473"/>
          </w:tcPr>
          <w:p>
            <w:pPr>
              <w:spacing w:line="240" w:lineRule="auto"/>
              <w:jc w:val="left"/>
            </w:pPr>
            <w:r>
              <w:rPr>
                <w:rFonts w:ascii="Times New Roman" w:hAnsi="Times New Roman" w:eastAsia="Times New Roman"/>
                <w:b w:val="0"/>
                <w:caps w:val="0"/>
                <w:sz w:val="22"/>
              </w:rPr>
              <w:t>0.473</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0.438</w:t>
            </w:r>
          </w:p>
        </w:tc>
        <w:tc>
          <w:tcPr>
            <w:tcW w:type="dxa" w:w="1473"/>
          </w:tcPr>
          <w:p>
            <w:pPr>
              <w:spacing w:line="240" w:lineRule="auto"/>
              <w:jc w:val="left"/>
            </w:pPr>
            <w:r>
              <w:rPr>
                <w:rFonts w:ascii="Times New Roman" w:hAnsi="Times New Roman" w:eastAsia="Times New Roman"/>
                <w:b w:val="0"/>
                <w:caps w:val="0"/>
                <w:sz w:val="22"/>
              </w:rPr>
              <w:t>0.297</w:t>
            </w:r>
          </w:p>
        </w:tc>
        <w:tc>
          <w:tcPr>
            <w:tcW w:type="dxa" w:w="1473"/>
          </w:tcPr>
          <w:p>
            <w:pPr>
              <w:spacing w:line="240" w:lineRule="auto"/>
              <w:jc w:val="left"/>
            </w:pPr>
            <w:r>
              <w:rPr>
                <w:rFonts w:ascii="Times New Roman" w:hAnsi="Times New Roman" w:eastAsia="Times New Roman"/>
                <w:b w:val="0"/>
                <w:caps w:val="0"/>
                <w:sz w:val="22"/>
              </w:rPr>
              <w:t>0.354</w:t>
            </w:r>
          </w:p>
        </w:tc>
        <w:tc>
          <w:tcPr>
            <w:tcW w:type="dxa" w:w="1473"/>
          </w:tcPr>
          <w:p>
            <w:pPr>
              <w:spacing w:line="240" w:lineRule="auto"/>
              <w:jc w:val="left"/>
            </w:pPr>
            <w:r>
              <w:rPr>
                <w:rFonts w:ascii="Times New Roman" w:hAnsi="Times New Roman" w:eastAsia="Times New Roman"/>
                <w:b w:val="0"/>
                <w:caps w:val="0"/>
                <w:sz w:val="22"/>
              </w:rPr>
              <w:t>0.321</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0.690</w:t>
            </w:r>
          </w:p>
        </w:tc>
        <w:tc>
          <w:tcPr>
            <w:tcW w:type="dxa" w:w="1473"/>
          </w:tcPr>
          <w:p>
            <w:pPr>
              <w:spacing w:line="240" w:lineRule="auto"/>
              <w:jc w:val="left"/>
            </w:pPr>
            <w:r>
              <w:rPr>
                <w:rFonts w:ascii="Times New Roman" w:hAnsi="Times New Roman" w:eastAsia="Times New Roman"/>
                <w:b w:val="0"/>
                <w:caps w:val="0"/>
                <w:sz w:val="22"/>
              </w:rPr>
              <w:t>0.833</w:t>
            </w:r>
          </w:p>
        </w:tc>
        <w:tc>
          <w:tcPr>
            <w:tcW w:type="dxa" w:w="1473"/>
          </w:tcPr>
          <w:p>
            <w:pPr>
              <w:spacing w:line="240" w:lineRule="auto"/>
              <w:jc w:val="left"/>
            </w:pPr>
            <w:r>
              <w:rPr>
                <w:rFonts w:ascii="Times New Roman" w:hAnsi="Times New Roman" w:eastAsia="Times New Roman"/>
                <w:b w:val="0"/>
                <w:caps w:val="0"/>
                <w:sz w:val="22"/>
              </w:rPr>
              <w:t>0.755</w:t>
            </w:r>
          </w:p>
        </w:tc>
        <w:tc>
          <w:tcPr>
            <w:tcW w:type="dxa" w:w="1473"/>
          </w:tcPr>
          <w:p>
            <w:pPr>
              <w:spacing w:line="240" w:lineRule="auto"/>
              <w:jc w:val="left"/>
            </w:pPr>
            <w:r>
              <w:rPr>
                <w:rFonts w:ascii="Times New Roman" w:hAnsi="Times New Roman" w:eastAsia="Times New Roman"/>
                <w:b w:val="0"/>
                <w:caps w:val="0"/>
                <w:sz w:val="22"/>
              </w:rPr>
              <w:t>0.723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më i mirë është Gradient Boosting te Data Class dhe Feature Envy; Random Forest te Long Method; regresioni logjistik te Blob. Ndryshe nga Qasja A, ku precizioni del gjithmonë mbi recall-in, te modeli dallimi mes tyre shkon në të dy drejtimet dhe arrin 0.260. MCC-ja më e lartë e arritur është 0.723. Veçoritë që peshojnë më shumë te secila erë, të matura me permutim, janë këto (Figura 7):</w:t>
      </w:r>
    </w:p>
    <w:p>
      <w:pPr>
        <w:keepNext/>
        <w:jc w:val="center"/>
      </w:pPr>
      <w:r>
        <w:drawing>
          <wp:inline xmlns:a="http://schemas.openxmlformats.org/drawingml/2006/main" xmlns:pic="http://schemas.openxmlformats.org/drawingml/2006/picture">
            <wp:extent cx="5120640" cy="4356365"/>
            <wp:docPr id="9" name="Picture 9"/>
            <wp:cNvGraphicFramePr>
              <a:graphicFrameLocks noChangeAspect="1"/>
            </wp:cNvGraphicFramePr>
            <a:graphic>
              <a:graphicData uri="http://schemas.openxmlformats.org/drawingml/2006/picture">
                <pic:pic>
                  <pic:nvPicPr>
                    <pic:cNvPr id="0" name="rendesia_e_vecorive.png"/>
                    <pic:cNvPicPr/>
                  </pic:nvPicPr>
                  <pic:blipFill>
                    <a:blip r:embed="rId19"/>
                    <a:stretch>
                      <a:fillRect/>
                    </a:stretch>
                  </pic:blipFill>
                  <pic:spPr>
                    <a:xfrm>
                      <a:off x="0" y="0"/>
                      <a:ext cx="5120640" cy="4356365"/>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Veçoritë me rëndësi më të lartë, të matura me permutim</w:t>
      </w:r>
    </w:p>
    <w:p>
      <w:pPr>
        <w:spacing w:line="360" w:lineRule="auto"/>
        <w:ind w:firstLine="360"/>
        <w:jc w:val="both"/>
      </w:pPr>
      <w:r>
        <w:rPr>
          <w:rFonts w:ascii="Times New Roman" w:hAnsi="Times New Roman" w:eastAsia="Times New Roman"/>
          <w:b w:val="0"/>
          <w:caps w:val="0"/>
          <w:sz w:val="24"/>
        </w:rPr>
        <w:t>Veçoria me rëndësinë më të lartë është CLOC te Blob (0.180), NOF te Data Class (0.107), MLOC te Feature Envy (0.109) dhe MLOC te Long Method (0.422). Vlera është rënia e MCC-së kur vlerat e asaj veçorie përzihen rastësisht.</w:t>
      </w:r>
    </w:p>
    <w:p>
      <w:pPr>
        <w:spacing w:line="360" w:lineRule="auto"/>
        <w:ind w:firstLine="360"/>
        <w:jc w:val="both"/>
      </w:pPr>
      <w:r>
        <w:rPr>
          <w:rFonts w:ascii="Times New Roman" w:hAnsi="Times New Roman" w:eastAsia="Times New Roman"/>
          <w:b w:val="0"/>
          <w:caps w:val="0"/>
          <w:sz w:val="24"/>
        </w:rPr>
        <w:t>MCC-ja e çdo algoritmi, e pikëzuar me të njëjtat folde, jepet më poshtë bashkë me atë të rregullit. Algoritmi i dytë mbetet pas të parit me 0.002 deri në 0.028 pikë MCC (Tabela 5).</w:t>
      </w:r>
    </w:p>
    <w:p>
      <w:pPr>
        <w:keepNext/>
        <w:spacing w:line="240" w:lineRule="auto"/>
        <w:jc w:val="center"/>
      </w:pPr>
      <w:r>
        <w:rPr>
          <w:rFonts w:ascii="Times New Roman" w:hAnsi="Times New Roman" w:eastAsia="Times New Roman"/>
          <w:b w:val="0"/>
          <w:caps w:val="0"/>
          <w:sz w:val="22"/>
        </w:rPr>
        <w:t>Tabela 5. MCC e çdo algoritmi të Qasjes B,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Shumica</w:t>
            </w:r>
          </w:p>
        </w:tc>
        <w:tc>
          <w:tcPr>
            <w:tcW w:type="dxa" w:w="1473"/>
          </w:tcPr>
          <w:p>
            <w:pPr>
              <w:spacing w:line="240" w:lineRule="auto"/>
              <w:jc w:val="left"/>
            </w:pPr>
            <w:r>
              <w:rPr>
                <w:rFonts w:ascii="Times New Roman" w:hAnsi="Times New Roman" w:eastAsia="Times New Roman"/>
                <w:b/>
                <w:caps w:val="0"/>
                <w:sz w:val="22"/>
              </w:rPr>
              <w:t>Regresioni logjistik</w:t>
            </w:r>
          </w:p>
        </w:tc>
        <w:tc>
          <w:tcPr>
            <w:tcW w:type="dxa" w:w="1473"/>
          </w:tcPr>
          <w:p>
            <w:pPr>
              <w:spacing w:line="240" w:lineRule="auto"/>
              <w:jc w:val="left"/>
            </w:pPr>
            <w:r>
              <w:rPr>
                <w:rFonts w:ascii="Times New Roman" w:hAnsi="Times New Roman" w:eastAsia="Times New Roman"/>
                <w:b/>
                <w:caps w:val="0"/>
                <w:sz w:val="22"/>
              </w:rPr>
              <w:t>Random Forest</w:t>
            </w:r>
          </w:p>
        </w:tc>
        <w:tc>
          <w:tcPr>
            <w:tcW w:type="dxa" w:w="1473"/>
          </w:tcPr>
          <w:p>
            <w:pPr>
              <w:spacing w:line="240" w:lineRule="auto"/>
              <w:jc w:val="left"/>
            </w:pPr>
            <w:r>
              <w:rPr>
                <w:rFonts w:ascii="Times New Roman" w:hAnsi="Times New Roman" w:eastAsia="Times New Roman"/>
                <w:b/>
                <w:caps w:val="0"/>
                <w:sz w:val="22"/>
              </w:rPr>
              <w:t>Gradient Boosting</w:t>
            </w:r>
          </w:p>
        </w:tc>
        <w:tc>
          <w:tcPr>
            <w:tcW w:type="dxa" w:w="1473"/>
          </w:tcPr>
          <w:p>
            <w:pPr>
              <w:spacing w:line="240" w:lineRule="auto"/>
              <w:jc w:val="left"/>
            </w:pPr>
            <w:r>
              <w:rPr>
                <w:rFonts w:ascii="Times New Roman" w:hAnsi="Times New Roman" w:eastAsia="Times New Roman"/>
                <w:b/>
                <w:caps w:val="0"/>
                <w:sz w:val="22"/>
              </w:rPr>
              <w:t>Qasja 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i papërcaktuar</w:t>
            </w:r>
          </w:p>
        </w:tc>
        <w:tc>
          <w:tcPr>
            <w:tcW w:type="dxa" w:w="1473"/>
          </w:tcPr>
          <w:p>
            <w:pPr>
              <w:spacing w:line="240" w:lineRule="auto"/>
              <w:jc w:val="left"/>
            </w:pPr>
            <w:r>
              <w:rPr>
                <w:rFonts w:ascii="Times New Roman" w:hAnsi="Times New Roman" w:eastAsia="Times New Roman"/>
                <w:b w:val="0"/>
                <w:caps w:val="0"/>
                <w:sz w:val="22"/>
              </w:rPr>
              <w:t>0.539</w:t>
            </w:r>
          </w:p>
        </w:tc>
        <w:tc>
          <w:tcPr>
            <w:tcW w:type="dxa" w:w="1473"/>
          </w:tcPr>
          <w:p>
            <w:pPr>
              <w:spacing w:line="240" w:lineRule="auto"/>
              <w:jc w:val="left"/>
            </w:pPr>
            <w:r>
              <w:rPr>
                <w:rFonts w:ascii="Times New Roman" w:hAnsi="Times New Roman" w:eastAsia="Times New Roman"/>
                <w:b w:val="0"/>
                <w:caps w:val="0"/>
                <w:sz w:val="22"/>
              </w:rPr>
              <w:t>0.510</w:t>
            </w:r>
          </w:p>
        </w:tc>
        <w:tc>
          <w:tcPr>
            <w:tcW w:type="dxa" w:w="1473"/>
          </w:tcPr>
          <w:p>
            <w:pPr>
              <w:spacing w:line="240" w:lineRule="auto"/>
              <w:jc w:val="left"/>
            </w:pPr>
            <w:r>
              <w:rPr>
                <w:rFonts w:ascii="Times New Roman" w:hAnsi="Times New Roman" w:eastAsia="Times New Roman"/>
                <w:b w:val="0"/>
                <w:caps w:val="0"/>
                <w:sz w:val="22"/>
              </w:rPr>
              <w:t>0.505</w:t>
            </w:r>
          </w:p>
        </w:tc>
        <w:tc>
          <w:tcPr>
            <w:tcW w:type="dxa" w:w="1473"/>
          </w:tcPr>
          <w:p>
            <w:pPr>
              <w:spacing w:line="240" w:lineRule="auto"/>
              <w:jc w:val="left"/>
            </w:pPr>
            <w:r>
              <w:rPr>
                <w:rFonts w:ascii="Times New Roman" w:hAnsi="Times New Roman" w:eastAsia="Times New Roman"/>
                <w:b w:val="0"/>
                <w:caps w:val="0"/>
                <w:sz w:val="22"/>
              </w:rPr>
              <w:t>0.336</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i papërcaktuar</w:t>
            </w:r>
          </w:p>
        </w:tc>
        <w:tc>
          <w:tcPr>
            <w:tcW w:type="dxa" w:w="1473"/>
          </w:tcPr>
          <w:p>
            <w:pPr>
              <w:spacing w:line="240" w:lineRule="auto"/>
              <w:jc w:val="left"/>
            </w:pPr>
            <w:r>
              <w:rPr>
                <w:rFonts w:ascii="Times New Roman" w:hAnsi="Times New Roman" w:eastAsia="Times New Roman"/>
                <w:b w:val="0"/>
                <w:caps w:val="0"/>
                <w:sz w:val="22"/>
              </w:rPr>
              <w:t>0.426</w:t>
            </w:r>
          </w:p>
        </w:tc>
        <w:tc>
          <w:tcPr>
            <w:tcW w:type="dxa" w:w="1473"/>
          </w:tcPr>
          <w:p>
            <w:pPr>
              <w:spacing w:line="240" w:lineRule="auto"/>
              <w:jc w:val="left"/>
            </w:pPr>
            <w:r>
              <w:rPr>
                <w:rFonts w:ascii="Times New Roman" w:hAnsi="Times New Roman" w:eastAsia="Times New Roman"/>
                <w:b w:val="0"/>
                <w:caps w:val="0"/>
                <w:sz w:val="22"/>
              </w:rPr>
              <w:t>0.471</w:t>
            </w:r>
          </w:p>
        </w:tc>
        <w:tc>
          <w:tcPr>
            <w:tcW w:type="dxa" w:w="1473"/>
          </w:tcPr>
          <w:p>
            <w:pPr>
              <w:spacing w:line="240" w:lineRule="auto"/>
              <w:jc w:val="left"/>
            </w:pPr>
            <w:r>
              <w:rPr>
                <w:rFonts w:ascii="Times New Roman" w:hAnsi="Times New Roman" w:eastAsia="Times New Roman"/>
                <w:b w:val="0"/>
                <w:caps w:val="0"/>
                <w:sz w:val="22"/>
              </w:rPr>
              <w:t>0.473</w:t>
            </w:r>
          </w:p>
        </w:tc>
        <w:tc>
          <w:tcPr>
            <w:tcW w:type="dxa" w:w="1473"/>
          </w:tcPr>
          <w:p>
            <w:pPr>
              <w:spacing w:line="240" w:lineRule="auto"/>
              <w:jc w:val="left"/>
            </w:pPr>
            <w:r>
              <w:rPr>
                <w:rFonts w:ascii="Times New Roman" w:hAnsi="Times New Roman" w:eastAsia="Times New Roman"/>
                <w:b w:val="0"/>
                <w:caps w:val="0"/>
                <w:sz w:val="22"/>
              </w:rPr>
              <w:t>0.367</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i papërcaktuar</w:t>
            </w:r>
          </w:p>
        </w:tc>
        <w:tc>
          <w:tcPr>
            <w:tcW w:type="dxa" w:w="1473"/>
          </w:tcPr>
          <w:p>
            <w:pPr>
              <w:spacing w:line="240" w:lineRule="auto"/>
              <w:jc w:val="left"/>
            </w:pPr>
            <w:r>
              <w:rPr>
                <w:rFonts w:ascii="Times New Roman" w:hAnsi="Times New Roman" w:eastAsia="Times New Roman"/>
                <w:b w:val="0"/>
                <w:caps w:val="0"/>
                <w:sz w:val="22"/>
              </w:rPr>
              <w:t>0.241</w:t>
            </w:r>
          </w:p>
        </w:tc>
        <w:tc>
          <w:tcPr>
            <w:tcW w:type="dxa" w:w="1473"/>
          </w:tcPr>
          <w:p>
            <w:pPr>
              <w:spacing w:line="240" w:lineRule="auto"/>
              <w:jc w:val="left"/>
            </w:pPr>
            <w:r>
              <w:rPr>
                <w:rFonts w:ascii="Times New Roman" w:hAnsi="Times New Roman" w:eastAsia="Times New Roman"/>
                <w:b w:val="0"/>
                <w:caps w:val="0"/>
                <w:sz w:val="22"/>
              </w:rPr>
              <w:t>0.296</w:t>
            </w:r>
          </w:p>
        </w:tc>
        <w:tc>
          <w:tcPr>
            <w:tcW w:type="dxa" w:w="1473"/>
          </w:tcPr>
          <w:p>
            <w:pPr>
              <w:spacing w:line="240" w:lineRule="auto"/>
              <w:jc w:val="left"/>
            </w:pPr>
            <w:r>
              <w:rPr>
                <w:rFonts w:ascii="Times New Roman" w:hAnsi="Times New Roman" w:eastAsia="Times New Roman"/>
                <w:b w:val="0"/>
                <w:caps w:val="0"/>
                <w:sz w:val="22"/>
              </w:rPr>
              <w:t>0.321</w:t>
            </w:r>
          </w:p>
        </w:tc>
        <w:tc>
          <w:tcPr>
            <w:tcW w:type="dxa" w:w="1473"/>
          </w:tcPr>
          <w:p>
            <w:pPr>
              <w:spacing w:line="240" w:lineRule="auto"/>
              <w:jc w:val="left"/>
            </w:pPr>
            <w:r>
              <w:rPr>
                <w:rFonts w:ascii="Times New Roman" w:hAnsi="Times New Roman" w:eastAsia="Times New Roman"/>
                <w:b w:val="0"/>
                <w:caps w:val="0"/>
                <w:sz w:val="22"/>
              </w:rPr>
              <w:t>0.243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i papërcaktuar</w:t>
            </w:r>
          </w:p>
        </w:tc>
        <w:tc>
          <w:tcPr>
            <w:tcW w:type="dxa" w:w="1473"/>
          </w:tcPr>
          <w:p>
            <w:pPr>
              <w:spacing w:line="240" w:lineRule="auto"/>
              <w:jc w:val="left"/>
            </w:pPr>
            <w:r>
              <w:rPr>
                <w:rFonts w:ascii="Times New Roman" w:hAnsi="Times New Roman" w:eastAsia="Times New Roman"/>
                <w:b w:val="0"/>
                <w:caps w:val="0"/>
                <w:sz w:val="22"/>
              </w:rPr>
              <w:t>0.707</w:t>
            </w:r>
          </w:p>
        </w:tc>
        <w:tc>
          <w:tcPr>
            <w:tcW w:type="dxa" w:w="1473"/>
          </w:tcPr>
          <w:p>
            <w:pPr>
              <w:spacing w:line="240" w:lineRule="auto"/>
              <w:jc w:val="left"/>
            </w:pPr>
            <w:r>
              <w:rPr>
                <w:rFonts w:ascii="Times New Roman" w:hAnsi="Times New Roman" w:eastAsia="Times New Roman"/>
                <w:b w:val="0"/>
                <w:caps w:val="0"/>
                <w:sz w:val="22"/>
              </w:rPr>
              <w:t>0.723</w:t>
            </w:r>
          </w:p>
        </w:tc>
        <w:tc>
          <w:tcPr>
            <w:tcW w:type="dxa" w:w="1473"/>
          </w:tcPr>
          <w:p>
            <w:pPr>
              <w:spacing w:line="240" w:lineRule="auto"/>
              <w:jc w:val="left"/>
            </w:pPr>
            <w:r>
              <w:rPr>
                <w:rFonts w:ascii="Times New Roman" w:hAnsi="Times New Roman" w:eastAsia="Times New Roman"/>
                <w:b w:val="0"/>
                <w:caps w:val="0"/>
                <w:sz w:val="22"/>
              </w:rPr>
              <w:t>0.700</w:t>
            </w:r>
          </w:p>
        </w:tc>
        <w:tc>
          <w:tcPr>
            <w:tcW w:type="dxa" w:w="1473"/>
          </w:tcPr>
          <w:p>
            <w:pPr>
              <w:spacing w:line="240" w:lineRule="auto"/>
              <w:jc w:val="left"/>
            </w:pPr>
            <w:r>
              <w:rPr>
                <w:rFonts w:ascii="Times New Roman" w:hAnsi="Times New Roman" w:eastAsia="Times New Roman"/>
                <w:b w:val="0"/>
                <w:caps w:val="0"/>
                <w:sz w:val="22"/>
              </w:rPr>
              <w:t>0.617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6).</w:t>
      </w:r>
    </w:p>
    <w:p>
      <w:pPr>
        <w:keepNext/>
        <w:spacing w:line="240" w:lineRule="auto"/>
        <w:jc w:val="center"/>
      </w:pPr>
      <w:r>
        <w:rPr>
          <w:rFonts w:ascii="Times New Roman" w:hAnsi="Times New Roman" w:eastAsia="Times New Roman"/>
          <w:b w:val="0"/>
          <w:caps w:val="0"/>
          <w:sz w:val="22"/>
        </w:rPr>
        <w:t>Tabela 6.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539</w:t>
            </w:r>
          </w:p>
        </w:tc>
        <w:tc>
          <w:tcPr>
            <w:tcW w:type="dxa" w:w="2209"/>
          </w:tcPr>
          <w:p>
            <w:pPr>
              <w:spacing w:line="240" w:lineRule="auto"/>
              <w:jc w:val="left"/>
            </w:pPr>
            <w:r>
              <w:rPr>
                <w:rFonts w:ascii="Times New Roman" w:hAnsi="Times New Roman" w:eastAsia="Times New Roman"/>
                <w:b w:val="0"/>
                <w:caps w:val="0"/>
                <w:sz w:val="22"/>
              </w:rPr>
              <w:t>58.8%</w:t>
            </w:r>
          </w:p>
        </w:tc>
        <w:tc>
          <w:tcPr>
            <w:tcW w:type="dxa" w:w="2209"/>
          </w:tcPr>
          <w:p>
            <w:pPr>
              <w:spacing w:line="240" w:lineRule="auto"/>
              <w:jc w:val="left"/>
            </w:pPr>
            <w:r>
              <w:rPr>
                <w:rFonts w:ascii="Times New Roman" w:hAnsi="Times New Roman" w:eastAsia="Times New Roman"/>
                <w:b w:val="0"/>
                <w:caps w:val="0"/>
                <w:sz w:val="22"/>
              </w:rPr>
              <w:t>c_CLOC (131), c_NOM (82), c_MAXCC (61)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414</w:t>
            </w:r>
          </w:p>
        </w:tc>
        <w:tc>
          <w:tcPr>
            <w:tcW w:type="dxa" w:w="2209"/>
          </w:tcPr>
          <w:p>
            <w:pPr>
              <w:spacing w:line="240" w:lineRule="auto"/>
              <w:jc w:val="left"/>
            </w:pPr>
            <w:r>
              <w:rPr>
                <w:rFonts w:ascii="Times New Roman" w:hAnsi="Times New Roman" w:eastAsia="Times New Roman"/>
                <w:b w:val="0"/>
                <w:caps w:val="0"/>
                <w:sz w:val="22"/>
              </w:rPr>
              <w:t>74.2%</w:t>
            </w:r>
          </w:p>
        </w:tc>
        <w:tc>
          <w:tcPr>
            <w:tcW w:type="dxa" w:w="2209"/>
          </w:tcPr>
          <w:p>
            <w:pPr>
              <w:spacing w:line="240" w:lineRule="auto"/>
              <w:jc w:val="left"/>
            </w:pPr>
            <w:r>
              <w:rPr>
                <w:rFonts w:ascii="Times New Roman" w:hAnsi="Times New Roman" w:eastAsia="Times New Roman"/>
                <w:b w:val="0"/>
                <w:caps w:val="0"/>
                <w:sz w:val="22"/>
              </w:rPr>
              <w:t>c_NOAM (122), c_CBO (108), c_NOF (27)</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112</w:t>
            </w:r>
          </w:p>
        </w:tc>
        <w:tc>
          <w:tcPr>
            <w:tcW w:type="dxa" w:w="2209"/>
          </w:tcPr>
          <w:p>
            <w:pPr>
              <w:spacing w:line="240" w:lineRule="auto"/>
              <w:jc w:val="left"/>
            </w:pPr>
            <w:r>
              <w:rPr>
                <w:rFonts w:ascii="Times New Roman" w:hAnsi="Times New Roman" w:eastAsia="Times New Roman"/>
                <w:b w:val="0"/>
                <w:caps w:val="0"/>
                <w:sz w:val="22"/>
              </w:rPr>
              <w:t>88.4%</w:t>
            </w:r>
          </w:p>
        </w:tc>
        <w:tc>
          <w:tcPr>
            <w:tcW w:type="dxa" w:w="2209"/>
          </w:tcPr>
          <w:p>
            <w:pPr>
              <w:spacing w:line="240" w:lineRule="auto"/>
              <w:jc w:val="left"/>
            </w:pPr>
            <w:r>
              <w:rPr>
                <w:rFonts w:ascii="Times New Roman" w:hAnsi="Times New Roman" w:eastAsia="Times New Roman"/>
                <w:b w:val="0"/>
                <w:caps w:val="0"/>
                <w:sz w:val="22"/>
              </w:rPr>
              <w:t>m_MLOC (28), m_NOAV (18), m_CINT (16)</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326</w:t>
            </w:r>
          </w:p>
        </w:tc>
        <w:tc>
          <w:tcPr>
            <w:tcW w:type="dxa" w:w="2209"/>
          </w:tcPr>
          <w:p>
            <w:pPr>
              <w:spacing w:line="240" w:lineRule="auto"/>
              <w:jc w:val="left"/>
            </w:pPr>
            <w:r>
              <w:rPr>
                <w:rFonts w:ascii="Times New Roman" w:hAnsi="Times New Roman" w:eastAsia="Times New Roman"/>
                <w:b w:val="0"/>
                <w:caps w:val="0"/>
                <w:sz w:val="22"/>
              </w:rPr>
              <w:t>91.7%</w:t>
            </w:r>
          </w:p>
        </w:tc>
        <w:tc>
          <w:tcPr>
            <w:tcW w:type="dxa" w:w="2209"/>
          </w:tcPr>
          <w:p>
            <w:pPr>
              <w:spacing w:line="240" w:lineRule="auto"/>
              <w:jc w:val="left"/>
            </w:pPr>
            <w:r>
              <w:rPr>
                <w:rFonts w:ascii="Times New Roman" w:hAnsi="Times New Roman" w:eastAsia="Times New Roman"/>
                <w:b w:val="0"/>
                <w:caps w:val="0"/>
                <w:sz w:val="22"/>
              </w:rPr>
              <w:t>m_MLOC (294), m_CC (3), m_NOAV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58.8% deri në 91.7%. Vetëm me metrikat e strategjisë, modelet arrijnë këtë MCC (Tabela 7):</w:t>
      </w:r>
    </w:p>
    <w:p>
      <w:pPr>
        <w:keepNext/>
        <w:spacing w:line="240" w:lineRule="auto"/>
        <w:jc w:val="center"/>
      </w:pPr>
      <w:r>
        <w:rPr>
          <w:rFonts w:ascii="Times New Roman" w:hAnsi="Times New Roman" w:eastAsia="Times New Roman"/>
          <w:b w:val="0"/>
          <w:caps w:val="0"/>
          <w:sz w:val="22"/>
        </w:rPr>
        <w:t>Tabela 7. MCC me metrikat e strategjisë dhe me të gjitha metrikat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Metrikat e strategjisë</w:t>
            </w:r>
          </w:p>
        </w:tc>
        <w:tc>
          <w:tcPr>
            <w:tcW w:type="dxa" w:w="1768"/>
          </w:tcPr>
          <w:p>
            <w:pPr>
              <w:spacing w:line="240" w:lineRule="auto"/>
              <w:jc w:val="left"/>
            </w:pPr>
            <w:r>
              <w:rPr>
                <w:rFonts w:ascii="Times New Roman" w:hAnsi="Times New Roman" w:eastAsia="Times New Roman"/>
                <w:b/>
                <w:caps w:val="0"/>
                <w:sz w:val="22"/>
              </w:rPr>
              <w:t>Rregulli</w:t>
            </w:r>
          </w:p>
        </w:tc>
        <w:tc>
          <w:tcPr>
            <w:tcW w:type="dxa" w:w="1768"/>
          </w:tcPr>
          <w:p>
            <w:pPr>
              <w:spacing w:line="240" w:lineRule="auto"/>
              <w:jc w:val="left"/>
            </w:pPr>
            <w:r>
              <w:rPr>
                <w:rFonts w:ascii="Times New Roman" w:hAnsi="Times New Roman" w:eastAsia="Times New Roman"/>
                <w:b/>
                <w:caps w:val="0"/>
                <w:sz w:val="22"/>
              </w:rPr>
              <w:t>Modeli, vetëm ato</w:t>
            </w:r>
          </w:p>
        </w:tc>
        <w:tc>
          <w:tcPr>
            <w:tcW w:type="dxa" w:w="1768"/>
          </w:tcPr>
          <w:p>
            <w:pPr>
              <w:spacing w:line="240" w:lineRule="auto"/>
              <w:jc w:val="left"/>
            </w:pPr>
            <w:r>
              <w:rPr>
                <w:rFonts w:ascii="Times New Roman" w:hAnsi="Times New Roman" w:eastAsia="Times New Roman"/>
                <w:b/>
                <w:caps w:val="0"/>
                <w:sz w:val="22"/>
              </w:rPr>
              <w:t>Modeli, të gjitha</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c_WMC, c_TCC, c_ATFD</w:t>
            </w:r>
          </w:p>
        </w:tc>
        <w:tc>
          <w:tcPr>
            <w:tcW w:type="dxa" w:w="1768"/>
          </w:tcPr>
          <w:p>
            <w:pPr>
              <w:spacing w:line="240" w:lineRule="auto"/>
              <w:jc w:val="left"/>
            </w:pPr>
            <w:r>
              <w:rPr>
                <w:rFonts w:ascii="Times New Roman" w:hAnsi="Times New Roman" w:eastAsia="Times New Roman"/>
                <w:b w:val="0"/>
                <w:caps w:val="0"/>
                <w:sz w:val="22"/>
              </w:rPr>
              <w:t>0.336</w:t>
            </w:r>
          </w:p>
        </w:tc>
        <w:tc>
          <w:tcPr>
            <w:tcW w:type="dxa" w:w="1768"/>
          </w:tcPr>
          <w:p>
            <w:pPr>
              <w:spacing w:line="240" w:lineRule="auto"/>
              <w:jc w:val="left"/>
            </w:pPr>
            <w:r>
              <w:rPr>
                <w:rFonts w:ascii="Times New Roman" w:hAnsi="Times New Roman" w:eastAsia="Times New Roman"/>
                <w:b w:val="0"/>
                <w:caps w:val="0"/>
                <w:sz w:val="22"/>
              </w:rPr>
              <w:t>0.494</w:t>
            </w:r>
          </w:p>
        </w:tc>
        <w:tc>
          <w:tcPr>
            <w:tcW w:type="dxa" w:w="1768"/>
          </w:tcPr>
          <w:p>
            <w:pPr>
              <w:spacing w:line="240" w:lineRule="auto"/>
              <w:jc w:val="left"/>
            </w:pPr>
            <w:r>
              <w:rPr>
                <w:rFonts w:ascii="Times New Roman" w:hAnsi="Times New Roman" w:eastAsia="Times New Roman"/>
                <w:b w:val="0"/>
                <w:caps w:val="0"/>
                <w:sz w:val="22"/>
              </w:rPr>
              <w:t>0.539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c_WOC, c_NOPA, c_NOAM, c_WMC</w:t>
            </w:r>
          </w:p>
        </w:tc>
        <w:tc>
          <w:tcPr>
            <w:tcW w:type="dxa" w:w="1768"/>
          </w:tcPr>
          <w:p>
            <w:pPr>
              <w:spacing w:line="240" w:lineRule="auto"/>
              <w:jc w:val="left"/>
            </w:pPr>
            <w:r>
              <w:rPr>
                <w:rFonts w:ascii="Times New Roman" w:hAnsi="Times New Roman" w:eastAsia="Times New Roman"/>
                <w:b w:val="0"/>
                <w:caps w:val="0"/>
                <w:sz w:val="22"/>
              </w:rPr>
              <w:t>0.367</w:t>
            </w:r>
          </w:p>
        </w:tc>
        <w:tc>
          <w:tcPr>
            <w:tcW w:type="dxa" w:w="1768"/>
          </w:tcPr>
          <w:p>
            <w:pPr>
              <w:spacing w:line="240" w:lineRule="auto"/>
              <w:jc w:val="left"/>
            </w:pPr>
            <w:r>
              <w:rPr>
                <w:rFonts w:ascii="Times New Roman" w:hAnsi="Times New Roman" w:eastAsia="Times New Roman"/>
                <w:b w:val="0"/>
                <w:caps w:val="0"/>
                <w:sz w:val="22"/>
              </w:rPr>
              <w:t>0.395</w:t>
            </w:r>
          </w:p>
        </w:tc>
        <w:tc>
          <w:tcPr>
            <w:tcW w:type="dxa" w:w="1768"/>
          </w:tcPr>
          <w:p>
            <w:pPr>
              <w:spacing w:line="240" w:lineRule="auto"/>
              <w:jc w:val="left"/>
            </w:pPr>
            <w:r>
              <w:rPr>
                <w:rFonts w:ascii="Times New Roman" w:hAnsi="Times New Roman" w:eastAsia="Times New Roman"/>
                <w:b w:val="0"/>
                <w:caps w:val="0"/>
                <w:sz w:val="22"/>
              </w:rPr>
              <w:t>0.473</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m_ATFD, m_LAA, m_FDP</w:t>
            </w:r>
          </w:p>
        </w:tc>
        <w:tc>
          <w:tcPr>
            <w:tcW w:type="dxa" w:w="1768"/>
          </w:tcPr>
          <w:p>
            <w:pPr>
              <w:spacing w:line="240" w:lineRule="auto"/>
              <w:jc w:val="left"/>
            </w:pPr>
            <w:r>
              <w:rPr>
                <w:rFonts w:ascii="Times New Roman" w:hAnsi="Times New Roman" w:eastAsia="Times New Roman"/>
                <w:b w:val="0"/>
                <w:caps w:val="0"/>
                <w:sz w:val="22"/>
              </w:rPr>
              <w:t>0.243</w:t>
            </w:r>
          </w:p>
        </w:tc>
        <w:tc>
          <w:tcPr>
            <w:tcW w:type="dxa" w:w="1768"/>
          </w:tcPr>
          <w:p>
            <w:pPr>
              <w:spacing w:line="240" w:lineRule="auto"/>
              <w:jc w:val="left"/>
            </w:pPr>
            <w:r>
              <w:rPr>
                <w:rFonts w:ascii="Times New Roman" w:hAnsi="Times New Roman" w:eastAsia="Times New Roman"/>
                <w:b w:val="0"/>
                <w:caps w:val="0"/>
                <w:sz w:val="22"/>
              </w:rPr>
              <w:t>0.191</w:t>
            </w:r>
          </w:p>
        </w:tc>
        <w:tc>
          <w:tcPr>
            <w:tcW w:type="dxa" w:w="1768"/>
          </w:tcPr>
          <w:p>
            <w:pPr>
              <w:spacing w:line="240" w:lineRule="auto"/>
              <w:jc w:val="left"/>
            </w:pPr>
            <w:r>
              <w:rPr>
                <w:rFonts w:ascii="Times New Roman" w:hAnsi="Times New Roman" w:eastAsia="Times New Roman"/>
                <w:b w:val="0"/>
                <w:caps w:val="0"/>
                <w:sz w:val="22"/>
              </w:rPr>
              <w:t>0.321</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m_MLOC</w:t>
            </w:r>
          </w:p>
        </w:tc>
        <w:tc>
          <w:tcPr>
            <w:tcW w:type="dxa" w:w="1768"/>
          </w:tcPr>
          <w:p>
            <w:pPr>
              <w:spacing w:line="240" w:lineRule="auto"/>
              <w:jc w:val="left"/>
            </w:pPr>
            <w:r>
              <w:rPr>
                <w:rFonts w:ascii="Times New Roman" w:hAnsi="Times New Roman" w:eastAsia="Times New Roman"/>
                <w:b w:val="0"/>
                <w:caps w:val="0"/>
                <w:sz w:val="22"/>
              </w:rPr>
              <w:t>0.617</w:t>
            </w:r>
          </w:p>
        </w:tc>
        <w:tc>
          <w:tcPr>
            <w:tcW w:type="dxa" w:w="1768"/>
          </w:tcPr>
          <w:p>
            <w:pPr>
              <w:spacing w:line="240" w:lineRule="auto"/>
              <w:jc w:val="left"/>
            </w:pPr>
            <w:r>
              <w:rPr>
                <w:rFonts w:ascii="Times New Roman" w:hAnsi="Times New Roman" w:eastAsia="Times New Roman"/>
                <w:b w:val="0"/>
                <w:caps w:val="0"/>
                <w:sz w:val="22"/>
              </w:rPr>
              <w:t>0.724</w:t>
            </w:r>
          </w:p>
        </w:tc>
        <w:tc>
          <w:tcPr>
            <w:tcW w:type="dxa" w:w="1768"/>
          </w:tcPr>
          <w:p>
            <w:pPr>
              <w:spacing w:line="240" w:lineRule="auto"/>
              <w:jc w:val="left"/>
            </w:pPr>
            <w:r>
              <w:rPr>
                <w:rFonts w:ascii="Times New Roman" w:hAnsi="Times New Roman" w:eastAsia="Times New Roman"/>
                <w:b w:val="0"/>
                <w:caps w:val="0"/>
                <w:sz w:val="22"/>
              </w:rPr>
              <w:t>0.723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Këto shifra janë gjysma e parë e përgjigjes për PK2; gjysma tjetër, krahasimi mostër për mostër me Qasjen A, vjen në nënkapitullin pasues.</w:t>
      </w:r>
    </w:p>
    <w:p>
      <w:pPr>
        <w:pStyle w:val="Heading2"/>
      </w:pPr>
      <w:r>
        <w:rPr>
          <w:rFonts w:ascii="Times New Roman" w:hAnsi="Times New Roman" w:eastAsia="Times New Roman"/>
          <w:b/>
          <w:caps w:val="0"/>
          <w:sz w:val="24"/>
        </w:rPr>
        <w:t>5.3 Krahasimi i dy qasjeve</w:t>
      </w:r>
    </w:p>
    <w:p>
      <w:pPr>
        <w:spacing w:line="360" w:lineRule="auto"/>
        <w:ind w:firstLine="360"/>
        <w:jc w:val="both"/>
      </w:pPr>
      <w:r>
        <w:rPr>
          <w:rFonts w:ascii="Times New Roman" w:hAnsi="Times New Roman" w:eastAsia="Times New Roman"/>
          <w:b w:val="0"/>
          <w:caps w:val="0"/>
          <w:sz w:val="24"/>
        </w:rPr>
        <w:t>Këtu dy qasjet vihen përballë mbi saktësisht të njëjtat mostra dhe me të njëjtën etiketë, siç e kërkon kriteri i PK2 te Nënkapitulli 3.3. Krahasohen MCC-ja, pajtimi mes tyre dhe dy mënyra për t'i bashkuar (Figura 8).</w:t>
      </w:r>
    </w:p>
    <w:p>
      <w:pPr>
        <w:keepNext/>
        <w:jc w:val="center"/>
      </w:pPr>
      <w:r>
        <w:drawing>
          <wp:inline xmlns:a="http://schemas.openxmlformats.org/drawingml/2006/main" xmlns:pic="http://schemas.openxmlformats.org/drawingml/2006/picture">
            <wp:extent cx="5120640" cy="2900601"/>
            <wp:docPr id="10" name="Picture 10"/>
            <wp:cNvGraphicFramePr>
              <a:graphicFrameLocks noChangeAspect="1"/>
            </wp:cNvGraphicFramePr>
            <a:graphic>
              <a:graphicData uri="http://schemas.openxmlformats.org/drawingml/2006/picture">
                <pic:pic>
                  <pic:nvPicPr>
                    <pic:cNvPr id="0" name="mcc_a_vs_b.png"/>
                    <pic:cNvPicPr/>
                  </pic:nvPicPr>
                  <pic:blipFill>
                    <a:blip r:embed="rId20"/>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për të dyja qasjet</w:t>
      </w:r>
    </w:p>
    <w:p>
      <w:pPr>
        <w:spacing w:line="360" w:lineRule="auto"/>
        <w:ind w:firstLine="360"/>
        <w:jc w:val="both"/>
      </w:pPr>
      <w:r>
        <w:rPr>
          <w:rFonts w:ascii="Times New Roman" w:hAnsi="Times New Roman" w:eastAsia="Times New Roman"/>
          <w:b w:val="0"/>
          <w:caps w:val="0"/>
          <w:sz w:val="24"/>
        </w:rPr>
        <w:t>Qasja B ka MCC më të lartë se Qasja A te të katër erërat. Dallimi më i vogël është te Feature Envy, 0.078 pikë MCC, dhe më i madhi te Blob, 0.203 pikë. Pajtimi mes tyre matet me koeficientin kappa dhe me numrin e mostrave që shënon secila qasje, vetëm ose bashkë me tjetrën (Tabela 8; Figura 9).</w:t>
      </w:r>
    </w:p>
    <w:p>
      <w:pPr>
        <w:keepNext/>
        <w:spacing w:line="240" w:lineRule="auto"/>
        <w:jc w:val="center"/>
      </w:pPr>
      <w:r>
        <w:rPr>
          <w:rFonts w:ascii="Times New Roman" w:hAnsi="Times New Roman" w:eastAsia="Times New Roman"/>
          <w:b w:val="0"/>
          <w:caps w:val="0"/>
          <w:sz w:val="22"/>
        </w:rPr>
        <w:t>Tabela 8.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0.192</w:t>
            </w:r>
          </w:p>
        </w:tc>
        <w:tc>
          <w:tcPr>
            <w:tcW w:type="dxa" w:w="1473"/>
          </w:tcPr>
          <w:p>
            <w:pPr>
              <w:spacing w:line="240" w:lineRule="auto"/>
              <w:jc w:val="left"/>
            </w:pPr>
            <w:r>
              <w:rPr>
                <w:rFonts w:ascii="Times New Roman" w:hAnsi="Times New Roman" w:eastAsia="Times New Roman"/>
                <w:b w:val="0"/>
                <w:caps w:val="0"/>
                <w:sz w:val="22"/>
              </w:rPr>
              <w:t>74</w:t>
            </w:r>
          </w:p>
        </w:tc>
        <w:tc>
          <w:tcPr>
            <w:tcW w:type="dxa" w:w="1473"/>
          </w:tcPr>
          <w:p>
            <w:pPr>
              <w:spacing w:line="240" w:lineRule="auto"/>
              <w:jc w:val="left"/>
            </w:pPr>
            <w:r>
              <w:rPr>
                <w:rFonts w:ascii="Times New Roman" w:hAnsi="Times New Roman" w:eastAsia="Times New Roman"/>
                <w:b w:val="0"/>
                <w:caps w:val="0"/>
                <w:sz w:val="22"/>
              </w:rPr>
              <w:t>2</w:t>
            </w:r>
          </w:p>
        </w:tc>
        <w:tc>
          <w:tcPr>
            <w:tcW w:type="dxa" w:w="1473"/>
          </w:tcPr>
          <w:p>
            <w:pPr>
              <w:spacing w:line="240" w:lineRule="auto"/>
              <w:jc w:val="left"/>
            </w:pPr>
            <w:r>
              <w:rPr>
                <w:rFonts w:ascii="Times New Roman" w:hAnsi="Times New Roman" w:eastAsia="Times New Roman"/>
                <w:b w:val="0"/>
                <w:caps w:val="0"/>
                <w:sz w:val="22"/>
              </w:rPr>
              <w:t>465</w:t>
            </w:r>
          </w:p>
        </w:tc>
        <w:tc>
          <w:tcPr>
            <w:tcW w:type="dxa" w:w="1473"/>
          </w:tcPr>
          <w:p>
            <w:pPr>
              <w:spacing w:line="240" w:lineRule="auto"/>
              <w:jc w:val="left"/>
            </w:pPr>
            <w:r>
              <w:rPr>
                <w:rFonts w:ascii="Times New Roman" w:hAnsi="Times New Roman" w:eastAsia="Times New Roman"/>
                <w:b w:val="0"/>
                <w:caps w:val="0"/>
                <w:sz w:val="22"/>
              </w:rPr>
              <w:t>2223</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104</w:t>
            </w:r>
          </w:p>
        </w:tc>
        <w:tc>
          <w:tcPr>
            <w:tcW w:type="dxa" w:w="1473"/>
          </w:tcPr>
          <w:p>
            <w:pPr>
              <w:spacing w:line="240" w:lineRule="auto"/>
              <w:jc w:val="left"/>
            </w:pPr>
            <w:r>
              <w:rPr>
                <w:rFonts w:ascii="Times New Roman" w:hAnsi="Times New Roman" w:eastAsia="Times New Roman"/>
                <w:b w:val="0"/>
                <w:caps w:val="0"/>
                <w:sz w:val="22"/>
              </w:rPr>
              <w:t>11</w:t>
            </w:r>
          </w:p>
        </w:tc>
        <w:tc>
          <w:tcPr>
            <w:tcW w:type="dxa" w:w="1473"/>
          </w:tcPr>
          <w:p>
            <w:pPr>
              <w:spacing w:line="240" w:lineRule="auto"/>
              <w:jc w:val="left"/>
            </w:pPr>
            <w:r>
              <w:rPr>
                <w:rFonts w:ascii="Times New Roman" w:hAnsi="Times New Roman" w:eastAsia="Times New Roman"/>
                <w:b w:val="0"/>
                <w:caps w:val="0"/>
                <w:sz w:val="22"/>
              </w:rPr>
              <w:t>310</w:t>
            </w:r>
          </w:p>
        </w:tc>
        <w:tc>
          <w:tcPr>
            <w:tcW w:type="dxa" w:w="1473"/>
          </w:tcPr>
          <w:p>
            <w:pPr>
              <w:spacing w:line="240" w:lineRule="auto"/>
              <w:jc w:val="left"/>
            </w:pPr>
            <w:r>
              <w:rPr>
                <w:rFonts w:ascii="Times New Roman" w:hAnsi="Times New Roman" w:eastAsia="Times New Roman"/>
                <w:b w:val="0"/>
                <w:caps w:val="0"/>
                <w:sz w:val="22"/>
              </w:rPr>
              <w:t>2226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0.282</w:t>
            </w:r>
          </w:p>
        </w:tc>
        <w:tc>
          <w:tcPr>
            <w:tcW w:type="dxa" w:w="1473"/>
          </w:tcPr>
          <w:p>
            <w:pPr>
              <w:spacing w:line="240" w:lineRule="auto"/>
              <w:jc w:val="left"/>
            </w:pPr>
            <w:r>
              <w:rPr>
                <w:rFonts w:ascii="Times New Roman" w:hAnsi="Times New Roman" w:eastAsia="Times New Roman"/>
                <w:b w:val="0"/>
                <w:caps w:val="0"/>
                <w:sz w:val="22"/>
              </w:rPr>
              <w:t>29</w:t>
            </w:r>
          </w:p>
        </w:tc>
        <w:tc>
          <w:tcPr>
            <w:tcW w:type="dxa" w:w="1473"/>
          </w:tcPr>
          <w:p>
            <w:pPr>
              <w:spacing w:line="240" w:lineRule="auto"/>
              <w:jc w:val="left"/>
            </w:pPr>
            <w:r>
              <w:rPr>
                <w:rFonts w:ascii="Times New Roman" w:hAnsi="Times New Roman" w:eastAsia="Times New Roman"/>
                <w:b w:val="0"/>
                <w:caps w:val="0"/>
                <w:sz w:val="22"/>
              </w:rPr>
              <w:t>46</w:t>
            </w:r>
          </w:p>
        </w:tc>
        <w:tc>
          <w:tcPr>
            <w:tcW w:type="dxa" w:w="1473"/>
          </w:tcPr>
          <w:p>
            <w:pPr>
              <w:spacing w:line="240" w:lineRule="auto"/>
              <w:jc w:val="left"/>
            </w:pPr>
            <w:r>
              <w:rPr>
                <w:rFonts w:ascii="Times New Roman" w:hAnsi="Times New Roman" w:eastAsia="Times New Roman"/>
                <w:b w:val="0"/>
                <w:caps w:val="0"/>
                <w:sz w:val="22"/>
              </w:rPr>
              <w:t>83</w:t>
            </w:r>
          </w:p>
        </w:tc>
        <w:tc>
          <w:tcPr>
            <w:tcW w:type="dxa" w:w="1473"/>
          </w:tcPr>
          <w:p>
            <w:pPr>
              <w:spacing w:line="240" w:lineRule="auto"/>
              <w:jc w:val="left"/>
            </w:pPr>
            <w:r>
              <w:rPr>
                <w:rFonts w:ascii="Times New Roman" w:hAnsi="Times New Roman" w:eastAsia="Times New Roman"/>
                <w:b w:val="0"/>
                <w:caps w:val="0"/>
                <w:sz w:val="22"/>
              </w:rPr>
              <w:t>2291</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0.545</w:t>
            </w:r>
          </w:p>
        </w:tc>
        <w:tc>
          <w:tcPr>
            <w:tcW w:type="dxa" w:w="1473"/>
          </w:tcPr>
          <w:p>
            <w:pPr>
              <w:spacing w:line="240" w:lineRule="auto"/>
              <w:jc w:val="left"/>
            </w:pPr>
            <w:r>
              <w:rPr>
                <w:rFonts w:ascii="Times New Roman" w:hAnsi="Times New Roman" w:eastAsia="Times New Roman"/>
                <w:b w:val="0"/>
                <w:caps w:val="0"/>
                <w:sz w:val="22"/>
              </w:rPr>
              <w:t>137</w:t>
            </w:r>
          </w:p>
        </w:tc>
        <w:tc>
          <w:tcPr>
            <w:tcW w:type="dxa" w:w="1473"/>
          </w:tcPr>
          <w:p>
            <w:pPr>
              <w:spacing w:line="240" w:lineRule="auto"/>
              <w:jc w:val="left"/>
            </w:pPr>
            <w:r>
              <w:rPr>
                <w:rFonts w:ascii="Times New Roman" w:hAnsi="Times New Roman" w:eastAsia="Times New Roman"/>
                <w:b w:val="0"/>
                <w:caps w:val="0"/>
                <w:sz w:val="22"/>
              </w:rPr>
              <w:t>6</w:t>
            </w:r>
          </w:p>
        </w:tc>
        <w:tc>
          <w:tcPr>
            <w:tcW w:type="dxa" w:w="1473"/>
          </w:tcPr>
          <w:p>
            <w:pPr>
              <w:spacing w:line="240" w:lineRule="auto"/>
              <w:jc w:val="left"/>
            </w:pPr>
            <w:r>
              <w:rPr>
                <w:rFonts w:ascii="Times New Roman" w:hAnsi="Times New Roman" w:eastAsia="Times New Roman"/>
                <w:b w:val="0"/>
                <w:caps w:val="0"/>
                <w:sz w:val="22"/>
              </w:rPr>
              <w:t>189</w:t>
            </w:r>
          </w:p>
        </w:tc>
        <w:tc>
          <w:tcPr>
            <w:tcW w:type="dxa" w:w="1473"/>
          </w:tcPr>
          <w:p>
            <w:pPr>
              <w:spacing w:line="240" w:lineRule="auto"/>
              <w:jc w:val="left"/>
            </w:pPr>
            <w:r>
              <w:rPr>
                <w:rFonts w:ascii="Times New Roman" w:hAnsi="Times New Roman" w:eastAsia="Times New Roman"/>
                <w:b w:val="0"/>
                <w:caps w:val="0"/>
                <w:sz w:val="22"/>
              </w:rPr>
              <w:t>2306</w:t>
            </w:r>
          </w:p>
        </w:tc>
      </w:tr>
    </w:tbl>
    <w:p>
      <w:pPr>
        <w:spacing w:line="240" w:lineRule="auto" w:after="0"/>
      </w:pPr>
    </w:p>
    <w:p>
      <w:pPr>
        <w:keepNext/>
        <w:jc w:val="center"/>
      </w:pPr>
      <w:r>
        <w:drawing>
          <wp:inline xmlns:a="http://schemas.openxmlformats.org/drawingml/2006/main" xmlns:pic="http://schemas.openxmlformats.org/drawingml/2006/picture">
            <wp:extent cx="5120640" cy="2837552"/>
            <wp:docPr id="11" name="Picture 11"/>
            <wp:cNvGraphicFramePr>
              <a:graphicFrameLocks noChangeAspect="1"/>
            </wp:cNvGraphicFramePr>
            <a:graphic>
              <a:graphicData uri="http://schemas.openxmlformats.org/drawingml/2006/picture">
                <pic:pic>
                  <pic:nvPicPr>
                    <pic:cNvPr id="0" name="pajtimi_a_b.png"/>
                    <pic:cNvPicPr/>
                  </pic:nvPicPr>
                  <pic:blipFill>
                    <a:blip r:embed="rId21"/>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Mostrat e shënuara nga secila qasje</w:t>
      </w:r>
    </w:p>
    <w:p>
      <w:pPr>
        <w:spacing w:line="360" w:lineRule="auto"/>
        <w:ind w:firstLine="360"/>
        <w:jc w:val="both"/>
      </w:pPr>
      <w:r>
        <w:rPr>
          <w:rFonts w:ascii="Times New Roman" w:hAnsi="Times New Roman" w:eastAsia="Times New Roman"/>
          <w:b w:val="0"/>
          <w:caps w:val="0"/>
          <w:sz w:val="24"/>
        </w:rPr>
        <w:t>Te të katër erërat, mostrat që shënon vetëm B janë më të shumta se ato që shënon vetëm A. Raporti më i afërt mes të dyjave është te Feature Envy, 46 me 83. Dy qasjet u kombinuan edhe drejtpërdrejt, si bashkim (A∪B) dhe si prerje (A∩B), me këto vlera (Tabela 9):</w:t>
      </w:r>
    </w:p>
    <w:p>
      <w:pPr>
        <w:keepNext/>
        <w:spacing w:line="240" w:lineRule="auto"/>
        <w:jc w:val="center"/>
      </w:pPr>
      <w:r>
        <w:rPr>
          <w:rFonts w:ascii="Times New Roman" w:hAnsi="Times New Roman" w:eastAsia="Times New Roman"/>
          <w:b w:val="0"/>
          <w:caps w:val="0"/>
          <w:sz w:val="22"/>
        </w:rPr>
        <w:t>Tabela 9.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0.539</w:t>
            </w:r>
          </w:p>
        </w:tc>
        <w:tc>
          <w:tcPr>
            <w:tcW w:type="dxa" w:w="1473"/>
          </w:tcPr>
          <w:p>
            <w:pPr>
              <w:spacing w:line="240" w:lineRule="auto"/>
              <w:jc w:val="left"/>
            </w:pPr>
            <w:r>
              <w:rPr>
                <w:rFonts w:ascii="Times New Roman" w:hAnsi="Times New Roman" w:eastAsia="Times New Roman"/>
                <w:b w:val="0"/>
                <w:caps w:val="0"/>
                <w:sz w:val="22"/>
              </w:rPr>
              <w:t>0.540</w:t>
            </w:r>
          </w:p>
        </w:tc>
        <w:tc>
          <w:tcPr>
            <w:tcW w:type="dxa" w:w="1473"/>
          </w:tcPr>
          <w:p>
            <w:pPr>
              <w:spacing w:line="240" w:lineRule="auto"/>
              <w:jc w:val="left"/>
            </w:pPr>
            <w:r>
              <w:rPr>
                <w:rFonts w:ascii="Times New Roman" w:hAnsi="Times New Roman" w:eastAsia="Times New Roman"/>
                <w:b w:val="0"/>
                <w:caps w:val="0"/>
                <w:sz w:val="22"/>
              </w:rPr>
              <w:t>0.336</w:t>
            </w:r>
          </w:p>
        </w:tc>
        <w:tc>
          <w:tcPr>
            <w:tcW w:type="dxa" w:w="1473"/>
          </w:tcPr>
          <w:p>
            <w:pPr>
              <w:spacing w:line="240" w:lineRule="auto"/>
              <w:jc w:val="left"/>
            </w:pPr>
            <w:r>
              <w:rPr>
                <w:rFonts w:ascii="Times New Roman" w:hAnsi="Times New Roman" w:eastAsia="Times New Roman"/>
                <w:b w:val="0"/>
                <w:caps w:val="0"/>
                <w:sz w:val="22"/>
              </w:rPr>
              <w:t>0.773</w:t>
            </w:r>
          </w:p>
        </w:tc>
        <w:tc>
          <w:tcPr>
            <w:tcW w:type="dxa" w:w="1473"/>
          </w:tcPr>
          <w:p>
            <w:pPr>
              <w:spacing w:line="240" w:lineRule="auto"/>
              <w:jc w:val="left"/>
            </w:pPr>
            <w:r>
              <w:rPr>
                <w:rFonts w:ascii="Times New Roman" w:hAnsi="Times New Roman" w:eastAsia="Times New Roman"/>
                <w:b w:val="0"/>
                <w:caps w:val="0"/>
                <w:sz w:val="22"/>
              </w:rPr>
              <w:t>0.824</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0.473</w:t>
            </w:r>
          </w:p>
        </w:tc>
        <w:tc>
          <w:tcPr>
            <w:tcW w:type="dxa" w:w="1473"/>
          </w:tcPr>
          <w:p>
            <w:pPr>
              <w:spacing w:line="240" w:lineRule="auto"/>
              <w:jc w:val="left"/>
            </w:pPr>
            <w:r>
              <w:rPr>
                <w:rFonts w:ascii="Times New Roman" w:hAnsi="Times New Roman" w:eastAsia="Times New Roman"/>
                <w:b w:val="0"/>
                <w:caps w:val="0"/>
                <w:sz w:val="22"/>
              </w:rPr>
              <w:t>0.481</w:t>
            </w:r>
          </w:p>
        </w:tc>
        <w:tc>
          <w:tcPr>
            <w:tcW w:type="dxa" w:w="1473"/>
          </w:tcPr>
          <w:p>
            <w:pPr>
              <w:spacing w:line="240" w:lineRule="auto"/>
              <w:jc w:val="left"/>
            </w:pPr>
            <w:r>
              <w:rPr>
                <w:rFonts w:ascii="Times New Roman" w:hAnsi="Times New Roman" w:eastAsia="Times New Roman"/>
                <w:b w:val="0"/>
                <w:caps w:val="0"/>
                <w:sz w:val="22"/>
              </w:rPr>
              <w:t>0.362</w:t>
            </w:r>
          </w:p>
        </w:tc>
        <w:tc>
          <w:tcPr>
            <w:tcW w:type="dxa" w:w="1473"/>
          </w:tcPr>
          <w:p>
            <w:pPr>
              <w:spacing w:line="240" w:lineRule="auto"/>
              <w:jc w:val="left"/>
            </w:pPr>
            <w:r>
              <w:rPr>
                <w:rFonts w:ascii="Times New Roman" w:hAnsi="Times New Roman" w:eastAsia="Times New Roman"/>
                <w:b w:val="0"/>
                <w:caps w:val="0"/>
                <w:sz w:val="22"/>
              </w:rPr>
              <w:t>0.606</w:t>
            </w:r>
          </w:p>
        </w:tc>
        <w:tc>
          <w:tcPr>
            <w:tcW w:type="dxa" w:w="1473"/>
          </w:tcPr>
          <w:p>
            <w:pPr>
              <w:spacing w:line="240" w:lineRule="auto"/>
              <w:jc w:val="left"/>
            </w:pPr>
            <w:r>
              <w:rPr>
                <w:rFonts w:ascii="Times New Roman" w:hAnsi="Times New Roman" w:eastAsia="Times New Roman"/>
                <w:b w:val="0"/>
                <w:caps w:val="0"/>
                <w:sz w:val="22"/>
              </w:rPr>
              <w:t>0.788</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0.321</w:t>
            </w:r>
          </w:p>
        </w:tc>
        <w:tc>
          <w:tcPr>
            <w:tcW w:type="dxa" w:w="1473"/>
          </w:tcPr>
          <w:p>
            <w:pPr>
              <w:spacing w:line="240" w:lineRule="auto"/>
              <w:jc w:val="left"/>
            </w:pPr>
            <w:r>
              <w:rPr>
                <w:rFonts w:ascii="Times New Roman" w:hAnsi="Times New Roman" w:eastAsia="Times New Roman"/>
                <w:b w:val="0"/>
                <w:caps w:val="0"/>
                <w:sz w:val="22"/>
              </w:rPr>
              <w:t>0.331</w:t>
            </w:r>
          </w:p>
        </w:tc>
        <w:tc>
          <w:tcPr>
            <w:tcW w:type="dxa" w:w="1473"/>
          </w:tcPr>
          <w:p>
            <w:pPr>
              <w:spacing w:line="240" w:lineRule="auto"/>
              <w:jc w:val="left"/>
            </w:pPr>
            <w:r>
              <w:rPr>
                <w:rFonts w:ascii="Times New Roman" w:hAnsi="Times New Roman" w:eastAsia="Times New Roman"/>
                <w:b w:val="0"/>
                <w:caps w:val="0"/>
                <w:sz w:val="22"/>
              </w:rPr>
              <w:t>0.255</w:t>
            </w:r>
          </w:p>
        </w:tc>
        <w:tc>
          <w:tcPr>
            <w:tcW w:type="dxa" w:w="1473"/>
          </w:tcPr>
          <w:p>
            <w:pPr>
              <w:spacing w:line="240" w:lineRule="auto"/>
              <w:jc w:val="left"/>
            </w:pPr>
            <w:r>
              <w:rPr>
                <w:rFonts w:ascii="Times New Roman" w:hAnsi="Times New Roman" w:eastAsia="Times New Roman"/>
                <w:b w:val="0"/>
                <w:caps w:val="0"/>
                <w:sz w:val="22"/>
              </w:rPr>
              <w:t>0.370</w:t>
            </w:r>
          </w:p>
        </w:tc>
        <w:tc>
          <w:tcPr>
            <w:tcW w:type="dxa" w:w="1473"/>
          </w:tcPr>
          <w:p>
            <w:pPr>
              <w:spacing w:line="240" w:lineRule="auto"/>
              <w:jc w:val="left"/>
            </w:pPr>
            <w:r>
              <w:rPr>
                <w:rFonts w:ascii="Times New Roman" w:hAnsi="Times New Roman" w:eastAsia="Times New Roman"/>
                <w:b w:val="0"/>
                <w:caps w:val="0"/>
                <w:sz w:val="22"/>
              </w:rPr>
              <w:t>0.655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0.723</w:t>
            </w:r>
          </w:p>
        </w:tc>
        <w:tc>
          <w:tcPr>
            <w:tcW w:type="dxa" w:w="1473"/>
          </w:tcPr>
          <w:p>
            <w:pPr>
              <w:spacing w:line="240" w:lineRule="auto"/>
              <w:jc w:val="left"/>
            </w:pPr>
            <w:r>
              <w:rPr>
                <w:rFonts w:ascii="Times New Roman" w:hAnsi="Times New Roman" w:eastAsia="Times New Roman"/>
                <w:b w:val="0"/>
                <w:caps w:val="0"/>
                <w:sz w:val="22"/>
              </w:rPr>
              <w:t>0.723</w:t>
            </w:r>
          </w:p>
        </w:tc>
        <w:tc>
          <w:tcPr>
            <w:tcW w:type="dxa" w:w="1473"/>
          </w:tcPr>
          <w:p>
            <w:pPr>
              <w:spacing w:line="240" w:lineRule="auto"/>
              <w:jc w:val="left"/>
            </w:pPr>
            <w:r>
              <w:rPr>
                <w:rFonts w:ascii="Times New Roman" w:hAnsi="Times New Roman" w:eastAsia="Times New Roman"/>
                <w:b w:val="0"/>
                <w:caps w:val="0"/>
                <w:sz w:val="22"/>
              </w:rPr>
              <w:t>0.622</w:t>
            </w:r>
          </w:p>
        </w:tc>
        <w:tc>
          <w:tcPr>
            <w:tcW w:type="dxa" w:w="1473"/>
          </w:tcPr>
          <w:p>
            <w:pPr>
              <w:spacing w:line="240" w:lineRule="auto"/>
              <w:jc w:val="left"/>
            </w:pPr>
            <w:r>
              <w:rPr>
                <w:rFonts w:ascii="Times New Roman" w:hAnsi="Times New Roman" w:eastAsia="Times New Roman"/>
                <w:b w:val="0"/>
                <w:caps w:val="0"/>
                <w:sz w:val="22"/>
              </w:rPr>
              <w:t>0.841</w:t>
            </w:r>
          </w:p>
        </w:tc>
        <w:tc>
          <w:tcPr>
            <w:tcW w:type="dxa" w:w="1473"/>
          </w:tcPr>
          <w:p>
            <w:pPr>
              <w:spacing w:line="240" w:lineRule="auto"/>
              <w:jc w:val="left"/>
            </w:pPr>
            <w:r>
              <w:rPr>
                <w:rFonts w:ascii="Times New Roman" w:hAnsi="Times New Roman" w:eastAsia="Times New Roman"/>
                <w:b w:val="0"/>
                <w:caps w:val="0"/>
                <w:sz w:val="22"/>
              </w:rPr>
              <w:t>0.912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të katër erërat; MCC-ja rritet te Blob (0.539 → 0.540), Data Class (0.473 → 0.481) dhe Feature Envy (0.321 → 0.331), ndërsa te Long Method mbetet e njëjtë. Te prerja, precizioni është të paktën 0.655 te çdo erë dhe arrin 0.912 te Long Method, ndërsa recall-i dhe MCC-ja janë nën ato të modelit te të katër erërat. Me këtë mbyllen rezultatet për PK2. Sa e qëndrueshme është përparësia e njërës qasje kur korpusi rimostrohet jepet te Nënkapitulli 5.7.</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Motori i Nënkapitullit 4.7 u ekzekutua mbi tërë korpusin. Më poshtë jepet sa vende transformoi, pse refuzoi të tjerat, nëse rishkrimet kompilojnë dhe nëse era u hoq, në radhën e pyetjeve që shtron PK3. Mbi 4409 skedarë të korpusit u detektuan 15 800 vende ku motori ka një transformim; prej tyre 3532 u transformuan (Tabela 10).</w:t>
      </w:r>
    </w:p>
    <w:p>
      <w:pPr>
        <w:keepNext/>
        <w:spacing w:line="240" w:lineRule="auto"/>
        <w:jc w:val="center"/>
      </w:pPr>
      <w:r>
        <w:rPr>
          <w:rFonts w:ascii="Times New Roman" w:hAnsi="Times New Roman" w:eastAsia="Times New Roman"/>
          <w:b w:val="0"/>
          <w:caps w:val="0"/>
          <w:sz w:val="22"/>
        </w:rPr>
        <w:t>Tabela 10.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15 800</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3532</w:t>
            </w:r>
          </w:p>
        </w:tc>
        <w:tc>
          <w:tcPr>
            <w:tcW w:type="dxa" w:w="2946"/>
          </w:tcPr>
          <w:p>
            <w:pPr>
              <w:spacing w:line="240" w:lineRule="auto"/>
              <w:jc w:val="left"/>
            </w:pPr>
            <w:r>
              <w:rPr>
                <w:rFonts w:ascii="Times New Roman" w:hAnsi="Times New Roman" w:eastAsia="Times New Roman"/>
                <w:b w:val="0"/>
                <w:caps w:val="0"/>
                <w:sz w:val="22"/>
              </w:rPr>
              <w:t>22.4%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12 252</w:t>
            </w:r>
          </w:p>
        </w:tc>
        <w:tc>
          <w:tcPr>
            <w:tcW w:type="dxa" w:w="2946"/>
          </w:tcPr>
          <w:p>
            <w:pPr>
              <w:spacing w:line="240" w:lineRule="auto"/>
              <w:jc w:val="left"/>
            </w:pPr>
            <w:r>
              <w:rPr>
                <w:rFonts w:ascii="Times New Roman" w:hAnsi="Times New Roman" w:eastAsia="Times New Roman"/>
                <w:b w:val="0"/>
                <w:caps w:val="0"/>
                <w:sz w:val="22"/>
              </w:rPr>
              <w:t>77.5%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16</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 Method 3298 (93.4%), Introduce Parameter Object 155 (4.4%), Replace Nested Conditional with Guard Clauses 79 (2.2%). Refuzimet ndahen sipas arsyes, kuptimi i së cilës jepet te Shtojca 8.4, dhe rishkrimet e aplikuara sipas verdiktit të verifikimit (Tabela 11; Tabela 12).</w:t>
      </w:r>
    </w:p>
    <w:p>
      <w:pPr>
        <w:keepNext/>
        <w:spacing w:line="240" w:lineRule="auto"/>
        <w:jc w:val="center"/>
      </w:pPr>
      <w:r>
        <w:rPr>
          <w:rFonts w:ascii="Times New Roman" w:hAnsi="Times New Roman" w:eastAsia="Times New Roman"/>
          <w:b w:val="0"/>
          <w:caps w:val="0"/>
          <w:sz w:val="22"/>
        </w:rPr>
        <w:t>Tabela 11.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forma e kodit nuk përputhet</w:t>
            </w:r>
          </w:p>
        </w:tc>
        <w:tc>
          <w:tcPr>
            <w:tcW w:type="dxa" w:w="2946"/>
          </w:tcPr>
          <w:p>
            <w:pPr>
              <w:spacing w:line="240" w:lineRule="auto"/>
              <w:jc w:val="left"/>
            </w:pPr>
            <w:r>
              <w:rPr>
                <w:rFonts w:ascii="Times New Roman" w:hAnsi="Times New Roman" w:eastAsia="Times New Roman"/>
                <w:b w:val="0"/>
                <w:caps w:val="0"/>
                <w:sz w:val="22"/>
              </w:rPr>
              <w:t>7154</w:t>
            </w:r>
          </w:p>
        </w:tc>
        <w:tc>
          <w:tcPr>
            <w:tcW w:type="dxa" w:w="2946"/>
          </w:tcPr>
          <w:p>
            <w:pPr>
              <w:spacing w:line="240" w:lineRule="auto"/>
              <w:jc w:val="left"/>
            </w:pPr>
            <w:r>
              <w:rPr>
                <w:rFonts w:ascii="Times New Roman" w:hAnsi="Times New Roman" w:eastAsia="Times New Roman"/>
                <w:b w:val="0"/>
                <w:caps w:val="0"/>
                <w:sz w:val="22"/>
              </w:rPr>
              <w:t>45.3%</w:t>
            </w:r>
          </w:p>
        </w:tc>
      </w:tr>
      <w:tr>
        <w:tc>
          <w:tcPr>
            <w:tcW w:type="dxa" w:w="2946"/>
          </w:tcPr>
          <w:p>
            <w:pPr>
              <w:spacing w:line="240" w:lineRule="auto"/>
              <w:jc w:val="left"/>
            </w:pPr>
            <w:r>
              <w:rPr>
                <w:rFonts w:ascii="Times New Roman" w:hAnsi="Times New Roman" w:eastAsia="Times New Roman"/>
                <w:b w:val="0"/>
                <w:caps w:val="0"/>
                <w:sz w:val="22"/>
              </w:rPr>
              <w:t>rrjedha e kontrollit del nga blloku</w:t>
            </w:r>
          </w:p>
        </w:tc>
        <w:tc>
          <w:tcPr>
            <w:tcW w:type="dxa" w:w="2946"/>
          </w:tcPr>
          <w:p>
            <w:pPr>
              <w:spacing w:line="240" w:lineRule="auto"/>
              <w:jc w:val="left"/>
            </w:pPr>
            <w:r>
              <w:rPr>
                <w:rFonts w:ascii="Times New Roman" w:hAnsi="Times New Roman" w:eastAsia="Times New Roman"/>
                <w:b w:val="0"/>
                <w:caps w:val="0"/>
                <w:sz w:val="22"/>
              </w:rPr>
              <w:t>4050</w:t>
            </w:r>
          </w:p>
        </w:tc>
        <w:tc>
          <w:tcPr>
            <w:tcW w:type="dxa" w:w="2946"/>
          </w:tcPr>
          <w:p>
            <w:pPr>
              <w:spacing w:line="240" w:lineRule="auto"/>
              <w:jc w:val="left"/>
            </w:pPr>
            <w:r>
              <w:rPr>
                <w:rFonts w:ascii="Times New Roman" w:hAnsi="Times New Roman" w:eastAsia="Times New Roman"/>
                <w:b w:val="0"/>
                <w:caps w:val="0"/>
                <w:sz w:val="22"/>
              </w:rPr>
              <w:t>25.6%</w:t>
            </w:r>
          </w:p>
        </w:tc>
      </w:tr>
      <w:tr>
        <w:tc>
          <w:tcPr>
            <w:tcW w:type="dxa" w:w="2946"/>
          </w:tcPr>
          <w:p>
            <w:pPr>
              <w:spacing w:line="240" w:lineRule="auto"/>
              <w:jc w:val="left"/>
            </w:pPr>
            <w:r>
              <w:rPr>
                <w:rFonts w:ascii="Times New Roman" w:hAnsi="Times New Roman" w:eastAsia="Times New Roman"/>
                <w:b w:val="0"/>
                <w:caps w:val="0"/>
                <w:sz w:val="22"/>
              </w:rPr>
              <w:t>vlerë e pacaktuar me siguri</w:t>
            </w:r>
          </w:p>
        </w:tc>
        <w:tc>
          <w:tcPr>
            <w:tcW w:type="dxa" w:w="2946"/>
          </w:tcPr>
          <w:p>
            <w:pPr>
              <w:spacing w:line="240" w:lineRule="auto"/>
              <w:jc w:val="left"/>
            </w:pPr>
            <w:r>
              <w:rPr>
                <w:rFonts w:ascii="Times New Roman" w:hAnsi="Times New Roman" w:eastAsia="Times New Roman"/>
                <w:b w:val="0"/>
                <w:caps w:val="0"/>
                <w:sz w:val="22"/>
              </w:rPr>
              <w:t>621</w:t>
            </w:r>
          </w:p>
        </w:tc>
        <w:tc>
          <w:tcPr>
            <w:tcW w:type="dxa" w:w="2946"/>
          </w:tcPr>
          <w:p>
            <w:pPr>
              <w:spacing w:line="240" w:lineRule="auto"/>
              <w:jc w:val="left"/>
            </w:pPr>
            <w:r>
              <w:rPr>
                <w:rFonts w:ascii="Times New Roman" w:hAnsi="Times New Roman" w:eastAsia="Times New Roman"/>
                <w:b w:val="0"/>
                <w:caps w:val="0"/>
                <w:sz w:val="22"/>
              </w:rPr>
              <w:t>3.9%</w:t>
            </w:r>
          </w:p>
        </w:tc>
      </w:tr>
      <w:tr>
        <w:tc>
          <w:tcPr>
            <w:tcW w:type="dxa" w:w="2946"/>
          </w:tcPr>
          <w:p>
            <w:pPr>
              <w:spacing w:line="240" w:lineRule="auto"/>
              <w:jc w:val="left"/>
            </w:pPr>
            <w:r>
              <w:rPr>
                <w:rFonts w:ascii="Times New Roman" w:hAnsi="Times New Roman" w:eastAsia="Times New Roman"/>
                <w:b w:val="0"/>
                <w:caps w:val="0"/>
                <w:sz w:val="22"/>
              </w:rPr>
              <w:t>më shumë se një vlerë dalëse</w:t>
            </w:r>
          </w:p>
        </w:tc>
        <w:tc>
          <w:tcPr>
            <w:tcW w:type="dxa" w:w="2946"/>
          </w:tcPr>
          <w:p>
            <w:pPr>
              <w:spacing w:line="240" w:lineRule="auto"/>
              <w:jc w:val="left"/>
            </w:pPr>
            <w:r>
              <w:rPr>
                <w:rFonts w:ascii="Times New Roman" w:hAnsi="Times New Roman" w:eastAsia="Times New Roman"/>
                <w:b w:val="0"/>
                <w:caps w:val="0"/>
                <w:sz w:val="22"/>
              </w:rPr>
              <w:t>360</w:t>
            </w:r>
          </w:p>
        </w:tc>
        <w:tc>
          <w:tcPr>
            <w:tcW w:type="dxa" w:w="2946"/>
          </w:tcPr>
          <w:p>
            <w:pPr>
              <w:spacing w:line="240" w:lineRule="auto"/>
              <w:jc w:val="left"/>
            </w:pPr>
            <w:r>
              <w:rPr>
                <w:rFonts w:ascii="Times New Roman" w:hAnsi="Times New Roman" w:eastAsia="Times New Roman"/>
                <w:b w:val="0"/>
                <w:caps w:val="0"/>
                <w:sz w:val="22"/>
              </w:rPr>
              <w:t>2.3%</w:t>
            </w:r>
          </w:p>
        </w:tc>
      </w:tr>
      <w:tr>
        <w:tc>
          <w:tcPr>
            <w:tcW w:type="dxa" w:w="2946"/>
          </w:tcPr>
          <w:p>
            <w:pPr>
              <w:spacing w:line="240" w:lineRule="auto"/>
              <w:jc w:val="left"/>
            </w:pPr>
            <w:r>
              <w:rPr>
                <w:rFonts w:ascii="Times New Roman" w:hAnsi="Times New Roman" w:eastAsia="Times New Roman"/>
                <w:b w:val="0"/>
                <w:caps w:val="0"/>
                <w:sz w:val="22"/>
              </w:rPr>
              <w:t>mbingarkesë e paqartë</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emër i pazgjidhur</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keepNext/>
        <w:spacing w:line="240" w:lineRule="auto"/>
        <w:jc w:val="center"/>
      </w:pPr>
      <w:r>
        <w:rPr>
          <w:rFonts w:ascii="Times New Roman" w:hAnsi="Times New Roman" w:eastAsia="Times New Roman"/>
          <w:b w:val="0"/>
          <w:caps w:val="0"/>
          <w:sz w:val="22"/>
        </w:rPr>
        <w:t>Tabela 12.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3459</w:t>
            </w:r>
          </w:p>
        </w:tc>
        <w:tc>
          <w:tcPr>
            <w:tcW w:type="dxa" w:w="2946"/>
          </w:tcPr>
          <w:p>
            <w:pPr>
              <w:spacing w:line="240" w:lineRule="auto"/>
              <w:jc w:val="left"/>
            </w:pPr>
            <w:r>
              <w:rPr>
                <w:rFonts w:ascii="Times New Roman" w:hAnsi="Times New Roman" w:eastAsia="Times New Roman"/>
                <w:b w:val="0"/>
                <w:caps w:val="0"/>
                <w:sz w:val="22"/>
              </w:rPr>
              <w:t>97.9%</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12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 parsua, pa kompilim</w:t>
            </w:r>
          </w:p>
        </w:tc>
        <w:tc>
          <w:tcPr>
            <w:tcW w:type="dxa" w:w="2946"/>
          </w:tcPr>
          <w:p>
            <w:pPr>
              <w:spacing w:line="240" w:lineRule="auto"/>
              <w:jc w:val="left"/>
            </w:pPr>
            <w:r>
              <w:rPr>
                <w:rFonts w:ascii="Times New Roman" w:hAnsi="Times New Roman" w:eastAsia="Times New Roman"/>
                <w:b w:val="0"/>
                <w:caps w:val="0"/>
                <w:sz w:val="22"/>
              </w:rPr>
              <w:t>3</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3532 rishkrime, 58 futën një gabim që nuk ishte aty më parë (1.64%). Te tri rishkrime javac-u nuk dha verdikt, ndaj për ato dihet vetëm se rishkrimi është Java e vlefshme. Pjesa tjetër ose kompiloi, ose nuk shtoi asnjë lloj të ri gabimi kundrejt skedarit origjinal. Çdo entitet i rishkruar u mat sërish, për të parë nëse detektori ende ndez mbi të (Tabela 13).</w:t>
      </w:r>
    </w:p>
    <w:p>
      <w:pPr>
        <w:keepNext/>
        <w:spacing w:line="240" w:lineRule="auto"/>
        <w:jc w:val="center"/>
      </w:pPr>
      <w:r>
        <w:rPr>
          <w:rFonts w:ascii="Times New Roman" w:hAnsi="Times New Roman" w:eastAsia="Times New Roman"/>
          <w:b w:val="0"/>
          <w:caps w:val="0"/>
          <w:sz w:val="22"/>
        </w:rPr>
        <w:t>Tabela 13.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2287</w:t>
            </w:r>
          </w:p>
        </w:tc>
        <w:tc>
          <w:tcPr>
            <w:tcW w:type="dxa" w:w="2946"/>
          </w:tcPr>
          <w:p>
            <w:pPr>
              <w:spacing w:line="240" w:lineRule="auto"/>
              <w:jc w:val="left"/>
            </w:pPr>
            <w:r>
              <w:rPr>
                <w:rFonts w:ascii="Times New Roman" w:hAnsi="Times New Roman" w:eastAsia="Times New Roman"/>
                <w:b w:val="0"/>
                <w:caps w:val="0"/>
                <w:sz w:val="22"/>
              </w:rPr>
              <w:t>64.8%</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793</w:t>
            </w:r>
          </w:p>
        </w:tc>
        <w:tc>
          <w:tcPr>
            <w:tcW w:type="dxa" w:w="2946"/>
          </w:tcPr>
          <w:p>
            <w:pPr>
              <w:spacing w:line="240" w:lineRule="auto"/>
              <w:jc w:val="left"/>
            </w:pPr>
            <w:r>
              <w:rPr>
                <w:rFonts w:ascii="Times New Roman" w:hAnsi="Times New Roman" w:eastAsia="Times New Roman"/>
                <w:b w:val="0"/>
                <w:caps w:val="0"/>
                <w:sz w:val="22"/>
              </w:rPr>
              <w:t>22.5%</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452</w:t>
            </w:r>
          </w:p>
        </w:tc>
        <w:tc>
          <w:tcPr>
            <w:tcW w:type="dxa" w:w="2946"/>
          </w:tcPr>
          <w:p>
            <w:pPr>
              <w:spacing w:line="240" w:lineRule="auto"/>
              <w:jc w:val="left"/>
            </w:pPr>
            <w:r>
              <w:rPr>
                <w:rFonts w:ascii="Times New Roman" w:hAnsi="Times New Roman" w:eastAsia="Times New Roman"/>
                <w:b w:val="0"/>
                <w:caps w:val="0"/>
                <w:sz w:val="22"/>
              </w:rPr>
              <w:t>12.8%</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Era nuk ndez më te 2287 nga 3532 entitete të rishkruara dhe ndez ende te 793. Te 452 të tjera entiteti nuk u identifikua dot pa mëdyshje, sepse emri i tij nuk ishte unik, si te dy klasa me të njëjtin emër ose te një metodë e mbingarkuar; për to motori nuk jep verdikt në vend që të hamendësojë. Edhe metrika që e ndez detektorin u mat para dhe pas; mesoret mbi vendet e aplikuara janë (Tabela 14):</w:t>
      </w:r>
    </w:p>
    <w:p>
      <w:pPr>
        <w:keepNext/>
        <w:spacing w:line="240" w:lineRule="auto"/>
        <w:jc w:val="center"/>
      </w:pPr>
      <w:r>
        <w:rPr>
          <w:rFonts w:ascii="Times New Roman" w:hAnsi="Times New Roman" w:eastAsia="Times New Roman"/>
          <w:b w:val="0"/>
          <w:caps w:val="0"/>
          <w:sz w:val="22"/>
        </w:rPr>
        <w:t>Tabela 14.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761</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72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865 erëra që nuk ishin aty më parë: Brain Method (55), Deep Nesting (89), Feature Envy (134), God Class (47), Large Class (8), Long Method (165), Long Parameter List (367). E gjithë rrjedha, nga vendi i detektuar te era e hequr, jepet në një figurë, ku çdo shirit shprehet si pjesë e vendeve të detektuara (Figura 10):</w:t>
      </w:r>
    </w:p>
    <w:p>
      <w:pPr>
        <w:keepNext/>
        <w:jc w:val="center"/>
      </w:pPr>
      <w:r>
        <w:drawing>
          <wp:inline xmlns:a="http://schemas.openxmlformats.org/drawingml/2006/main" xmlns:pic="http://schemas.openxmlformats.org/drawingml/2006/picture">
            <wp:extent cx="5120640" cy="2141806"/>
            <wp:docPr id="12" name="Picture 12"/>
            <wp:cNvGraphicFramePr>
              <a:graphicFrameLocks noChangeAspect="1"/>
            </wp:cNvGraphicFramePr>
            <a:graphic>
              <a:graphicData uri="http://schemas.openxmlformats.org/drawingml/2006/picture">
                <pic:pic>
                  <pic:nvPicPr>
                    <pic:cNvPr id="0" name="rrjedha_e_refaktorimit.png"/>
                    <pic:cNvPicPr/>
                  </pic:nvPicPr>
                  <pic:blipFill>
                    <a:blip r:embed="rId22"/>
                    <a:stretch>
                      <a:fillRect/>
                    </a:stretch>
                  </pic:blipFill>
                  <pic:spPr>
                    <a:xfrm>
                      <a:off x="0" y="0"/>
                      <a:ext cx="5120640" cy="2141806"/>
                    </a:xfrm>
                    <a:prstGeom prst="rect"/>
                  </pic:spPr>
                </pic:pic>
              </a:graphicData>
            </a:graphic>
          </wp:inline>
        </w:drawing>
      </w:r>
    </w:p>
    <w:p>
      <w:pPr>
        <w:spacing w:line="240" w:lineRule="auto"/>
        <w:jc w:val="center"/>
      </w:pPr>
      <w:r>
        <w:rPr>
          <w:rFonts w:ascii="Times New Roman" w:hAnsi="Times New Roman" w:eastAsia="Times New Roman"/>
          <w:b w:val="0"/>
          <w:caps w:val="0"/>
          <w:sz w:val="22"/>
        </w:rPr>
        <w:t>Figura 10. Nga vendet e detektuara te erërat e hequra</w:t>
      </w:r>
    </w:p>
    <w:p>
      <w:pPr>
        <w:spacing w:line="360" w:lineRule="auto"/>
        <w:ind w:firstLine="360"/>
        <w:jc w:val="both"/>
      </w:pPr>
      <w:r>
        <w:rPr>
          <w:rFonts w:ascii="Times New Roman" w:hAnsi="Times New Roman" w:eastAsia="Times New Roman"/>
          <w:b w:val="0"/>
          <w:caps w:val="0"/>
          <w:sz w:val="24"/>
        </w:rPr>
        <w:t>Nga 15 800 vende, 3471 (22.0%) dalin të transformuara pa gabim të ri, dhe te 2287 (14.5%) era nuk ndez më. Dy shiritat e fundit janë të dy pjesë e vendeve të transformuara, por maten veç e veç: një rishkrim mund ta heqë erën edhe kur shton një gabim, dhe anasjelltas.</w:t>
      </w:r>
    </w:p>
    <w:p>
      <w:pPr>
        <w:spacing w:line="360" w:lineRule="auto"/>
        <w:ind w:firstLine="360"/>
        <w:jc w:val="both"/>
      </w:pPr>
      <w:r>
        <w:rPr>
          <w:rFonts w:ascii="Times New Roman" w:hAnsi="Times New Roman" w:eastAsia="Times New Roman"/>
          <w:b w:val="0"/>
          <w:caps w:val="0"/>
          <w:sz w:val="24"/>
        </w:rPr>
        <w:t>Mbi mostrën e zgjedhur me farë të Nënkapitullit 4.7, prej 60 skedarësh dhe 201 rishkrimesh, i njëjti rishkrim u kompilua i vetëm dhe brenda projektit të vet (Tabela 15).</w:t>
      </w:r>
    </w:p>
    <w:p>
      <w:pPr>
        <w:keepNext/>
        <w:spacing w:line="240" w:lineRule="auto"/>
        <w:jc w:val="center"/>
      </w:pPr>
      <w:r>
        <w:rPr>
          <w:rFonts w:ascii="Times New Roman" w:hAnsi="Times New Roman" w:eastAsia="Times New Roman"/>
          <w:b w:val="0"/>
          <w:caps w:val="0"/>
          <w:sz w:val="22"/>
        </w:rPr>
        <w:t>Tabela 15.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4</w:t>
            </w:r>
          </w:p>
        </w:tc>
        <w:tc>
          <w:tcPr>
            <w:tcW w:type="dxa" w:w="2946"/>
          </w:tcPr>
          <w:p>
            <w:pPr>
              <w:spacing w:line="240" w:lineRule="auto"/>
              <w:jc w:val="left"/>
            </w:pPr>
            <w:r>
              <w:rPr>
                <w:rFonts w:ascii="Times New Roman" w:hAnsi="Times New Roman" w:eastAsia="Times New Roman"/>
                <w:b w:val="0"/>
                <w:caps w:val="0"/>
                <w:sz w:val="22"/>
              </w:rPr>
              <w:t>66</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197</w:t>
            </w:r>
          </w:p>
        </w:tc>
        <w:tc>
          <w:tcPr>
            <w:tcW w:type="dxa" w:w="2946"/>
          </w:tcPr>
          <w:p>
            <w:pPr>
              <w:spacing w:line="240" w:lineRule="auto"/>
              <w:jc w:val="left"/>
            </w:pPr>
            <w:r>
              <w:rPr>
                <w:rFonts w:ascii="Times New Roman" w:hAnsi="Times New Roman" w:eastAsia="Times New Roman"/>
                <w:b w:val="0"/>
                <w:caps w:val="0"/>
                <w:sz w:val="22"/>
              </w:rPr>
              <w:t>114</w:t>
            </w:r>
          </w:p>
        </w:tc>
      </w:tr>
      <w:tr>
        <w:tc>
          <w:tcPr>
            <w:tcW w:type="dxa" w:w="2946"/>
          </w:tcPr>
          <w:p>
            <w:pPr>
              <w:spacing w:line="240" w:lineRule="auto"/>
              <w:jc w:val="left"/>
            </w:pPr>
            <w:r>
              <w:rPr>
                <w:rFonts w:ascii="Times New Roman" w:hAnsi="Times New Roman" w:eastAsia="Times New Roman"/>
                <w:b w:val="0"/>
                <w:caps w:val="0"/>
                <w:sz w:val="22"/>
              </w:rPr>
              <w:t>i pakontrolluar</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19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4 te 66 nga 201 rishkrime, pra nga 2.0% në 32.8%. Dy nga 201 rishkrimet nuk shtonin lloj të ri gabimi kur kompiloheshin të izoluara, por shtojnë kur kompilohen brenda projektit të vet. Rastet janë Extract Method mbi PlanModifierUtil.fixTopOBSchema(RelNode, Pair, List, boolean) në projektin «hive» dhe Extract Method mbi TypeHierarchyTests.testSupertypeHierarchyOnWorkingCopy() në projektin «eclipse.jdt.core». Gabimet që shtojnë janë «package ImmutableMap does not exist», «package org.eclipse.jface.text does not exist» dhe «package org.eclipse.text.edits does not exist». Pa verdikt mbetën 19 kompilime, nga kufiri kohor ose nga një javac që dështoi pa emërtuar gabim, dhe numërohen si të pakontrolluara, kurrë si sukses.</w:t>
      </w:r>
    </w:p>
    <w:p>
      <w:pPr>
        <w:spacing w:line="360" w:lineRule="auto"/>
        <w:ind w:firstLine="360"/>
        <w:jc w:val="both"/>
      </w:pPr>
      <w:r>
        <w:rPr>
          <w:rFonts w:ascii="Times New Roman" w:hAnsi="Times New Roman" w:eastAsia="Times New Roman"/>
          <w:b w:val="0"/>
          <w:caps w:val="0"/>
          <w:sz w:val="24"/>
        </w:rPr>
        <w:t>Sipas rubrikës së Nënkapitullit 4.7 u lexua një mostër e zgjedhur me farë, prej 60 rishkrimesh, 20 për çdo transformim (Tabela 16; Figura 11).</w:t>
      </w:r>
    </w:p>
    <w:p>
      <w:pPr>
        <w:keepNext/>
        <w:spacing w:line="240" w:lineRule="auto"/>
        <w:jc w:val="center"/>
      </w:pPr>
      <w:r>
        <w:rPr>
          <w:rFonts w:ascii="Times New Roman" w:hAnsi="Times New Roman" w:eastAsia="Times New Roman"/>
          <w:b w:val="0"/>
          <w:caps w:val="0"/>
          <w:sz w:val="22"/>
        </w:rPr>
        <w:t>Tabela 16. Pranueshmëria e rishkrimeve sipas rishikuesit</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tcPr>
          <w:p>
            <w:pPr>
              <w:spacing w:line="240" w:lineRule="auto"/>
              <w:jc w:val="left"/>
            </w:pPr>
            <w:r>
              <w:rPr>
                <w:rFonts w:ascii="Times New Roman" w:hAnsi="Times New Roman" w:eastAsia="Times New Roman"/>
                <w:b/>
                <w:caps w:val="0"/>
                <w:sz w:val="22"/>
              </w:rPr>
              <w:t>Transformimi</w:t>
            </w:r>
          </w:p>
        </w:tc>
        <w:tc>
          <w:tcPr>
            <w:tcW w:type="dxa" w:w="1263"/>
          </w:tcPr>
          <w:p>
            <w:pPr>
              <w:spacing w:line="240" w:lineRule="auto"/>
              <w:jc w:val="left"/>
            </w:pPr>
            <w:r>
              <w:rPr>
                <w:rFonts w:ascii="Times New Roman" w:hAnsi="Times New Roman" w:eastAsia="Times New Roman"/>
                <w:b/>
                <w:caps w:val="0"/>
                <w:sz w:val="22"/>
              </w:rPr>
              <w:t>Të lexuara</w:t>
            </w:r>
          </w:p>
        </w:tc>
        <w:tc>
          <w:tcPr>
            <w:tcW w:type="dxa" w:w="1263"/>
          </w:tcPr>
          <w:p>
            <w:pPr>
              <w:spacing w:line="240" w:lineRule="auto"/>
              <w:jc w:val="left"/>
            </w:pPr>
            <w:r>
              <w:rPr>
                <w:rFonts w:ascii="Times New Roman" w:hAnsi="Times New Roman" w:eastAsia="Times New Roman"/>
                <w:b/>
                <w:caps w:val="0"/>
                <w:sz w:val="22"/>
              </w:rPr>
              <w:t>Ashtu si është</w:t>
            </w:r>
          </w:p>
        </w:tc>
        <w:tc>
          <w:tcPr>
            <w:tcW w:type="dxa" w:w="1263"/>
          </w:tcPr>
          <w:p>
            <w:pPr>
              <w:spacing w:line="240" w:lineRule="auto"/>
              <w:jc w:val="left"/>
            </w:pPr>
            <w:r>
              <w:rPr>
                <w:rFonts w:ascii="Times New Roman" w:hAnsi="Times New Roman" w:eastAsia="Times New Roman"/>
                <w:b/>
                <w:caps w:val="0"/>
                <w:sz w:val="22"/>
              </w:rPr>
              <w:t>Pas ndreqjeje</w:t>
            </w:r>
          </w:p>
        </w:tc>
        <w:tc>
          <w:tcPr>
            <w:tcW w:type="dxa" w:w="1263"/>
          </w:tcPr>
          <w:p>
            <w:pPr>
              <w:spacing w:line="240" w:lineRule="auto"/>
              <w:jc w:val="left"/>
            </w:pPr>
            <w:r>
              <w:rPr>
                <w:rFonts w:ascii="Times New Roman" w:hAnsi="Times New Roman" w:eastAsia="Times New Roman"/>
                <w:b/>
                <w:caps w:val="0"/>
                <w:sz w:val="22"/>
              </w:rPr>
              <w:t>Të refuzuara</w:t>
            </w:r>
          </w:p>
        </w:tc>
        <w:tc>
          <w:tcPr>
            <w:tcW w:type="dxa" w:w="1263"/>
          </w:tcPr>
          <w:p>
            <w:pPr>
              <w:spacing w:line="240" w:lineRule="auto"/>
              <w:jc w:val="left"/>
            </w:pPr>
            <w:r>
              <w:rPr>
                <w:rFonts w:ascii="Times New Roman" w:hAnsi="Times New Roman" w:eastAsia="Times New Roman"/>
                <w:b/>
                <w:caps w:val="0"/>
                <w:sz w:val="22"/>
              </w:rPr>
              <w:t>Të pranueshme</w:t>
            </w:r>
          </w:p>
        </w:tc>
        <w:tc>
          <w:tcPr>
            <w:tcW w:type="dxa" w:w="1263"/>
          </w:tcPr>
          <w:p>
            <w:pPr>
              <w:spacing w:line="240" w:lineRule="auto"/>
              <w:jc w:val="left"/>
            </w:pPr>
            <w:r>
              <w:rPr>
                <w:rFonts w:ascii="Times New Roman" w:hAnsi="Times New Roman" w:eastAsia="Times New Roman"/>
                <w:b/>
                <w:caps w:val="0"/>
                <w:sz w:val="22"/>
              </w:rPr>
              <w:t>IB 95%</w:t>
            </w:r>
          </w:p>
        </w:tc>
      </w:tr>
      <w:tr>
        <w:tc>
          <w:tcPr>
            <w:tcW w:type="dxa" w:w="1263"/>
          </w:tcPr>
          <w:p>
            <w:pPr>
              <w:spacing w:line="240" w:lineRule="auto"/>
              <w:jc w:val="left"/>
            </w:pPr>
            <w:r>
              <w:rPr>
                <w:rFonts w:ascii="Times New Roman" w:hAnsi="Times New Roman" w:eastAsia="Times New Roman"/>
                <w:b w:val="0"/>
                <w:caps w:val="0"/>
                <w:sz w:val="22"/>
              </w:rPr>
              <w:t>Extract Method</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13</w:t>
            </w:r>
          </w:p>
        </w:tc>
        <w:tc>
          <w:tcPr>
            <w:tcW w:type="dxa" w:w="1263"/>
          </w:tcPr>
          <w:p>
            <w:pPr>
              <w:spacing w:line="240" w:lineRule="auto"/>
              <w:jc w:val="left"/>
            </w:pPr>
            <w:r>
              <w:rPr>
                <w:rFonts w:ascii="Times New Roman" w:hAnsi="Times New Roman" w:eastAsia="Times New Roman"/>
                <w:b w:val="0"/>
                <w:caps w:val="0"/>
                <w:sz w:val="22"/>
              </w:rPr>
              <w:t>7</w:t>
            </w:r>
          </w:p>
        </w:tc>
        <w:tc>
          <w:tcPr>
            <w:tcW w:type="dxa" w:w="1263"/>
          </w:tcPr>
          <w:p>
            <w:pPr>
              <w:spacing w:line="240" w:lineRule="auto"/>
              <w:jc w:val="left"/>
            </w:pPr>
            <w:r>
              <w:rPr>
                <w:rFonts w:ascii="Times New Roman" w:hAnsi="Times New Roman" w:eastAsia="Times New Roman"/>
                <w:b w:val="0"/>
                <w:caps w:val="0"/>
                <w:sz w:val="22"/>
              </w:rPr>
              <w:t>65%</w:t>
            </w:r>
          </w:p>
        </w:tc>
        <w:tc>
          <w:tcPr>
            <w:tcW w:type="dxa" w:w="1263"/>
          </w:tcPr>
          <w:p>
            <w:pPr>
              <w:spacing w:line="240" w:lineRule="auto"/>
              <w:jc w:val="left"/>
            </w:pPr>
            <w:r>
              <w:rPr>
                <w:rFonts w:ascii="Times New Roman" w:hAnsi="Times New Roman" w:eastAsia="Times New Roman"/>
                <w:b w:val="0"/>
                <w:caps w:val="0"/>
                <w:sz w:val="22"/>
              </w:rPr>
              <w:t>[0.43, 0.82]</w:t>
            </w:r>
          </w:p>
        </w:tc>
      </w:tr>
      <w:tr>
        <w:tc>
          <w:tcPr>
            <w:tcW w:type="dxa" w:w="1263"/>
          </w:tcPr>
          <w:p>
            <w:pPr>
              <w:spacing w:line="240" w:lineRule="auto"/>
              <w:jc w:val="left"/>
            </w:pPr>
            <w:r>
              <w:rPr>
                <w:rFonts w:ascii="Times New Roman" w:hAnsi="Times New Roman" w:eastAsia="Times New Roman"/>
                <w:b w:val="0"/>
                <w:caps w:val="0"/>
                <w:sz w:val="22"/>
              </w:rPr>
              <w:t>Introduce Parameter Object</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[0.00, 0.16]</w:t>
            </w:r>
          </w:p>
        </w:tc>
      </w:tr>
      <w:tr>
        <w:tc>
          <w:tcPr>
            <w:tcW w:type="dxa" w:w="1263"/>
          </w:tcPr>
          <w:p>
            <w:pPr>
              <w:spacing w:line="240" w:lineRule="auto"/>
              <w:jc w:val="left"/>
            </w:pPr>
            <w:r>
              <w:rPr>
                <w:rFonts w:ascii="Times New Roman" w:hAnsi="Times New Roman" w:eastAsia="Times New Roman"/>
                <w:b w:val="0"/>
                <w:caps w:val="0"/>
                <w:sz w:val="22"/>
              </w:rPr>
              <w:t>Replace Nested Conditional with Guard Clauses</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3</w:t>
            </w:r>
          </w:p>
        </w:tc>
        <w:tc>
          <w:tcPr>
            <w:tcW w:type="dxa" w:w="1263"/>
          </w:tcPr>
          <w:p>
            <w:pPr>
              <w:spacing w:line="240" w:lineRule="auto"/>
              <w:jc w:val="left"/>
            </w:pPr>
            <w:r>
              <w:rPr>
                <w:rFonts w:ascii="Times New Roman" w:hAnsi="Times New Roman" w:eastAsia="Times New Roman"/>
                <w:b w:val="0"/>
                <w:caps w:val="0"/>
                <w:sz w:val="22"/>
              </w:rPr>
              <w:t>17</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100%</w:t>
            </w:r>
          </w:p>
        </w:tc>
        <w:tc>
          <w:tcPr>
            <w:tcW w:type="dxa" w:w="1263"/>
          </w:tcPr>
          <w:p>
            <w:pPr>
              <w:spacing w:line="240" w:lineRule="auto"/>
              <w:jc w:val="left"/>
            </w:pPr>
            <w:r>
              <w:rPr>
                <w:rFonts w:ascii="Times New Roman" w:hAnsi="Times New Roman" w:eastAsia="Times New Roman"/>
                <w:b w:val="0"/>
                <w:caps w:val="0"/>
                <w:sz w:val="22"/>
              </w:rPr>
              <w:t>[0.84, 1.00]</w:t>
            </w:r>
          </w:p>
        </w:tc>
      </w:tr>
    </w:tbl>
    <w:p>
      <w:pPr>
        <w:spacing w:line="240" w:lineRule="auto" w:after="0"/>
      </w:pPr>
    </w:p>
    <w:p>
      <w:pPr>
        <w:keepNext/>
        <w:jc w:val="center"/>
      </w:pPr>
      <w:r>
        <w:drawing>
          <wp:inline xmlns:a="http://schemas.openxmlformats.org/drawingml/2006/main" xmlns:pic="http://schemas.openxmlformats.org/drawingml/2006/picture">
            <wp:extent cx="5120640" cy="2258432"/>
            <wp:docPr id="13" name="Picture 13"/>
            <wp:cNvGraphicFramePr>
              <a:graphicFrameLocks noChangeAspect="1"/>
            </wp:cNvGraphicFramePr>
            <a:graphic>
              <a:graphicData uri="http://schemas.openxmlformats.org/drawingml/2006/picture">
                <pic:pic>
                  <pic:nvPicPr>
                    <pic:cNvPr id="0" name="pranueshmeria_e_rishkrimeve.png"/>
                    <pic:cNvPicPr/>
                  </pic:nvPicPr>
                  <pic:blipFill>
                    <a:blip r:embed="rId23"/>
                    <a:stretch>
                      <a:fillRect/>
                    </a:stretch>
                  </pic:blipFill>
                  <pic:spPr>
                    <a:xfrm>
                      <a:off x="0" y="0"/>
                      <a:ext cx="5120640" cy="225843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11. Pranueshmëria e rishkrimeve sipas transformimit</w:t>
      </w:r>
    </w:p>
    <w:p>
      <w:pPr>
        <w:spacing w:line="360" w:lineRule="auto"/>
        <w:ind w:firstLine="360"/>
        <w:jc w:val="both"/>
      </w:pPr>
      <w:r>
        <w:rPr>
          <w:rFonts w:ascii="Times New Roman" w:hAnsi="Times New Roman" w:eastAsia="Times New Roman"/>
          <w:b w:val="0"/>
          <w:caps w:val="0"/>
          <w:sz w:val="24"/>
        </w:rPr>
        <w:t>Të pranueshme dolën te Replace Nested Conditional with Guard Clauses 20 nga 20 (3 ashtu si janë dhe 17 pas një ndreqjeje); te Extract Method 13 nga 20 (13 pas një ndreqjeje); te Introduce Parameter Object asnjë. Përfitim strukturor u gjykua te 14 nga 20 te Extract Method, 0 nga 20 te Introduce Parameter Object dhe 20 nga 20 te Replace Nested Conditional with Guard Clauses. Gjithsej 26 nga 60 rishkrimet u gjykuan pa përfitim strukturor. E ripeshuar me madhësitë reale të shtresave, norma e pranueshmërisë mbi tërë vendet e rishkruara është 62.9%.</w:t>
      </w:r>
    </w:p>
    <w:p>
      <w:pPr>
        <w:spacing w:line="360" w:lineRule="auto"/>
        <w:ind w:firstLine="360"/>
        <w:jc w:val="both"/>
      </w:pPr>
      <w:r>
        <w:rPr>
          <w:rFonts w:ascii="Times New Roman" w:hAnsi="Times New Roman" w:eastAsia="Times New Roman"/>
          <w:b w:val="0"/>
          <w:caps w:val="0"/>
          <w:sz w:val="24"/>
        </w:rPr>
        <w:t>Një rishkrim u gjykua se e ndryshon sjelljen, gjë që është dështim i parakushteve dhe raportohet si i tillë. Të gjitha rishkrimet e mostrës, përfshirë këtë, e kishin kaluar kontrollin e kompilatorit. Prej tyre, rishikuesi refuzoi 27 rishkrime.</w:t>
      </w:r>
    </w:p>
    <w:p>
      <w:pPr>
        <w:spacing w:line="360" w:lineRule="auto"/>
        <w:ind w:firstLine="360"/>
        <w:jc w:val="both"/>
      </w:pPr>
      <w:r>
        <w:rPr>
          <w:rFonts w:ascii="Times New Roman" w:hAnsi="Times New Roman" w:eastAsia="Times New Roman"/>
          <w:b w:val="0"/>
          <w:caps w:val="0"/>
          <w:sz w:val="24"/>
        </w:rPr>
        <w:t>Norma e përgjithshme e transformimit është 22.4%. E ndarë sipas erës dhe sipas ashpërsisë që sistemi i cakton vendit, ajo shpërndahet kështu (Tabela 17):</w:t>
      </w:r>
    </w:p>
    <w:p>
      <w:pPr>
        <w:keepNext/>
        <w:spacing w:line="240" w:lineRule="auto"/>
        <w:jc w:val="center"/>
      </w:pPr>
      <w:r>
        <w:rPr>
          <w:rFonts w:ascii="Times New Roman" w:hAnsi="Times New Roman" w:eastAsia="Times New Roman"/>
          <w:b w:val="0"/>
          <w:caps w:val="0"/>
          <w:sz w:val="22"/>
        </w:rPr>
        <w:t>Tabela 17.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1334</w:t>
            </w:r>
          </w:p>
        </w:tc>
        <w:tc>
          <w:tcPr>
            <w:tcW w:type="dxa" w:w="1768"/>
          </w:tcPr>
          <w:p>
            <w:pPr>
              <w:spacing w:line="240" w:lineRule="auto"/>
              <w:jc w:val="left"/>
            </w:pPr>
            <w:r>
              <w:rPr>
                <w:rFonts w:ascii="Times New Roman" w:hAnsi="Times New Roman" w:eastAsia="Times New Roman"/>
                <w:b w:val="0"/>
                <w:caps w:val="0"/>
                <w:sz w:val="22"/>
              </w:rPr>
              <w:t>325</w:t>
            </w:r>
          </w:p>
        </w:tc>
        <w:tc>
          <w:tcPr>
            <w:tcW w:type="dxa" w:w="1768"/>
          </w:tcPr>
          <w:p>
            <w:pPr>
              <w:spacing w:line="240" w:lineRule="auto"/>
              <w:jc w:val="left"/>
            </w:pPr>
            <w:r>
              <w:rPr>
                <w:rFonts w:ascii="Times New Roman" w:hAnsi="Times New Roman" w:eastAsia="Times New Roman"/>
                <w:b w:val="0"/>
                <w:caps w:val="0"/>
                <w:sz w:val="22"/>
              </w:rPr>
              <w:t>24.4%</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1496</w:t>
            </w:r>
          </w:p>
        </w:tc>
        <w:tc>
          <w:tcPr>
            <w:tcW w:type="dxa" w:w="1768"/>
          </w:tcPr>
          <w:p>
            <w:pPr>
              <w:spacing w:line="240" w:lineRule="auto"/>
              <w:jc w:val="left"/>
            </w:pPr>
            <w:r>
              <w:rPr>
                <w:rFonts w:ascii="Times New Roman" w:hAnsi="Times New Roman" w:eastAsia="Times New Roman"/>
                <w:b w:val="0"/>
                <w:caps w:val="0"/>
                <w:sz w:val="22"/>
              </w:rPr>
              <w:t>519</w:t>
            </w:r>
          </w:p>
        </w:tc>
        <w:tc>
          <w:tcPr>
            <w:tcW w:type="dxa" w:w="1768"/>
          </w:tcPr>
          <w:p>
            <w:pPr>
              <w:spacing w:line="240" w:lineRule="auto"/>
              <w:jc w:val="left"/>
            </w:pPr>
            <w:r>
              <w:rPr>
                <w:rFonts w:ascii="Times New Roman" w:hAnsi="Times New Roman" w:eastAsia="Times New Roman"/>
                <w:b w:val="0"/>
                <w:caps w:val="0"/>
                <w:sz w:val="22"/>
              </w:rPr>
              <w:t>34.7%</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135</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41.5%</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96</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1383</w:t>
            </w:r>
          </w:p>
        </w:tc>
        <w:tc>
          <w:tcPr>
            <w:tcW w:type="dxa" w:w="1768"/>
          </w:tcPr>
          <w:p>
            <w:pPr>
              <w:spacing w:line="240" w:lineRule="auto"/>
              <w:jc w:val="left"/>
            </w:pPr>
            <w:r>
              <w:rPr>
                <w:rFonts w:ascii="Times New Roman" w:hAnsi="Times New Roman" w:eastAsia="Times New Roman"/>
                <w:b w:val="0"/>
                <w:caps w:val="0"/>
                <w:sz w:val="22"/>
              </w:rPr>
              <w:t>29</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2348</w:t>
            </w:r>
          </w:p>
        </w:tc>
        <w:tc>
          <w:tcPr>
            <w:tcW w:type="dxa" w:w="1768"/>
          </w:tcPr>
          <w:p>
            <w:pPr>
              <w:spacing w:line="240" w:lineRule="auto"/>
              <w:jc w:val="left"/>
            </w:pPr>
            <w:r>
              <w:rPr>
                <w:rFonts w:ascii="Times New Roman" w:hAnsi="Times New Roman" w:eastAsia="Times New Roman"/>
                <w:b w:val="0"/>
                <w:caps w:val="0"/>
                <w:sz w:val="22"/>
              </w:rPr>
              <w:t>48</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tri nga katër erërat, dhe te Deep Nesting dhe Long Method niveli i mesëm ka normë më të lartë se i buti. E bashkuar mbi erërat, niveli kritik del me 25.3% kundrejt 21.7% të niveleve të tjera, renditje e kundërt me atë të erërave veç e veç (paradoksi i Simpson-it): Brain Method ka normë 30.4% dhe 45.0% vende kritike, ndërsa Deep Nesting ka 2.1% dhe 2.5%. Prandaj tabela nuk bashkohet. Brenda çdo niveli ashpërsie, arsyet e refuzimit kanë këtë përbërje (Tabela 18; Figura 12):</w:t>
      </w:r>
    </w:p>
    <w:p>
      <w:pPr>
        <w:keepNext/>
        <w:spacing w:line="240" w:lineRule="auto"/>
        <w:jc w:val="center"/>
      </w:pPr>
      <w:r>
        <w:rPr>
          <w:rFonts w:ascii="Times New Roman" w:hAnsi="Times New Roman" w:eastAsia="Times New Roman"/>
          <w:b w:val="0"/>
          <w:caps w:val="0"/>
          <w:sz w:val="22"/>
        </w:rPr>
        <w:t>Tabela 18.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forma e kodit nuk përputhet</w:t>
            </w:r>
          </w:p>
        </w:tc>
        <w:tc>
          <w:tcPr>
            <w:tcW w:type="dxa" w:w="2209"/>
          </w:tcPr>
          <w:p>
            <w:pPr>
              <w:spacing w:line="240" w:lineRule="auto"/>
              <w:jc w:val="left"/>
            </w:pPr>
            <w:r>
              <w:rPr>
                <w:rFonts w:ascii="Times New Roman" w:hAnsi="Times New Roman" w:eastAsia="Times New Roman"/>
                <w:b w:val="0"/>
                <w:caps w:val="0"/>
                <w:sz w:val="22"/>
              </w:rPr>
              <w:t>75%</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r>
      <w:tr>
        <w:tc>
          <w:tcPr>
            <w:tcW w:type="dxa" w:w="2209"/>
          </w:tcPr>
          <w:p>
            <w:pPr>
              <w:spacing w:line="240" w:lineRule="auto"/>
              <w:jc w:val="left"/>
            </w:pPr>
            <w:r>
              <w:rPr>
                <w:rFonts w:ascii="Times New Roman" w:hAnsi="Times New Roman" w:eastAsia="Times New Roman"/>
                <w:b w:val="0"/>
                <w:caps w:val="0"/>
                <w:sz w:val="22"/>
              </w:rPr>
              <w:t>rrjedha e kontrollit del nga blloku</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34%</w:t>
            </w:r>
          </w:p>
        </w:tc>
        <w:tc>
          <w:tcPr>
            <w:tcW w:type="dxa" w:w="2209"/>
          </w:tcPr>
          <w:p>
            <w:pPr>
              <w:spacing w:line="240" w:lineRule="auto"/>
              <w:jc w:val="left"/>
            </w:pPr>
            <w:r>
              <w:rPr>
                <w:rFonts w:ascii="Times New Roman" w:hAnsi="Times New Roman" w:eastAsia="Times New Roman"/>
                <w:b w:val="0"/>
                <w:caps w:val="0"/>
                <w:sz w:val="22"/>
              </w:rPr>
              <w:t>69%</w:t>
            </w:r>
          </w:p>
        </w:tc>
      </w:tr>
      <w:tr>
        <w:tc>
          <w:tcPr>
            <w:tcW w:type="dxa" w:w="2209"/>
          </w:tcPr>
          <w:p>
            <w:pPr>
              <w:spacing w:line="240" w:lineRule="auto"/>
              <w:jc w:val="left"/>
            </w:pPr>
            <w:r>
              <w:rPr>
                <w:rFonts w:ascii="Times New Roman" w:hAnsi="Times New Roman" w:eastAsia="Times New Roman"/>
                <w:b w:val="0"/>
                <w:caps w:val="0"/>
                <w:sz w:val="22"/>
              </w:rPr>
              <w:t>vlerë e pacaktuar me siguri</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më shumë se një vlerë dalëse</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mbingarkesë e paqartë</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emër i pazgjidhur</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keepNext/>
        <w:jc w:val="center"/>
      </w:pPr>
      <w:r>
        <w:drawing>
          <wp:inline xmlns:a="http://schemas.openxmlformats.org/drawingml/2006/main" xmlns:pic="http://schemas.openxmlformats.org/drawingml/2006/picture">
            <wp:extent cx="5120640" cy="2706886"/>
            <wp:docPr id="14" name="Picture 14"/>
            <wp:cNvGraphicFramePr>
              <a:graphicFrameLocks noChangeAspect="1"/>
            </wp:cNvGraphicFramePr>
            <a:graphic>
              <a:graphicData uri="http://schemas.openxmlformats.org/drawingml/2006/picture">
                <pic:pic>
                  <pic:nvPicPr>
                    <pic:cNvPr id="0" name="refuzimet_sipas_ashpersise.png"/>
                    <pic:cNvPicPr/>
                  </pic:nvPicPr>
                  <pic:blipFill>
                    <a:blip r:embed="rId24"/>
                    <a:stretch>
                      <a:fillRect/>
                    </a:stretch>
                  </pic:blipFill>
                  <pic:spPr>
                    <a:xfrm>
                      <a:off x="0" y="0"/>
                      <a:ext cx="5120640" cy="2706886"/>
                    </a:xfrm>
                    <a:prstGeom prst="rect"/>
                  </pic:spPr>
                </pic:pic>
              </a:graphicData>
            </a:graphic>
          </wp:inline>
        </w:drawing>
      </w:r>
    </w:p>
    <w:p>
      <w:pPr>
        <w:spacing w:line="240" w:lineRule="auto"/>
        <w:jc w:val="center"/>
      </w:pPr>
      <w:r>
        <w:rPr>
          <w:rFonts w:ascii="Times New Roman" w:hAnsi="Times New Roman" w:eastAsia="Times New Roman"/>
          <w:b w:val="0"/>
          <w:caps w:val="0"/>
          <w:sz w:val="22"/>
        </w:rPr>
        <w:t>Figura 12. Dy arsyet kryesore të refuzimit sipas nivelit të ashpërsisë</w:t>
      </w:r>
    </w:p>
    <w:p>
      <w:pPr>
        <w:spacing w:line="360" w:lineRule="auto"/>
        <w:ind w:firstLine="360"/>
        <w:jc w:val="both"/>
      </w:pPr>
      <w:r>
        <w:rPr>
          <w:rFonts w:ascii="Times New Roman" w:hAnsi="Times New Roman" w:eastAsia="Times New Roman"/>
          <w:b w:val="0"/>
          <w:caps w:val="0"/>
          <w:sz w:val="24"/>
        </w:rPr>
        <w:t>Nga niveli minor te critical, pjesa e refuzimeve për formën e kodit kalon nga 75% në 19%, ndërsa ajo për rrjedhën e kontrollit nga 19% në 69%.</w:t>
      </w:r>
    </w:p>
    <w:p>
      <w:pPr>
        <w:spacing w:line="360" w:lineRule="auto"/>
        <w:ind w:firstLine="360"/>
        <w:jc w:val="both"/>
      </w:pPr>
      <w:r>
        <w:rPr>
          <w:rFonts w:ascii="Times New Roman" w:hAnsi="Times New Roman" w:eastAsia="Times New Roman"/>
          <w:b w:val="0"/>
          <w:caps w:val="0"/>
          <w:sz w:val="24"/>
        </w:rPr>
        <w:t>Të njëjtat hapa, të ndarë sipas transformimit, japin këto vlera. Përqindja e të transformuarave llogaritet mbi vendet, dy kolonat pasuese mbi të transformuarat, dhe kolona e fundit vjen nga mostra e lexuar më sipër (Tabela 19):</w:t>
      </w:r>
    </w:p>
    <w:p>
      <w:pPr>
        <w:keepNext/>
        <w:spacing w:line="240" w:lineRule="auto"/>
        <w:jc w:val="center"/>
      </w:pPr>
      <w:r>
        <w:rPr>
          <w:rFonts w:ascii="Times New Roman" w:hAnsi="Times New Roman" w:eastAsia="Times New Roman"/>
          <w:b w:val="0"/>
          <w:caps w:val="0"/>
          <w:sz w:val="22"/>
        </w:rPr>
        <w:t>Tabela 19. Rezultati i refaktorimit sipas transformimit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Transformimi</w:t>
            </w:r>
          </w:p>
        </w:tc>
        <w:tc>
          <w:tcPr>
            <w:tcW w:type="dxa" w:w="1473"/>
          </w:tcPr>
          <w:p>
            <w:pPr>
              <w:spacing w:line="240" w:lineRule="auto"/>
              <w:jc w:val="left"/>
            </w:pPr>
            <w:r>
              <w:rPr>
                <w:rFonts w:ascii="Times New Roman" w:hAnsi="Times New Roman" w:eastAsia="Times New Roman"/>
                <w:b/>
                <w:caps w:val="0"/>
                <w:sz w:val="22"/>
              </w:rPr>
              <w:t>Vende</w:t>
            </w:r>
          </w:p>
        </w:tc>
        <w:tc>
          <w:tcPr>
            <w:tcW w:type="dxa" w:w="1473"/>
          </w:tcPr>
          <w:p>
            <w:pPr>
              <w:spacing w:line="240" w:lineRule="auto"/>
              <w:jc w:val="left"/>
            </w:pPr>
            <w:r>
              <w:rPr>
                <w:rFonts w:ascii="Times New Roman" w:hAnsi="Times New Roman" w:eastAsia="Times New Roman"/>
                <w:b/>
                <w:caps w:val="0"/>
                <w:sz w:val="22"/>
              </w:rPr>
              <w:t>Të transformuara</w:t>
            </w:r>
          </w:p>
        </w:tc>
        <w:tc>
          <w:tcPr>
            <w:tcW w:type="dxa" w:w="1473"/>
          </w:tcPr>
          <w:p>
            <w:pPr>
              <w:spacing w:line="240" w:lineRule="auto"/>
              <w:jc w:val="left"/>
            </w:pPr>
            <w:r>
              <w:rPr>
                <w:rFonts w:ascii="Times New Roman" w:hAnsi="Times New Roman" w:eastAsia="Times New Roman"/>
                <w:b/>
                <w:caps w:val="0"/>
                <w:sz w:val="22"/>
              </w:rPr>
              <w:t>Pa gabim të ri</w:t>
            </w:r>
          </w:p>
        </w:tc>
        <w:tc>
          <w:tcPr>
            <w:tcW w:type="dxa" w:w="1473"/>
          </w:tcPr>
          <w:p>
            <w:pPr>
              <w:spacing w:line="240" w:lineRule="auto"/>
              <w:jc w:val="left"/>
            </w:pPr>
            <w:r>
              <w:rPr>
                <w:rFonts w:ascii="Times New Roman" w:hAnsi="Times New Roman" w:eastAsia="Times New Roman"/>
                <w:b/>
                <w:caps w:val="0"/>
                <w:sz w:val="22"/>
              </w:rPr>
              <w:t>Era u hoq</w:t>
            </w:r>
          </w:p>
        </w:tc>
        <w:tc>
          <w:tcPr>
            <w:tcW w:type="dxa" w:w="1473"/>
          </w:tcPr>
          <w:p>
            <w:pPr>
              <w:spacing w:line="240" w:lineRule="auto"/>
              <w:jc w:val="left"/>
            </w:pPr>
            <w:r>
              <w:rPr>
                <w:rFonts w:ascii="Times New Roman" w:hAnsi="Times New Roman" w:eastAsia="Times New Roman"/>
                <w:b/>
                <w:caps w:val="0"/>
                <w:sz w:val="22"/>
              </w:rPr>
              <w:t>Të pranueshme (mostra)</w:t>
            </w:r>
          </w:p>
        </w:tc>
      </w:tr>
      <w:tr>
        <w:tc>
          <w:tcPr>
            <w:tcW w:type="dxa" w:w="1473"/>
          </w:tcPr>
          <w:p>
            <w:pPr>
              <w:spacing w:line="240" w:lineRule="auto"/>
              <w:jc w:val="left"/>
            </w:pPr>
            <w:r>
              <w:rPr>
                <w:rFonts w:ascii="Times New Roman" w:hAnsi="Times New Roman" w:eastAsia="Times New Roman"/>
                <w:b w:val="0"/>
                <w:caps w:val="0"/>
                <w:sz w:val="22"/>
              </w:rPr>
              <w:t>Extract Method</w:t>
            </w:r>
          </w:p>
        </w:tc>
        <w:tc>
          <w:tcPr>
            <w:tcW w:type="dxa" w:w="1473"/>
          </w:tcPr>
          <w:p>
            <w:pPr>
              <w:spacing w:line="240" w:lineRule="auto"/>
              <w:jc w:val="left"/>
            </w:pPr>
            <w:r>
              <w:rPr>
                <w:rFonts w:ascii="Times New Roman" w:hAnsi="Times New Roman" w:eastAsia="Times New Roman"/>
                <w:b w:val="0"/>
                <w:caps w:val="0"/>
                <w:sz w:val="22"/>
              </w:rPr>
              <w:t>10 115</w:t>
            </w:r>
          </w:p>
        </w:tc>
        <w:tc>
          <w:tcPr>
            <w:tcW w:type="dxa" w:w="1473"/>
          </w:tcPr>
          <w:p>
            <w:pPr>
              <w:spacing w:line="240" w:lineRule="auto"/>
              <w:jc w:val="left"/>
            </w:pPr>
            <w:r>
              <w:rPr>
                <w:rFonts w:ascii="Times New Roman" w:hAnsi="Times New Roman" w:eastAsia="Times New Roman"/>
                <w:b w:val="0"/>
                <w:caps w:val="0"/>
                <w:sz w:val="22"/>
              </w:rPr>
              <w:t>3298 (32.6%)</w:t>
            </w:r>
          </w:p>
        </w:tc>
        <w:tc>
          <w:tcPr>
            <w:tcW w:type="dxa" w:w="1473"/>
          </w:tcPr>
          <w:p>
            <w:pPr>
              <w:spacing w:line="240" w:lineRule="auto"/>
              <w:jc w:val="left"/>
            </w:pPr>
            <w:r>
              <w:rPr>
                <w:rFonts w:ascii="Times New Roman" w:hAnsi="Times New Roman" w:eastAsia="Times New Roman"/>
                <w:b w:val="0"/>
                <w:caps w:val="0"/>
                <w:sz w:val="22"/>
              </w:rPr>
              <w:t>3239 (98.2%)</w:t>
            </w:r>
          </w:p>
        </w:tc>
        <w:tc>
          <w:tcPr>
            <w:tcW w:type="dxa" w:w="1473"/>
          </w:tcPr>
          <w:p>
            <w:pPr>
              <w:spacing w:line="240" w:lineRule="auto"/>
              <w:jc w:val="left"/>
            </w:pPr>
            <w:r>
              <w:rPr>
                <w:rFonts w:ascii="Times New Roman" w:hAnsi="Times New Roman" w:eastAsia="Times New Roman"/>
                <w:b w:val="0"/>
                <w:caps w:val="0"/>
                <w:sz w:val="22"/>
              </w:rPr>
              <w:t>2087 (63.3%)</w:t>
            </w:r>
          </w:p>
        </w:tc>
        <w:tc>
          <w:tcPr>
            <w:tcW w:type="dxa" w:w="1473"/>
          </w:tcPr>
          <w:p>
            <w:pPr>
              <w:spacing w:line="240" w:lineRule="auto"/>
              <w:jc w:val="left"/>
            </w:pPr>
            <w:r>
              <w:rPr>
                <w:rFonts w:ascii="Times New Roman" w:hAnsi="Times New Roman" w:eastAsia="Times New Roman"/>
                <w:b w:val="0"/>
                <w:caps w:val="0"/>
                <w:sz w:val="22"/>
              </w:rPr>
              <w:t>65%</w:t>
            </w:r>
          </w:p>
        </w:tc>
      </w:tr>
      <w:tr>
        <w:tc>
          <w:tcPr>
            <w:tcW w:type="dxa" w:w="1473"/>
          </w:tcPr>
          <w:p>
            <w:pPr>
              <w:spacing w:line="240" w:lineRule="auto"/>
              <w:jc w:val="left"/>
            </w:pPr>
            <w:r>
              <w:rPr>
                <w:rFonts w:ascii="Times New Roman" w:hAnsi="Times New Roman" w:eastAsia="Times New Roman"/>
                <w:b w:val="0"/>
                <w:caps w:val="0"/>
                <w:sz w:val="22"/>
              </w:rPr>
              <w:t>Introduce Parameter Object</w:t>
            </w:r>
          </w:p>
        </w:tc>
        <w:tc>
          <w:tcPr>
            <w:tcW w:type="dxa" w:w="1473"/>
          </w:tcPr>
          <w:p>
            <w:pPr>
              <w:spacing w:line="240" w:lineRule="auto"/>
              <w:jc w:val="left"/>
            </w:pPr>
            <w:r>
              <w:rPr>
                <w:rFonts w:ascii="Times New Roman" w:hAnsi="Times New Roman" w:eastAsia="Times New Roman"/>
                <w:b w:val="0"/>
                <w:caps w:val="0"/>
                <w:sz w:val="22"/>
              </w:rPr>
              <w:t>1842</w:t>
            </w:r>
          </w:p>
        </w:tc>
        <w:tc>
          <w:tcPr>
            <w:tcW w:type="dxa" w:w="1473"/>
          </w:tcPr>
          <w:p>
            <w:pPr>
              <w:spacing w:line="240" w:lineRule="auto"/>
              <w:jc w:val="left"/>
            </w:pPr>
            <w:r>
              <w:rPr>
                <w:rFonts w:ascii="Times New Roman" w:hAnsi="Times New Roman" w:eastAsia="Times New Roman"/>
                <w:b w:val="0"/>
                <w:caps w:val="0"/>
                <w:sz w:val="22"/>
              </w:rPr>
              <w:t>155 (8.4%)</w:t>
            </w:r>
          </w:p>
        </w:tc>
        <w:tc>
          <w:tcPr>
            <w:tcW w:type="dxa" w:w="1473"/>
          </w:tcPr>
          <w:p>
            <w:pPr>
              <w:spacing w:line="240" w:lineRule="auto"/>
              <w:jc w:val="left"/>
            </w:pPr>
            <w:r>
              <w:rPr>
                <w:rFonts w:ascii="Times New Roman" w:hAnsi="Times New Roman" w:eastAsia="Times New Roman"/>
                <w:b w:val="0"/>
                <w:caps w:val="0"/>
                <w:sz w:val="22"/>
              </w:rPr>
              <w:t>153 (98.7%)</w:t>
            </w:r>
          </w:p>
        </w:tc>
        <w:tc>
          <w:tcPr>
            <w:tcW w:type="dxa" w:w="1473"/>
          </w:tcPr>
          <w:p>
            <w:pPr>
              <w:spacing w:line="240" w:lineRule="auto"/>
              <w:jc w:val="left"/>
            </w:pPr>
            <w:r>
              <w:rPr>
                <w:rFonts w:ascii="Times New Roman" w:hAnsi="Times New Roman" w:eastAsia="Times New Roman"/>
                <w:b w:val="0"/>
                <w:caps w:val="0"/>
                <w:sz w:val="22"/>
              </w:rPr>
              <w:t>155 (100.0%)</w:t>
            </w:r>
          </w:p>
        </w:tc>
        <w:tc>
          <w:tcPr>
            <w:tcW w:type="dxa" w:w="1473"/>
          </w:tcPr>
          <w:p>
            <w:pPr>
              <w:spacing w:line="240" w:lineRule="auto"/>
              <w:jc w:val="left"/>
            </w:pPr>
            <w:r>
              <w:rPr>
                <w:rFonts w:ascii="Times New Roman" w:hAnsi="Times New Roman" w:eastAsia="Times New Roman"/>
                <w:b w:val="0"/>
                <w:caps w:val="0"/>
                <w:sz w:val="22"/>
              </w:rPr>
              <w:t>0%</w:t>
            </w:r>
          </w:p>
        </w:tc>
      </w:tr>
      <w:tr>
        <w:tc>
          <w:tcPr>
            <w:tcW w:type="dxa" w:w="1473"/>
          </w:tcPr>
          <w:p>
            <w:pPr>
              <w:spacing w:line="240" w:lineRule="auto"/>
              <w:jc w:val="left"/>
            </w:pPr>
            <w:r>
              <w:rPr>
                <w:rFonts w:ascii="Times New Roman" w:hAnsi="Times New Roman" w:eastAsia="Times New Roman"/>
                <w:b w:val="0"/>
                <w:caps w:val="0"/>
                <w:sz w:val="22"/>
              </w:rPr>
              <w:t>Replace Nested Conditional with Guard Clauses</w:t>
            </w:r>
          </w:p>
        </w:tc>
        <w:tc>
          <w:tcPr>
            <w:tcW w:type="dxa" w:w="1473"/>
          </w:tcPr>
          <w:p>
            <w:pPr>
              <w:spacing w:line="240" w:lineRule="auto"/>
              <w:jc w:val="left"/>
            </w:pPr>
            <w:r>
              <w:rPr>
                <w:rFonts w:ascii="Times New Roman" w:hAnsi="Times New Roman" w:eastAsia="Times New Roman"/>
                <w:b w:val="0"/>
                <w:caps w:val="0"/>
                <w:sz w:val="22"/>
              </w:rPr>
              <w:t>3827</w:t>
            </w:r>
          </w:p>
        </w:tc>
        <w:tc>
          <w:tcPr>
            <w:tcW w:type="dxa" w:w="1473"/>
          </w:tcPr>
          <w:p>
            <w:pPr>
              <w:spacing w:line="240" w:lineRule="auto"/>
              <w:jc w:val="left"/>
            </w:pPr>
            <w:r>
              <w:rPr>
                <w:rFonts w:ascii="Times New Roman" w:hAnsi="Times New Roman" w:eastAsia="Times New Roman"/>
                <w:b w:val="0"/>
                <w:caps w:val="0"/>
                <w:sz w:val="22"/>
              </w:rPr>
              <w:t>79 (2.1%)</w:t>
            </w:r>
          </w:p>
        </w:tc>
        <w:tc>
          <w:tcPr>
            <w:tcW w:type="dxa" w:w="1473"/>
          </w:tcPr>
          <w:p>
            <w:pPr>
              <w:spacing w:line="240" w:lineRule="auto"/>
              <w:jc w:val="left"/>
            </w:pPr>
            <w:r>
              <w:rPr>
                <w:rFonts w:ascii="Times New Roman" w:hAnsi="Times New Roman" w:eastAsia="Times New Roman"/>
                <w:b w:val="0"/>
                <w:caps w:val="0"/>
                <w:sz w:val="22"/>
              </w:rPr>
              <w:t>79 (100.0%)</w:t>
            </w:r>
          </w:p>
        </w:tc>
        <w:tc>
          <w:tcPr>
            <w:tcW w:type="dxa" w:w="1473"/>
          </w:tcPr>
          <w:p>
            <w:pPr>
              <w:spacing w:line="240" w:lineRule="auto"/>
              <w:jc w:val="left"/>
            </w:pPr>
            <w:r>
              <w:rPr>
                <w:rFonts w:ascii="Times New Roman" w:hAnsi="Times New Roman" w:eastAsia="Times New Roman"/>
                <w:b w:val="0"/>
                <w:caps w:val="0"/>
                <w:sz w:val="22"/>
              </w:rPr>
              <w:t>45 (57.0%)</w:t>
            </w:r>
          </w:p>
        </w:tc>
        <w:tc>
          <w:tcPr>
            <w:tcW w:type="dxa" w:w="1473"/>
          </w:tcPr>
          <w:p>
            <w:pPr>
              <w:spacing w:line="240" w:lineRule="auto"/>
              <w:jc w:val="left"/>
            </w:pPr>
            <w:r>
              <w:rPr>
                <w:rFonts w:ascii="Times New Roman" w:hAnsi="Times New Roman" w:eastAsia="Times New Roman"/>
                <w:b w:val="0"/>
                <w:caps w:val="0"/>
                <w:sz w:val="22"/>
              </w:rPr>
              <w:t>100%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 Tabelat e këtij nënkapitulli janë dëshmia për PK3: sa shpesh motori vepron, sa shpesh rishkrimi e ruan kompilueshmërinë dhe sa shpesh e heq erën. Për sjelljen e programit pas rishkrimit ky kapitull nuk jep shifër.</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Me këtë nënkapitull nisin vëzhgimet dytësore. Ai nuk i përgjigjet drejtpërdrejt një pyetjeje, por tregon sa varen shifrat e Nënkapitullit 5.1 nga pragjet e zgjedhura. Secili prag i strategjive u zhvendos veç me faktorët e Nënkapitullit 4.9, ndërsa të tjerët mbetën te vlerat e botuara. Rreshtat renditen sipas amplitudës, pra dallimit mes MCC-së më të lartë dhe më të ulët që jep pragu (Tabela 20; Figura 13):</w:t>
      </w:r>
    </w:p>
    <w:p>
      <w:pPr>
        <w:keepNext/>
        <w:spacing w:line="240" w:lineRule="auto"/>
        <w:jc w:val="center"/>
      </w:pPr>
      <w:r>
        <w:rPr>
          <w:rFonts w:ascii="Times New Roman" w:hAnsi="Times New Roman" w:eastAsia="Times New Roman"/>
          <w:b w:val="0"/>
          <w:caps w:val="0"/>
          <w:sz w:val="22"/>
        </w:rPr>
        <w:t>Tabela 20.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0.617</w:t>
            </w:r>
          </w:p>
        </w:tc>
        <w:tc>
          <w:tcPr>
            <w:tcW w:type="dxa" w:w="1768"/>
          </w:tcPr>
          <w:p>
            <w:pPr>
              <w:spacing w:line="240" w:lineRule="auto"/>
              <w:jc w:val="left"/>
            </w:pPr>
            <w:r>
              <w:rPr>
                <w:rFonts w:ascii="Times New Roman" w:hAnsi="Times New Roman" w:eastAsia="Times New Roman"/>
                <w:b w:val="0"/>
                <w:caps w:val="0"/>
                <w:sz w:val="22"/>
              </w:rPr>
              <w:t>0.341 – 0.724</w:t>
            </w:r>
          </w:p>
        </w:tc>
        <w:tc>
          <w:tcPr>
            <w:tcW w:type="dxa" w:w="1768"/>
          </w:tcPr>
          <w:p>
            <w:pPr>
              <w:spacing w:line="240" w:lineRule="auto"/>
              <w:jc w:val="left"/>
            </w:pPr>
            <w:r>
              <w:rPr>
                <w:rFonts w:ascii="Times New Roman" w:hAnsi="Times New Roman" w:eastAsia="Times New Roman"/>
                <w:b w:val="0"/>
                <w:caps w:val="0"/>
                <w:sz w:val="22"/>
              </w:rPr>
              <w:t>0.383</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0.367</w:t>
            </w:r>
          </w:p>
        </w:tc>
        <w:tc>
          <w:tcPr>
            <w:tcW w:type="dxa" w:w="1768"/>
          </w:tcPr>
          <w:p>
            <w:pPr>
              <w:spacing w:line="240" w:lineRule="auto"/>
              <w:jc w:val="left"/>
            </w:pPr>
            <w:r>
              <w:rPr>
                <w:rFonts w:ascii="Times New Roman" w:hAnsi="Times New Roman" w:eastAsia="Times New Roman"/>
                <w:b w:val="0"/>
                <w:caps w:val="0"/>
                <w:sz w:val="22"/>
              </w:rPr>
              <w:t>0.264 – 0.405</w:t>
            </w:r>
          </w:p>
        </w:tc>
        <w:tc>
          <w:tcPr>
            <w:tcW w:type="dxa" w:w="1768"/>
          </w:tcPr>
          <w:p>
            <w:pPr>
              <w:spacing w:line="240" w:lineRule="auto"/>
              <w:jc w:val="left"/>
            </w:pPr>
            <w:r>
              <w:rPr>
                <w:rFonts w:ascii="Times New Roman" w:hAnsi="Times New Roman" w:eastAsia="Times New Roman"/>
                <w:b w:val="0"/>
                <w:caps w:val="0"/>
                <w:sz w:val="22"/>
              </w:rPr>
              <w:t>0.140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0.336</w:t>
            </w:r>
          </w:p>
        </w:tc>
        <w:tc>
          <w:tcPr>
            <w:tcW w:type="dxa" w:w="1768"/>
          </w:tcPr>
          <w:p>
            <w:pPr>
              <w:spacing w:line="240" w:lineRule="auto"/>
              <w:jc w:val="left"/>
            </w:pPr>
            <w:r>
              <w:rPr>
                <w:rFonts w:ascii="Times New Roman" w:hAnsi="Times New Roman" w:eastAsia="Times New Roman"/>
                <w:b w:val="0"/>
                <w:caps w:val="0"/>
                <w:sz w:val="22"/>
              </w:rPr>
              <w:t>0.256 – 0.357</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0.243</w:t>
            </w:r>
          </w:p>
        </w:tc>
        <w:tc>
          <w:tcPr>
            <w:tcW w:type="dxa" w:w="1768"/>
          </w:tcPr>
          <w:p>
            <w:pPr>
              <w:spacing w:line="240" w:lineRule="auto"/>
              <w:jc w:val="left"/>
            </w:pPr>
            <w:r>
              <w:rPr>
                <w:rFonts w:ascii="Times New Roman" w:hAnsi="Times New Roman" w:eastAsia="Times New Roman"/>
                <w:b w:val="0"/>
                <w:caps w:val="0"/>
                <w:sz w:val="22"/>
              </w:rPr>
              <w:t>0.161 – 0.252</w:t>
            </w:r>
          </w:p>
        </w:tc>
        <w:tc>
          <w:tcPr>
            <w:tcW w:type="dxa" w:w="1768"/>
          </w:tcPr>
          <w:p>
            <w:pPr>
              <w:spacing w:line="240" w:lineRule="auto"/>
              <w:jc w:val="left"/>
            </w:pPr>
            <w:r>
              <w:rPr>
                <w:rFonts w:ascii="Times New Roman" w:hAnsi="Times New Roman" w:eastAsia="Times New Roman"/>
                <w:b w:val="0"/>
                <w:caps w:val="0"/>
                <w:sz w:val="22"/>
              </w:rPr>
              <w:t>0.091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0.336</w:t>
            </w:r>
          </w:p>
        </w:tc>
        <w:tc>
          <w:tcPr>
            <w:tcW w:type="dxa" w:w="1768"/>
          </w:tcPr>
          <w:p>
            <w:pPr>
              <w:spacing w:line="240" w:lineRule="auto"/>
              <w:jc w:val="left"/>
            </w:pPr>
            <w:r>
              <w:rPr>
                <w:rFonts w:ascii="Times New Roman" w:hAnsi="Times New Roman" w:eastAsia="Times New Roman"/>
                <w:b w:val="0"/>
                <w:caps w:val="0"/>
                <w:sz w:val="22"/>
              </w:rPr>
              <w:t>0.269 – 0.353</w:t>
            </w:r>
          </w:p>
        </w:tc>
        <w:tc>
          <w:tcPr>
            <w:tcW w:type="dxa" w:w="1768"/>
          </w:tcPr>
          <w:p>
            <w:pPr>
              <w:spacing w:line="240" w:lineRule="auto"/>
              <w:jc w:val="left"/>
            </w:pPr>
            <w:r>
              <w:rPr>
                <w:rFonts w:ascii="Times New Roman" w:hAnsi="Times New Roman" w:eastAsia="Times New Roman"/>
                <w:b w:val="0"/>
                <w:caps w:val="0"/>
                <w:sz w:val="22"/>
              </w:rPr>
              <w:t>0.084</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0.243</w:t>
            </w:r>
          </w:p>
        </w:tc>
        <w:tc>
          <w:tcPr>
            <w:tcW w:type="dxa" w:w="1768"/>
          </w:tcPr>
          <w:p>
            <w:pPr>
              <w:spacing w:line="240" w:lineRule="auto"/>
              <w:jc w:val="left"/>
            </w:pPr>
            <w:r>
              <w:rPr>
                <w:rFonts w:ascii="Times New Roman" w:hAnsi="Times New Roman" w:eastAsia="Times New Roman"/>
                <w:b w:val="0"/>
                <w:caps w:val="0"/>
                <w:sz w:val="22"/>
              </w:rPr>
              <w:t>0.181 – 0.244</w:t>
            </w:r>
          </w:p>
        </w:tc>
        <w:tc>
          <w:tcPr>
            <w:tcW w:type="dxa" w:w="1768"/>
          </w:tcPr>
          <w:p>
            <w:pPr>
              <w:spacing w:line="240" w:lineRule="auto"/>
              <w:jc w:val="left"/>
            </w:pPr>
            <w:r>
              <w:rPr>
                <w:rFonts w:ascii="Times New Roman" w:hAnsi="Times New Roman" w:eastAsia="Times New Roman"/>
                <w:b w:val="0"/>
                <w:caps w:val="0"/>
                <w:sz w:val="22"/>
              </w:rPr>
              <w:t>0.063</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0.367</w:t>
            </w:r>
          </w:p>
        </w:tc>
        <w:tc>
          <w:tcPr>
            <w:tcW w:type="dxa" w:w="1768"/>
          </w:tcPr>
          <w:p>
            <w:pPr>
              <w:spacing w:line="240" w:lineRule="auto"/>
              <w:jc w:val="left"/>
            </w:pPr>
            <w:r>
              <w:rPr>
                <w:rFonts w:ascii="Times New Roman" w:hAnsi="Times New Roman" w:eastAsia="Times New Roman"/>
                <w:b w:val="0"/>
                <w:caps w:val="0"/>
                <w:sz w:val="22"/>
              </w:rPr>
              <w:t>0.328 – 0.367</w:t>
            </w:r>
          </w:p>
        </w:tc>
        <w:tc>
          <w:tcPr>
            <w:tcW w:type="dxa" w:w="1768"/>
          </w:tcPr>
          <w:p>
            <w:pPr>
              <w:spacing w:line="240" w:lineRule="auto"/>
              <w:jc w:val="left"/>
            </w:pPr>
            <w:r>
              <w:rPr>
                <w:rFonts w:ascii="Times New Roman" w:hAnsi="Times New Roman" w:eastAsia="Times New Roman"/>
                <w:b w:val="0"/>
                <w:caps w:val="0"/>
                <w:sz w:val="22"/>
              </w:rPr>
              <w:t>0.039</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0.243</w:t>
            </w:r>
          </w:p>
        </w:tc>
        <w:tc>
          <w:tcPr>
            <w:tcW w:type="dxa" w:w="1768"/>
          </w:tcPr>
          <w:p>
            <w:pPr>
              <w:spacing w:line="240" w:lineRule="auto"/>
              <w:jc w:val="left"/>
            </w:pPr>
            <w:r>
              <w:rPr>
                <w:rFonts w:ascii="Times New Roman" w:hAnsi="Times New Roman" w:eastAsia="Times New Roman"/>
                <w:b w:val="0"/>
                <w:caps w:val="0"/>
                <w:sz w:val="22"/>
              </w:rPr>
              <w:t>0.232 – 0.265</w:t>
            </w:r>
          </w:p>
        </w:tc>
        <w:tc>
          <w:tcPr>
            <w:tcW w:type="dxa" w:w="1768"/>
          </w:tcPr>
          <w:p>
            <w:pPr>
              <w:spacing w:line="240" w:lineRule="auto"/>
              <w:jc w:val="left"/>
            </w:pPr>
            <w:r>
              <w:rPr>
                <w:rFonts w:ascii="Times New Roman" w:hAnsi="Times New Roman" w:eastAsia="Times New Roman"/>
                <w:b w:val="0"/>
                <w:caps w:val="0"/>
                <w:sz w:val="22"/>
              </w:rPr>
              <w:t>0.033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0.336</w:t>
            </w:r>
          </w:p>
        </w:tc>
        <w:tc>
          <w:tcPr>
            <w:tcW w:type="dxa" w:w="1768"/>
          </w:tcPr>
          <w:p>
            <w:pPr>
              <w:spacing w:line="240" w:lineRule="auto"/>
              <w:jc w:val="left"/>
            </w:pPr>
            <w:r>
              <w:rPr>
                <w:rFonts w:ascii="Times New Roman" w:hAnsi="Times New Roman" w:eastAsia="Times New Roman"/>
                <w:b w:val="0"/>
                <w:caps w:val="0"/>
                <w:sz w:val="22"/>
              </w:rPr>
              <w:t>0.320 – 0.342</w:t>
            </w:r>
          </w:p>
        </w:tc>
        <w:tc>
          <w:tcPr>
            <w:tcW w:type="dxa" w:w="1768"/>
          </w:tcPr>
          <w:p>
            <w:pPr>
              <w:spacing w:line="240" w:lineRule="auto"/>
              <w:jc w:val="left"/>
            </w:pPr>
            <w:r>
              <w:rPr>
                <w:rFonts w:ascii="Times New Roman" w:hAnsi="Times New Roman" w:eastAsia="Times New Roman"/>
                <w:b w:val="0"/>
                <w:caps w:val="0"/>
                <w:sz w:val="22"/>
              </w:rPr>
              <w:t>0.022</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0.367</w:t>
            </w:r>
          </w:p>
        </w:tc>
        <w:tc>
          <w:tcPr>
            <w:tcW w:type="dxa" w:w="1768"/>
          </w:tcPr>
          <w:p>
            <w:pPr>
              <w:spacing w:line="240" w:lineRule="auto"/>
              <w:jc w:val="left"/>
            </w:pPr>
            <w:r>
              <w:rPr>
                <w:rFonts w:ascii="Times New Roman" w:hAnsi="Times New Roman" w:eastAsia="Times New Roman"/>
                <w:b w:val="0"/>
                <w:caps w:val="0"/>
                <w:sz w:val="22"/>
              </w:rPr>
              <w:t>0.363 – 0.369</w:t>
            </w:r>
          </w:p>
        </w:tc>
        <w:tc>
          <w:tcPr>
            <w:tcW w:type="dxa" w:w="1768"/>
          </w:tcPr>
          <w:p>
            <w:pPr>
              <w:spacing w:line="240" w:lineRule="auto"/>
              <w:jc w:val="left"/>
            </w:pPr>
            <w:r>
              <w:rPr>
                <w:rFonts w:ascii="Times New Roman" w:hAnsi="Times New Roman" w:eastAsia="Times New Roman"/>
                <w:b w:val="0"/>
                <w:caps w:val="0"/>
                <w:sz w:val="22"/>
              </w:rPr>
              <w:t>0.006</w:t>
            </w:r>
          </w:p>
        </w:tc>
      </w:tr>
    </w:tbl>
    <w:p>
      <w:pPr>
        <w:spacing w:line="240" w:lineRule="auto" w:after="0"/>
      </w:pPr>
    </w:p>
    <w:p>
      <w:pPr>
        <w:keepNext/>
        <w:jc w:val="center"/>
      </w:pPr>
      <w:r>
        <w:drawing>
          <wp:inline xmlns:a="http://schemas.openxmlformats.org/drawingml/2006/main" xmlns:pic="http://schemas.openxmlformats.org/drawingml/2006/picture">
            <wp:extent cx="5120640" cy="3172826"/>
            <wp:docPr id="15" name="Picture 15"/>
            <wp:cNvGraphicFramePr>
              <a:graphicFrameLocks noChangeAspect="1"/>
            </wp:cNvGraphicFramePr>
            <a:graphic>
              <a:graphicData uri="http://schemas.openxmlformats.org/drawingml/2006/picture">
                <pic:pic>
                  <pic:nvPicPr>
                    <pic:cNvPr id="0" name="ndjeshmeria_e_pragjeve.png"/>
                    <pic:cNvPicPr/>
                  </pic:nvPicPr>
                  <pic:blipFill>
                    <a:blip r:embed="rId25"/>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13. Ndjeshmëria e MCC-së ndaj zhvendosjes së pragjeve</w:t>
      </w:r>
    </w:p>
    <w:p>
      <w:pPr>
        <w:spacing w:line="360" w:lineRule="auto"/>
        <w:ind w:firstLine="360"/>
        <w:jc w:val="both"/>
      </w:pPr>
      <w:r>
        <w:rPr>
          <w:rFonts w:ascii="Times New Roman" w:hAnsi="Times New Roman" w:eastAsia="Times New Roman"/>
          <w:b w:val="0"/>
          <w:caps w:val="0"/>
          <w:sz w:val="24"/>
        </w:rPr>
        <w:t>Amplituda kalon 0.2 vetëm te Long Method; te Data Class, Blob dhe Feature Envy asnjë prag nuk e lëviz MCC-në më shumë se 0.140. Vlera me MCC-në më të lartë është long_method_loc = 15 në vend të 30 te Long Method (MCC 0.724; recall 0.470 → 0.926, precizion 0.888 → 0.625) dhe feature_envy_fdp = 10 në vend të 5 te Feature Envy (MCC 0.252; recall 0.188 → 0.224, precizion 0.413 → 0.381).</w:t>
      </w:r>
    </w:p>
    <w:p>
      <w:pPr>
        <w:spacing w:line="360" w:lineRule="auto"/>
        <w:ind w:firstLine="360"/>
        <w:jc w:val="both"/>
      </w:pPr>
      <w:r>
        <w:rPr>
          <w:rFonts w:ascii="Times New Roman" w:hAnsi="Times New Roman" w:eastAsia="Times New Roman"/>
          <w:b w:val="0"/>
          <w:caps w:val="0"/>
          <w:sz w:val="24"/>
        </w:rPr>
        <w:t>Me kalibrimin jashtë fold-it (pesë folde sipas depos, Nënkapitulli 4.9), rregullat arrijnë këto vlera; kolona e fundit jep pragun që zgjodhi secili fold dhe sa herë u zgjodh (Tabela 21):</w:t>
      </w:r>
    </w:p>
    <w:p>
      <w:pPr>
        <w:keepNext/>
        <w:spacing w:line="240" w:lineRule="auto"/>
        <w:jc w:val="center"/>
      </w:pPr>
      <w:r>
        <w:rPr>
          <w:rFonts w:ascii="Times New Roman" w:hAnsi="Times New Roman" w:eastAsia="Times New Roman"/>
          <w:b w:val="0"/>
          <w:caps w:val="0"/>
          <w:sz w:val="22"/>
        </w:rPr>
        <w:t>Tabela 21.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0.336</w:t>
            </w:r>
          </w:p>
        </w:tc>
        <w:tc>
          <w:tcPr>
            <w:tcW w:type="dxa" w:w="1473"/>
          </w:tcPr>
          <w:p>
            <w:pPr>
              <w:spacing w:line="240" w:lineRule="auto"/>
              <w:jc w:val="left"/>
            </w:pPr>
            <w:r>
              <w:rPr>
                <w:rFonts w:ascii="Times New Roman" w:hAnsi="Times New Roman" w:eastAsia="Times New Roman"/>
                <w:b w:val="0"/>
                <w:caps w:val="0"/>
                <w:sz w:val="22"/>
              </w:rPr>
              <w:t>0.337</w:t>
            </w:r>
          </w:p>
        </w:tc>
        <w:tc>
          <w:tcPr>
            <w:tcW w:type="dxa" w:w="1473"/>
          </w:tcPr>
          <w:p>
            <w:pPr>
              <w:spacing w:line="240" w:lineRule="auto"/>
              <w:jc w:val="left"/>
            </w:pPr>
            <w:r>
              <w:rPr>
                <w:rFonts w:ascii="Times New Roman" w:hAnsi="Times New Roman" w:eastAsia="Times New Roman"/>
                <w:b w:val="0"/>
                <w:caps w:val="0"/>
                <w:sz w:val="22"/>
              </w:rPr>
              <w:t>0.174 → 0.196</w:t>
            </w:r>
          </w:p>
        </w:tc>
        <w:tc>
          <w:tcPr>
            <w:tcW w:type="dxa" w:w="1473"/>
          </w:tcPr>
          <w:p>
            <w:pPr>
              <w:spacing w:line="240" w:lineRule="auto"/>
              <w:jc w:val="left"/>
            </w:pPr>
            <w:r>
              <w:rPr>
                <w:rFonts w:ascii="Times New Roman" w:hAnsi="Times New Roman" w:eastAsia="Times New Roman"/>
                <w:b w:val="0"/>
                <w:caps w:val="0"/>
                <w:sz w:val="22"/>
              </w:rPr>
              <w:t>0.816 → 0.753</w:t>
            </w:r>
          </w:p>
        </w:tc>
        <w:tc>
          <w:tcPr>
            <w:tcW w:type="dxa" w:w="1473"/>
          </w:tcPr>
          <w:p>
            <w:pPr>
              <w:spacing w:line="240" w:lineRule="auto"/>
              <w:jc w:val="left"/>
            </w:pPr>
            <w:r>
              <w:rPr>
                <w:rFonts w:ascii="Times New Roman" w:hAnsi="Times New Roman" w:eastAsia="Times New Roman"/>
                <w:b w:val="0"/>
                <w:caps w:val="0"/>
                <w:sz w:val="22"/>
              </w:rPr>
              <w:t>god_class_tcc = 0.5 (1×), 0.6667 (2×); god_class_wmc = 23.5 (1×), 35.25 (1×)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0.367</w:t>
            </w:r>
          </w:p>
        </w:tc>
        <w:tc>
          <w:tcPr>
            <w:tcW w:type="dxa" w:w="1473"/>
          </w:tcPr>
          <w:p>
            <w:pPr>
              <w:spacing w:line="240" w:lineRule="auto"/>
              <w:jc w:val="left"/>
            </w:pPr>
            <w:r>
              <w:rPr>
                <w:rFonts w:ascii="Times New Roman" w:hAnsi="Times New Roman" w:eastAsia="Times New Roman"/>
                <w:b w:val="0"/>
                <w:caps w:val="0"/>
                <w:sz w:val="22"/>
              </w:rPr>
              <w:t>0.405</w:t>
            </w:r>
          </w:p>
        </w:tc>
        <w:tc>
          <w:tcPr>
            <w:tcW w:type="dxa" w:w="1473"/>
          </w:tcPr>
          <w:p>
            <w:pPr>
              <w:spacing w:line="240" w:lineRule="auto"/>
              <w:jc w:val="left"/>
            </w:pPr>
            <w:r>
              <w:rPr>
                <w:rFonts w:ascii="Times New Roman" w:hAnsi="Times New Roman" w:eastAsia="Times New Roman"/>
                <w:b w:val="0"/>
                <w:caps w:val="0"/>
                <w:sz w:val="22"/>
              </w:rPr>
              <w:t>0.230 → 0.345</w:t>
            </w:r>
          </w:p>
        </w:tc>
        <w:tc>
          <w:tcPr>
            <w:tcW w:type="dxa" w:w="1473"/>
          </w:tcPr>
          <w:p>
            <w:pPr>
              <w:spacing w:line="240" w:lineRule="auto"/>
              <w:jc w:val="left"/>
            </w:pPr>
            <w:r>
              <w:rPr>
                <w:rFonts w:ascii="Times New Roman" w:hAnsi="Times New Roman" w:eastAsia="Times New Roman"/>
                <w:b w:val="0"/>
                <w:caps w:val="0"/>
                <w:sz w:val="22"/>
              </w:rPr>
              <w:t>0.765 → 0.657</w:t>
            </w:r>
          </w:p>
        </w:tc>
        <w:tc>
          <w:tcPr>
            <w:tcW w:type="dxa" w:w="1473"/>
          </w:tcPr>
          <w:p>
            <w:pPr>
              <w:spacing w:line="240" w:lineRule="auto"/>
              <w:jc w:val="left"/>
            </w:pPr>
            <w:r>
              <w:rPr>
                <w:rFonts w:ascii="Times New Roman" w:hAnsi="Times New Roman" w:eastAsia="Times New Roman"/>
                <w:b w:val="0"/>
                <w:caps w:val="0"/>
                <w:sz w:val="22"/>
              </w:rPr>
              <w:t>data_class_public_members = 2.5 (5×)</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0.243</w:t>
            </w:r>
          </w:p>
        </w:tc>
        <w:tc>
          <w:tcPr>
            <w:tcW w:type="dxa" w:w="1473"/>
          </w:tcPr>
          <w:p>
            <w:pPr>
              <w:spacing w:line="240" w:lineRule="auto"/>
              <w:jc w:val="left"/>
            </w:pPr>
            <w:r>
              <w:rPr>
                <w:rFonts w:ascii="Times New Roman" w:hAnsi="Times New Roman" w:eastAsia="Times New Roman"/>
                <w:b w:val="0"/>
                <w:caps w:val="0"/>
                <w:sz w:val="22"/>
              </w:rPr>
              <w:t>0.224</w:t>
            </w:r>
          </w:p>
        </w:tc>
        <w:tc>
          <w:tcPr>
            <w:tcW w:type="dxa" w:w="1473"/>
          </w:tcPr>
          <w:p>
            <w:pPr>
              <w:spacing w:line="240" w:lineRule="auto"/>
              <w:jc w:val="left"/>
            </w:pPr>
            <w:r>
              <w:rPr>
                <w:rFonts w:ascii="Times New Roman" w:hAnsi="Times New Roman" w:eastAsia="Times New Roman"/>
                <w:b w:val="0"/>
                <w:caps w:val="0"/>
                <w:sz w:val="22"/>
              </w:rPr>
              <w:t>0.188 → 0.194</w:t>
            </w:r>
          </w:p>
        </w:tc>
        <w:tc>
          <w:tcPr>
            <w:tcW w:type="dxa" w:w="1473"/>
          </w:tcPr>
          <w:p>
            <w:pPr>
              <w:spacing w:line="240" w:lineRule="auto"/>
              <w:jc w:val="left"/>
            </w:pPr>
            <w:r>
              <w:rPr>
                <w:rFonts w:ascii="Times New Roman" w:hAnsi="Times New Roman" w:eastAsia="Times New Roman"/>
                <w:b w:val="0"/>
                <w:caps w:val="0"/>
                <w:sz w:val="22"/>
              </w:rPr>
              <w:t>0.413 → 0.360</w:t>
            </w:r>
          </w:p>
        </w:tc>
        <w:tc>
          <w:tcPr>
            <w:tcW w:type="dxa" w:w="1473"/>
          </w:tcPr>
          <w:p>
            <w:pPr>
              <w:spacing w:line="240" w:lineRule="auto"/>
              <w:jc w:val="left"/>
            </w:pPr>
            <w:r>
              <w:rPr>
                <w:rFonts w:ascii="Times New Roman" w:hAnsi="Times New Roman" w:eastAsia="Times New Roman"/>
                <w:b w:val="0"/>
                <w:caps w:val="0"/>
                <w:sz w:val="22"/>
              </w:rPr>
              <w:t>feature_envy_fdp = 10.0 (1×); feature_envy_laa = 0.25 (1×), 0.5 (1×), 0.6667 (2×)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0.617</w:t>
            </w:r>
          </w:p>
        </w:tc>
        <w:tc>
          <w:tcPr>
            <w:tcW w:type="dxa" w:w="1473"/>
          </w:tcPr>
          <w:p>
            <w:pPr>
              <w:spacing w:line="240" w:lineRule="auto"/>
              <w:jc w:val="left"/>
            </w:pPr>
            <w:r>
              <w:rPr>
                <w:rFonts w:ascii="Times New Roman" w:hAnsi="Times New Roman" w:eastAsia="Times New Roman"/>
                <w:b w:val="0"/>
                <w:caps w:val="0"/>
                <w:sz w:val="22"/>
              </w:rPr>
              <w:t>0.698</w:t>
            </w:r>
          </w:p>
        </w:tc>
        <w:tc>
          <w:tcPr>
            <w:tcW w:type="dxa" w:w="1473"/>
          </w:tcPr>
          <w:p>
            <w:pPr>
              <w:spacing w:line="240" w:lineRule="auto"/>
              <w:jc w:val="left"/>
            </w:pPr>
            <w:r>
              <w:rPr>
                <w:rFonts w:ascii="Times New Roman" w:hAnsi="Times New Roman" w:eastAsia="Times New Roman"/>
                <w:b w:val="0"/>
                <w:caps w:val="0"/>
                <w:sz w:val="22"/>
              </w:rPr>
              <w:t>0.470 → 0.796</w:t>
            </w:r>
          </w:p>
        </w:tc>
        <w:tc>
          <w:tcPr>
            <w:tcW w:type="dxa" w:w="1473"/>
          </w:tcPr>
          <w:p>
            <w:pPr>
              <w:spacing w:line="240" w:lineRule="auto"/>
              <w:jc w:val="left"/>
            </w:pPr>
            <w:r>
              <w:rPr>
                <w:rFonts w:ascii="Times New Roman" w:hAnsi="Times New Roman" w:eastAsia="Times New Roman"/>
                <w:b w:val="0"/>
                <w:caps w:val="0"/>
                <w:sz w:val="22"/>
              </w:rPr>
              <w:t>0.888 → 0.680</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Të gjitha foldet zgjodhën të njëjtën vlerë vetëm te Data Class; te Long Method ranë dakord për pragun, por jo për vlerën; te Blob tri folde lëvizën god_class_tcc dhe dy folde lëvizën god_class_wmc; te Feature Envy katër folde lëvizën feature_envy_laa dhe një fold lëvizi feature_envy_fdp. Recall-i u rrit te të katër erërat, precizioni te asnjëra, dhe MCC-ja te tri nga katër erërat. Për Long Method, vlera më e mirë e zhvendosjes së pragut mbi tërë korpusin është 0.724, ndërsa kalibrimi jashtë fold-it jep 0.698.</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Detektorët e Qasjes A krahasohen këtu me PMD-në, një mjet të lirë e të përhapur që zbaton rregulla të ngjashme, mbi të njëjtat mostra dhe me të njëjtin pikëzim. PMD 7.27.0 u ekzekutua mbi të njëjtat 512 depo, me pragjet e veta të parazgjedhura, dhe u pikëzua me të njëjtin kod dhe të njëjtin agregim si Qasja A. Të dyja kolonat rillogariten nga i njëjti skedar në të njëjtin ekzekutim (Tabela 22).</w:t>
      </w:r>
    </w:p>
    <w:p>
      <w:pPr>
        <w:keepNext/>
        <w:spacing w:line="240" w:lineRule="auto"/>
        <w:jc w:val="center"/>
      </w:pPr>
      <w:r>
        <w:rPr>
          <w:rFonts w:ascii="Times New Roman" w:hAnsi="Times New Roman" w:eastAsia="Times New Roman"/>
          <w:b w:val="0"/>
          <w:caps w:val="0"/>
          <w:sz w:val="22"/>
        </w:rPr>
        <w:t>Tabela 22.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i punimit</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2035</w:t>
            </w:r>
          </w:p>
        </w:tc>
        <w:tc>
          <w:tcPr>
            <w:tcW w:type="dxa" w:w="1768"/>
          </w:tcPr>
          <w:p>
            <w:pPr>
              <w:spacing w:line="240" w:lineRule="auto"/>
              <w:jc w:val="left"/>
            </w:pPr>
            <w:r>
              <w:rPr>
                <w:rFonts w:ascii="Times New Roman" w:hAnsi="Times New Roman" w:eastAsia="Times New Roman"/>
                <w:b w:val="0"/>
                <w:caps w:val="0"/>
                <w:sz w:val="22"/>
              </w:rPr>
              <w:t>0.382</w:t>
            </w:r>
          </w:p>
        </w:tc>
        <w:tc>
          <w:tcPr>
            <w:tcW w:type="dxa" w:w="1768"/>
          </w:tcPr>
          <w:p>
            <w:pPr>
              <w:spacing w:line="240" w:lineRule="auto"/>
              <w:jc w:val="left"/>
            </w:pPr>
            <w:r>
              <w:rPr>
                <w:rFonts w:ascii="Times New Roman" w:hAnsi="Times New Roman" w:eastAsia="Times New Roman"/>
                <w:b w:val="0"/>
                <w:caps w:val="0"/>
                <w:sz w:val="22"/>
              </w:rPr>
              <w:t>0.342</w:t>
            </w:r>
          </w:p>
        </w:tc>
        <w:tc>
          <w:tcPr>
            <w:tcW w:type="dxa" w:w="1768"/>
          </w:tcPr>
          <w:p>
            <w:pPr>
              <w:spacing w:line="240" w:lineRule="auto"/>
              <w:jc w:val="left"/>
            </w:pPr>
            <w:r>
              <w:rPr>
                <w:rFonts w:ascii="Times New Roman" w:hAnsi="Times New Roman" w:eastAsia="Times New Roman"/>
                <w:b w:val="0"/>
                <w:caps w:val="0"/>
                <w:sz w:val="22"/>
              </w:rPr>
              <w:t>-0.088 deri +0.008</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2035</w:t>
            </w:r>
          </w:p>
        </w:tc>
        <w:tc>
          <w:tcPr>
            <w:tcW w:type="dxa" w:w="1768"/>
          </w:tcPr>
          <w:p>
            <w:pPr>
              <w:spacing w:line="240" w:lineRule="auto"/>
              <w:jc w:val="left"/>
            </w:pPr>
            <w:r>
              <w:rPr>
                <w:rFonts w:ascii="Times New Roman" w:hAnsi="Times New Roman" w:eastAsia="Times New Roman"/>
                <w:b w:val="0"/>
                <w:caps w:val="0"/>
                <w:sz w:val="22"/>
              </w:rPr>
              <w:t>0.382</w:t>
            </w:r>
          </w:p>
        </w:tc>
        <w:tc>
          <w:tcPr>
            <w:tcW w:type="dxa" w:w="1768"/>
          </w:tcPr>
          <w:p>
            <w:pPr>
              <w:spacing w:line="240" w:lineRule="auto"/>
              <w:jc w:val="left"/>
            </w:pPr>
            <w:r>
              <w:rPr>
                <w:rFonts w:ascii="Times New Roman" w:hAnsi="Times New Roman" w:eastAsia="Times New Roman"/>
                <w:b w:val="0"/>
                <w:caps w:val="0"/>
                <w:sz w:val="22"/>
              </w:rPr>
              <w:t>0.487</w:t>
            </w:r>
          </w:p>
        </w:tc>
        <w:tc>
          <w:tcPr>
            <w:tcW w:type="dxa" w:w="1768"/>
          </w:tcPr>
          <w:p>
            <w:pPr>
              <w:spacing w:line="240" w:lineRule="auto"/>
              <w:jc w:val="left"/>
            </w:pPr>
            <w:r>
              <w:rPr>
                <w:rFonts w:ascii="Times New Roman" w:hAnsi="Times New Roman" w:eastAsia="Times New Roman"/>
                <w:b w:val="0"/>
                <w:caps w:val="0"/>
                <w:sz w:val="22"/>
              </w:rPr>
              <w:t>+0.054 deri +0.158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2038</w:t>
            </w:r>
          </w:p>
        </w:tc>
        <w:tc>
          <w:tcPr>
            <w:tcW w:type="dxa" w:w="1768"/>
          </w:tcPr>
          <w:p>
            <w:pPr>
              <w:spacing w:line="240" w:lineRule="auto"/>
              <w:jc w:val="left"/>
            </w:pPr>
            <w:r>
              <w:rPr>
                <w:rFonts w:ascii="Times New Roman" w:hAnsi="Times New Roman" w:eastAsia="Times New Roman"/>
                <w:b w:val="0"/>
                <w:caps w:val="0"/>
                <w:sz w:val="22"/>
              </w:rPr>
              <w:t>0.319</w:t>
            </w:r>
          </w:p>
        </w:tc>
        <w:tc>
          <w:tcPr>
            <w:tcW w:type="dxa" w:w="1768"/>
          </w:tcPr>
          <w:p>
            <w:pPr>
              <w:spacing w:line="240" w:lineRule="auto"/>
              <w:jc w:val="left"/>
            </w:pPr>
            <w:r>
              <w:rPr>
                <w:rFonts w:ascii="Times New Roman" w:hAnsi="Times New Roman" w:eastAsia="Times New Roman"/>
                <w:b w:val="0"/>
                <w:caps w:val="0"/>
                <w:sz w:val="22"/>
              </w:rPr>
              <w:t>0.365</w:t>
            </w:r>
          </w:p>
        </w:tc>
        <w:tc>
          <w:tcPr>
            <w:tcW w:type="dxa" w:w="1768"/>
          </w:tcPr>
          <w:p>
            <w:pPr>
              <w:spacing w:line="240" w:lineRule="auto"/>
              <w:jc w:val="left"/>
            </w:pPr>
            <w:r>
              <w:rPr>
                <w:rFonts w:ascii="Times New Roman" w:hAnsi="Times New Roman" w:eastAsia="Times New Roman"/>
                <w:b w:val="0"/>
                <w:caps w:val="0"/>
                <w:sz w:val="22"/>
              </w:rPr>
              <w:t>-0.012 deri +0.101</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2051</w:t>
            </w:r>
          </w:p>
        </w:tc>
        <w:tc>
          <w:tcPr>
            <w:tcW w:type="dxa" w:w="1768"/>
          </w:tcPr>
          <w:p>
            <w:pPr>
              <w:spacing w:line="240" w:lineRule="auto"/>
              <w:jc w:val="left"/>
            </w:pPr>
            <w:r>
              <w:rPr>
                <w:rFonts w:ascii="Times New Roman" w:hAnsi="Times New Roman" w:eastAsia="Times New Roman"/>
                <w:b w:val="0"/>
                <w:caps w:val="0"/>
                <w:sz w:val="22"/>
              </w:rPr>
              <w:t>0.056</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2063</w:t>
            </w:r>
          </w:p>
        </w:tc>
        <w:tc>
          <w:tcPr>
            <w:tcW w:type="dxa" w:w="1768"/>
          </w:tcPr>
          <w:p>
            <w:pPr>
              <w:spacing w:line="240" w:lineRule="auto"/>
              <w:jc w:val="left"/>
            </w:pPr>
            <w:r>
              <w:rPr>
                <w:rFonts w:ascii="Times New Roman" w:hAnsi="Times New Roman" w:eastAsia="Times New Roman"/>
                <w:b w:val="0"/>
                <w:caps w:val="0"/>
                <w:sz w:val="22"/>
              </w:rPr>
              <w:t>0.221</w:t>
            </w:r>
          </w:p>
        </w:tc>
        <w:tc>
          <w:tcPr>
            <w:tcW w:type="dxa" w:w="1768"/>
          </w:tcPr>
          <w:p>
            <w:pPr>
              <w:spacing w:line="240" w:lineRule="auto"/>
              <w:jc w:val="left"/>
            </w:pPr>
            <w:r>
              <w:rPr>
                <w:rFonts w:ascii="Times New Roman" w:hAnsi="Times New Roman" w:eastAsia="Times New Roman"/>
                <w:b w:val="0"/>
                <w:caps w:val="0"/>
                <w:sz w:val="22"/>
              </w:rPr>
              <w:t>0.615</w:t>
            </w:r>
          </w:p>
        </w:tc>
        <w:tc>
          <w:tcPr>
            <w:tcW w:type="dxa" w:w="1768"/>
          </w:tcPr>
          <w:p>
            <w:pPr>
              <w:spacing w:line="240" w:lineRule="auto"/>
              <w:jc w:val="left"/>
            </w:pPr>
            <w:r>
              <w:rPr>
                <w:rFonts w:ascii="Times New Roman" w:hAnsi="Times New Roman" w:eastAsia="Times New Roman"/>
                <w:b w:val="0"/>
                <w:caps w:val="0"/>
                <w:sz w:val="22"/>
              </w:rPr>
              <w:t>+0.316 deri +0.475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katër krahasimet me përgjigje, detektorët e këtij punimi dalin përpara te dy dhe PMD te asnjëri. Te dy prej tyre intervali e përmban zeron, pra dy anët nuk dallohen mbi këtë dëshmi. Për Feature Envy PMD nuk ka rregull, prandaj rreshti i saj ka vetëm MCC-në e LawOfDemeter-it, rregullit më të afërt, dhe nuk ka kolonë krahasimi. Nga ekzekutimi, 537 skedarë nuk u lexuan dot nga PMD dhe 13 depo nuk u përpunuan fare. Mostrat e atyre depove janë hequr nga të dyja kolonat e tabelës, ndaj emëruesi i saj është më i vogël se ai i Qasjes A, e cila vlerësoi 9046 mostra.</w:t>
      </w:r>
    </w:p>
    <w:p>
      <w:pPr>
        <w:pStyle w:val="Heading2"/>
      </w:pPr>
      <w:r>
        <w:rPr>
          <w:rFonts w:ascii="Times New Roman" w:hAnsi="Times New Roman" w:eastAsia="Times New Roman"/>
          <w:b/>
          <w:caps w:val="0"/>
          <w:sz w:val="24"/>
        </w:rPr>
        <w:t>5.7 Intervalet e besimit dhe pajtimi mes rishikuesve</w:t>
      </w:r>
    </w:p>
    <w:p>
      <w:pPr>
        <w:spacing w:line="360" w:lineRule="auto"/>
        <w:ind w:firstLine="360"/>
        <w:jc w:val="both"/>
      </w:pPr>
      <w:r>
        <w:rPr>
          <w:rFonts w:ascii="Times New Roman" w:hAnsi="Times New Roman" w:eastAsia="Times New Roman"/>
          <w:b w:val="0"/>
          <w:caps w:val="0"/>
          <w:sz w:val="24"/>
        </w:rPr>
        <w:t>Shifrat e nënkapitujve të mësipërm janë vlerësime të vetme mbi një korpus. Ky nënkapitull jep sa lëvizin ato kur korpusi rimostrohet, dhe sa pajtohen vetë rishikuesit, kundrejt të cilëve maten të gjitha. Me bootstrap sipas depos (2000 rimostrime, Nënkapitulli 4.9), MCC-ja e secilës qasje dhe dallimi mes tyre kanë këto intervale besimi 95% (Tabela 23; Figura 14):</w:t>
      </w:r>
    </w:p>
    <w:p>
      <w:pPr>
        <w:keepNext/>
        <w:spacing w:line="240" w:lineRule="auto"/>
        <w:jc w:val="center"/>
      </w:pPr>
      <w:r>
        <w:rPr>
          <w:rFonts w:ascii="Times New Roman" w:hAnsi="Times New Roman" w:eastAsia="Times New Roman"/>
          <w:b w:val="0"/>
          <w:caps w:val="0"/>
          <w:sz w:val="22"/>
        </w:rPr>
        <w:t>Tabela 23.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Mbi zero</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[0.274, 0.393]</w:t>
            </w:r>
          </w:p>
        </w:tc>
        <w:tc>
          <w:tcPr>
            <w:tcW w:type="dxa" w:w="1768"/>
          </w:tcPr>
          <w:p>
            <w:pPr>
              <w:spacing w:line="240" w:lineRule="auto"/>
              <w:jc w:val="left"/>
            </w:pPr>
            <w:r>
              <w:rPr>
                <w:rFonts w:ascii="Times New Roman" w:hAnsi="Times New Roman" w:eastAsia="Times New Roman"/>
                <w:b w:val="0"/>
                <w:caps w:val="0"/>
                <w:sz w:val="22"/>
              </w:rPr>
              <w:t>[0.494, 0.581]</w:t>
            </w:r>
          </w:p>
        </w:tc>
        <w:tc>
          <w:tcPr>
            <w:tcW w:type="dxa" w:w="1768"/>
          </w:tcPr>
          <w:p>
            <w:pPr>
              <w:spacing w:line="240" w:lineRule="auto"/>
              <w:jc w:val="left"/>
            </w:pPr>
            <w:r>
              <w:rPr>
                <w:rFonts w:ascii="Times New Roman" w:hAnsi="Times New Roman" w:eastAsia="Times New Roman"/>
                <w:b w:val="0"/>
                <w:caps w:val="0"/>
                <w:sz w:val="22"/>
              </w:rPr>
              <w:t>[0.138, 0.271]</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[0.313, 0.423]</w:t>
            </w:r>
          </w:p>
        </w:tc>
        <w:tc>
          <w:tcPr>
            <w:tcW w:type="dxa" w:w="1768"/>
          </w:tcPr>
          <w:p>
            <w:pPr>
              <w:spacing w:line="240" w:lineRule="auto"/>
              <w:jc w:val="left"/>
            </w:pPr>
            <w:r>
              <w:rPr>
                <w:rFonts w:ascii="Times New Roman" w:hAnsi="Times New Roman" w:eastAsia="Times New Roman"/>
                <w:b w:val="0"/>
                <w:caps w:val="0"/>
                <w:sz w:val="22"/>
              </w:rPr>
              <w:t>[0.419, 0.530]</w:t>
            </w:r>
          </w:p>
        </w:tc>
        <w:tc>
          <w:tcPr>
            <w:tcW w:type="dxa" w:w="1768"/>
          </w:tcPr>
          <w:p>
            <w:pPr>
              <w:spacing w:line="240" w:lineRule="auto"/>
              <w:jc w:val="left"/>
            </w:pPr>
            <w:r>
              <w:rPr>
                <w:rFonts w:ascii="Times New Roman" w:hAnsi="Times New Roman" w:eastAsia="Times New Roman"/>
                <w:b w:val="0"/>
                <w:caps w:val="0"/>
                <w:sz w:val="22"/>
              </w:rPr>
              <w:t>[0.050, 0.163]</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[0.158, 0.330]</w:t>
            </w:r>
          </w:p>
        </w:tc>
        <w:tc>
          <w:tcPr>
            <w:tcW w:type="dxa" w:w="1768"/>
          </w:tcPr>
          <w:p>
            <w:pPr>
              <w:spacing w:line="240" w:lineRule="auto"/>
              <w:jc w:val="left"/>
            </w:pPr>
            <w:r>
              <w:rPr>
                <w:rFonts w:ascii="Times New Roman" w:hAnsi="Times New Roman" w:eastAsia="Times New Roman"/>
                <w:b w:val="0"/>
                <w:caps w:val="0"/>
                <w:sz w:val="22"/>
              </w:rPr>
              <w:t>[0.246, 0.398]</w:t>
            </w:r>
          </w:p>
        </w:tc>
        <w:tc>
          <w:tcPr>
            <w:tcW w:type="dxa" w:w="1768"/>
          </w:tcPr>
          <w:p>
            <w:pPr>
              <w:spacing w:line="240" w:lineRule="auto"/>
              <w:jc w:val="left"/>
            </w:pPr>
            <w:r>
              <w:rPr>
                <w:rFonts w:ascii="Times New Roman" w:hAnsi="Times New Roman" w:eastAsia="Times New Roman"/>
                <w:b w:val="0"/>
                <w:caps w:val="0"/>
                <w:sz w:val="22"/>
              </w:rPr>
              <w:t>[-0.012, 0.166]</w:t>
            </w:r>
          </w:p>
        </w:tc>
        <w:tc>
          <w:tcPr>
            <w:tcW w:type="dxa" w:w="1768"/>
          </w:tcPr>
          <w:p>
            <w:pPr>
              <w:spacing w:line="240" w:lineRule="auto"/>
              <w:jc w:val="left"/>
            </w:pPr>
            <w:r>
              <w:rPr>
                <w:rFonts w:ascii="Times New Roman" w:hAnsi="Times New Roman" w:eastAsia="Times New Roman"/>
                <w:b w:val="0"/>
                <w:caps w:val="0"/>
                <w:sz w:val="22"/>
              </w:rPr>
              <w:t>jo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[0.559, 0.667]</w:t>
            </w:r>
          </w:p>
        </w:tc>
        <w:tc>
          <w:tcPr>
            <w:tcW w:type="dxa" w:w="1768"/>
          </w:tcPr>
          <w:p>
            <w:pPr>
              <w:spacing w:line="240" w:lineRule="auto"/>
              <w:jc w:val="left"/>
            </w:pPr>
            <w:r>
              <w:rPr>
                <w:rFonts w:ascii="Times New Roman" w:hAnsi="Times New Roman" w:eastAsia="Times New Roman"/>
                <w:b w:val="0"/>
                <w:caps w:val="0"/>
                <w:sz w:val="22"/>
              </w:rPr>
              <w:t>[0.681, 0.768]</w:t>
            </w:r>
          </w:p>
        </w:tc>
        <w:tc>
          <w:tcPr>
            <w:tcW w:type="dxa" w:w="1768"/>
          </w:tcPr>
          <w:p>
            <w:pPr>
              <w:spacing w:line="240" w:lineRule="auto"/>
              <w:jc w:val="left"/>
            </w:pPr>
            <w:r>
              <w:rPr>
                <w:rFonts w:ascii="Times New Roman" w:hAnsi="Times New Roman" w:eastAsia="Times New Roman"/>
                <w:b w:val="0"/>
                <w:caps w:val="0"/>
                <w:sz w:val="22"/>
              </w:rPr>
              <w:t>[0.050, 0.165]</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keepNext/>
        <w:jc w:val="center"/>
      </w:pPr>
      <w:r>
        <w:drawing>
          <wp:inline xmlns:a="http://schemas.openxmlformats.org/drawingml/2006/main" xmlns:pic="http://schemas.openxmlformats.org/drawingml/2006/picture">
            <wp:extent cx="5120640" cy="2815697"/>
            <wp:docPr id="16" name="Picture 16"/>
            <wp:cNvGraphicFramePr>
              <a:graphicFrameLocks noChangeAspect="1"/>
            </wp:cNvGraphicFramePr>
            <a:graphic>
              <a:graphicData uri="http://schemas.openxmlformats.org/drawingml/2006/picture">
                <pic:pic>
                  <pic:nvPicPr>
                    <pic:cNvPr id="0" name="intervalet_e_besimit.png"/>
                    <pic:cNvPicPr/>
                  </pic:nvPicPr>
                  <pic:blipFill>
                    <a:blip r:embed="rId26"/>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14. MCC me interval besimi 95% për të dyja qasjet</w:t>
      </w:r>
    </w:p>
    <w:p>
      <w:pPr>
        <w:spacing w:line="360" w:lineRule="auto"/>
        <w:ind w:firstLine="360"/>
        <w:jc w:val="both"/>
      </w:pPr>
      <w:r>
        <w:rPr>
          <w:rFonts w:ascii="Times New Roman" w:hAnsi="Times New Roman" w:eastAsia="Times New Roman"/>
          <w:b w:val="0"/>
          <w:caps w:val="0"/>
          <w:sz w:val="24"/>
        </w:rPr>
        <w:t>Kufiri i poshtëm i dallimit B − A është mbi zero te tri nga katër erërat. Intervali më i gjerë i dallimit është te Feature Envy, 0.178 pikë MCC. Kur Qasja A merr pragun e saj më të mirë nga analiza e ndjeshmërisë e Nënkapitullit 5.5, dallimi ka këto intervale (Tabela 24):</w:t>
      </w:r>
    </w:p>
    <w:p>
      <w:pPr>
        <w:keepNext/>
        <w:spacing w:line="240" w:lineRule="auto"/>
        <w:jc w:val="center"/>
      </w:pPr>
      <w:r>
        <w:rPr>
          <w:rFonts w:ascii="Times New Roman" w:hAnsi="Times New Roman" w:eastAsia="Times New Roman"/>
          <w:b w:val="0"/>
          <w:caps w:val="0"/>
          <w:sz w:val="22"/>
        </w:rPr>
        <w:t>Tabela 24.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Mbi zero</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[0.118, 0.243]</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[0.019, 0.120]</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99.5%</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[-0.035, 0.140]</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89.0%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[-0.040, 0.039]</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50.2%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Kufiri i poshtëm mbetet mbi zero te Blob dhe Data Class. Te Feature Envy dhe Long Method intervali e përfshin zeron; shenja pozitive ruhet në këtë pjesë të rimostrimeve: Feature Envy (89.0%) dhe Long Method (50.2%).</w:t>
      </w:r>
    </w:p>
    <w:p>
      <w:pPr>
        <w:spacing w:line="360" w:lineRule="auto"/>
        <w:ind w:firstLine="360"/>
        <w:jc w:val="both"/>
      </w:pPr>
      <w:r>
        <w:rPr>
          <w:rFonts w:ascii="Times New Roman" w:hAnsi="Times New Roman" w:eastAsia="Times New Roman"/>
          <w:b w:val="0"/>
          <w:caps w:val="0"/>
          <w:sz w:val="24"/>
        </w:rPr>
        <w:t>Pajtimi mes vetë rishikuesve të MLCQ-së, i matur me të njëjtin tregues mbi çdo çift rishikimesh të së njëjtës mostër (Nënkapitulli 4.9), jep këto vlera (Tabela 25):</w:t>
      </w:r>
    </w:p>
    <w:p>
      <w:pPr>
        <w:keepNext/>
        <w:spacing w:line="240" w:lineRule="auto"/>
        <w:jc w:val="center"/>
      </w:pPr>
      <w:r>
        <w:rPr>
          <w:rFonts w:ascii="Times New Roman" w:hAnsi="Times New Roman" w:eastAsia="Times New Roman"/>
          <w:b w:val="0"/>
          <w:caps w:val="0"/>
          <w:sz w:val="22"/>
        </w:rPr>
        <w:t>Tabela 25.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0.312</w:t>
            </w:r>
          </w:p>
        </w:tc>
        <w:tc>
          <w:tcPr>
            <w:tcW w:type="dxa" w:w="2209"/>
          </w:tcPr>
          <w:p>
            <w:pPr>
              <w:spacing w:line="240" w:lineRule="auto"/>
              <w:jc w:val="left"/>
            </w:pPr>
            <w:r>
              <w:rPr>
                <w:rFonts w:ascii="Times New Roman" w:hAnsi="Times New Roman" w:eastAsia="Times New Roman"/>
                <w:b w:val="0"/>
                <w:caps w:val="0"/>
                <w:sz w:val="22"/>
              </w:rPr>
              <w:t>0.674</w:t>
            </w:r>
          </w:p>
        </w:tc>
        <w:tc>
          <w:tcPr>
            <w:tcW w:type="dxa" w:w="2209"/>
          </w:tcPr>
          <w:p>
            <w:pPr>
              <w:spacing w:line="240" w:lineRule="auto"/>
              <w:jc w:val="left"/>
            </w:pPr>
            <w:r>
              <w:rPr>
                <w:rFonts w:ascii="Times New Roman" w:hAnsi="Times New Roman" w:eastAsia="Times New Roman"/>
                <w:b w:val="0"/>
                <w:caps w:val="0"/>
                <w:sz w:val="22"/>
              </w:rPr>
              <w:t>2909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0.396</w:t>
            </w:r>
          </w:p>
        </w:tc>
        <w:tc>
          <w:tcPr>
            <w:tcW w:type="dxa" w:w="2209"/>
          </w:tcPr>
          <w:p>
            <w:pPr>
              <w:spacing w:line="240" w:lineRule="auto"/>
              <w:jc w:val="left"/>
            </w:pPr>
            <w:r>
              <w:rPr>
                <w:rFonts w:ascii="Times New Roman" w:hAnsi="Times New Roman" w:eastAsia="Times New Roman"/>
                <w:b w:val="0"/>
                <w:caps w:val="0"/>
                <w:sz w:val="22"/>
              </w:rPr>
              <w:t>0.702</w:t>
            </w:r>
          </w:p>
        </w:tc>
        <w:tc>
          <w:tcPr>
            <w:tcW w:type="dxa" w:w="2209"/>
          </w:tcPr>
          <w:p>
            <w:pPr>
              <w:spacing w:line="240" w:lineRule="auto"/>
              <w:jc w:val="left"/>
            </w:pPr>
            <w:r>
              <w:rPr>
                <w:rFonts w:ascii="Times New Roman" w:hAnsi="Times New Roman" w:eastAsia="Times New Roman"/>
                <w:b w:val="0"/>
                <w:caps w:val="0"/>
                <w:sz w:val="22"/>
              </w:rPr>
              <w:t>2903</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-0.071</w:t>
            </w:r>
          </w:p>
        </w:tc>
        <w:tc>
          <w:tcPr>
            <w:tcW w:type="dxa" w:w="2209"/>
          </w:tcPr>
          <w:p>
            <w:pPr>
              <w:spacing w:line="240" w:lineRule="auto"/>
              <w:jc w:val="left"/>
            </w:pPr>
            <w:r>
              <w:rPr>
                <w:rFonts w:ascii="Times New Roman" w:hAnsi="Times New Roman" w:eastAsia="Times New Roman"/>
                <w:b w:val="0"/>
                <w:caps w:val="0"/>
                <w:sz w:val="22"/>
              </w:rPr>
              <w:t>0.513</w:t>
            </w:r>
          </w:p>
        </w:tc>
        <w:tc>
          <w:tcPr>
            <w:tcW w:type="dxa" w:w="2209"/>
          </w:tcPr>
          <w:p>
            <w:pPr>
              <w:spacing w:line="240" w:lineRule="auto"/>
              <w:jc w:val="left"/>
            </w:pPr>
            <w:r>
              <w:rPr>
                <w:rFonts w:ascii="Times New Roman" w:hAnsi="Times New Roman" w:eastAsia="Times New Roman"/>
                <w:b w:val="0"/>
                <w:caps w:val="0"/>
                <w:sz w:val="22"/>
              </w:rPr>
              <w:t>1471</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0.567</w:t>
            </w:r>
          </w:p>
        </w:tc>
        <w:tc>
          <w:tcPr>
            <w:tcW w:type="dxa" w:w="2209"/>
          </w:tcPr>
          <w:p>
            <w:pPr>
              <w:spacing w:line="240" w:lineRule="auto"/>
              <w:jc w:val="left"/>
            </w:pPr>
            <w:r>
              <w:rPr>
                <w:rFonts w:ascii="Times New Roman" w:hAnsi="Times New Roman" w:eastAsia="Times New Roman"/>
                <w:b w:val="0"/>
                <w:caps w:val="0"/>
                <w:sz w:val="22"/>
              </w:rPr>
              <w:t>0.787</w:t>
            </w:r>
          </w:p>
        </w:tc>
        <w:tc>
          <w:tcPr>
            <w:tcW w:type="dxa" w:w="2209"/>
          </w:tcPr>
          <w:p>
            <w:pPr>
              <w:spacing w:line="240" w:lineRule="auto"/>
              <w:jc w:val="left"/>
            </w:pPr>
            <w:r>
              <w:rPr>
                <w:rFonts w:ascii="Times New Roman" w:hAnsi="Times New Roman" w:eastAsia="Times New Roman"/>
                <w:b w:val="0"/>
                <w:caps w:val="0"/>
                <w:sz w:val="22"/>
              </w:rPr>
              <w:t>1495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mes rishikuesve nuk e kalon 0.567 te asnjë erë. Me këto dy matje mbyllen vëzhgimet dytësore. Ato nuk i shtojnë përgjigje të re asnjë pyetjeje kërkimore, por i japin secilës shifër të mësipërme brezin e pasigurisë dhe tavanin kundrejt të cilit duhet lexuar.</w:t>
      </w:r>
    </w:p>
    <w:p>
      <w:pPr>
        <w:pStyle w:val="Heading2"/>
      </w:pPr>
      <w:r>
        <w:rPr>
          <w:rFonts w:ascii="Times New Roman" w:hAnsi="Times New Roman" w:eastAsia="Times New Roman"/>
          <w:b/>
          <w:caps w:val="0"/>
          <w:sz w:val="24"/>
        </w:rPr>
        <w:t>5.8 Përmbledhje e rezultateve</w:t>
      </w:r>
    </w:p>
    <w:p>
      <w:pPr>
        <w:spacing w:line="360" w:lineRule="auto"/>
        <w:ind w:firstLine="360"/>
        <w:jc w:val="both"/>
      </w:pPr>
      <w:r>
        <w:rPr>
          <w:rFonts w:ascii="Times New Roman" w:hAnsi="Times New Roman" w:eastAsia="Times New Roman"/>
          <w:b w:val="0"/>
          <w:caps w:val="0"/>
          <w:sz w:val="24"/>
        </w:rPr>
        <w:t>Tabela e fundit e kapitullit i mbledh në një vend shifrat që mbajnë përgjigjet, të renditura sipas pyetjes kërkimore. Ku shifra ndryshon sipas erës, jepet brezi nga vlera më e ulët te më e larta; kolona e fundit tregon nënkapitullin ku ajo paraqitet e plotë (Tabela 26).</w:t>
      </w:r>
    </w:p>
    <w:p>
      <w:pPr>
        <w:keepNext/>
        <w:spacing w:line="240" w:lineRule="auto"/>
        <w:jc w:val="center"/>
      </w:pPr>
      <w:r>
        <w:rPr>
          <w:rFonts w:ascii="Times New Roman" w:hAnsi="Times New Roman" w:eastAsia="Times New Roman"/>
          <w:b w:val="0"/>
          <w:caps w:val="0"/>
          <w:sz w:val="22"/>
        </w:rPr>
        <w:t>Tabela 26. Shifrat kryesore sipas pyetjes kërkimore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Pyetja</w:t>
            </w:r>
          </w:p>
        </w:tc>
        <w:tc>
          <w:tcPr>
            <w:tcW w:type="dxa" w:w="2209"/>
          </w:tcPr>
          <w:p>
            <w:pPr>
              <w:spacing w:line="240" w:lineRule="auto"/>
              <w:jc w:val="left"/>
            </w:pPr>
            <w:r>
              <w:rPr>
                <w:rFonts w:ascii="Times New Roman" w:hAnsi="Times New Roman" w:eastAsia="Times New Roman"/>
                <w:b/>
                <w:caps w:val="0"/>
                <w:sz w:val="22"/>
              </w:rPr>
              <w:t>Treguesi</w:t>
            </w:r>
          </w:p>
        </w:tc>
        <w:tc>
          <w:tcPr>
            <w:tcW w:type="dxa" w:w="2209"/>
          </w:tcPr>
          <w:p>
            <w:pPr>
              <w:spacing w:line="240" w:lineRule="auto"/>
              <w:jc w:val="left"/>
            </w:pPr>
            <w:r>
              <w:rPr>
                <w:rFonts w:ascii="Times New Roman" w:hAnsi="Times New Roman" w:eastAsia="Times New Roman"/>
                <w:b/>
                <w:caps w:val="0"/>
                <w:sz w:val="22"/>
              </w:rPr>
              <w:t>Vlera</w:t>
            </w:r>
          </w:p>
        </w:tc>
        <w:tc>
          <w:tcPr>
            <w:tcW w:type="dxa" w:w="2209"/>
          </w:tcPr>
          <w:p>
            <w:pPr>
              <w:spacing w:line="240" w:lineRule="auto"/>
              <w:jc w:val="left"/>
            </w:pPr>
            <w:r>
              <w:rPr>
                <w:rFonts w:ascii="Times New Roman" w:hAnsi="Times New Roman" w:eastAsia="Times New Roman"/>
                <w:b/>
                <w:caps w:val="0"/>
                <w:sz w:val="22"/>
              </w:rPr>
              <w:t>Nënkapitulli</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MCC e strategjive</w:t>
            </w:r>
          </w:p>
        </w:tc>
        <w:tc>
          <w:tcPr>
            <w:tcW w:type="dxa" w:w="2209"/>
          </w:tcPr>
          <w:p>
            <w:pPr>
              <w:spacing w:line="240" w:lineRule="auto"/>
              <w:jc w:val="left"/>
            </w:pPr>
            <w:r>
              <w:rPr>
                <w:rFonts w:ascii="Times New Roman" w:hAnsi="Times New Roman" w:eastAsia="Times New Roman"/>
                <w:b w:val="0"/>
                <w:caps w:val="0"/>
                <w:sz w:val="22"/>
              </w:rPr>
              <w:t>0.243 – 0.617</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Precizioni i strategjive</w:t>
            </w:r>
          </w:p>
        </w:tc>
        <w:tc>
          <w:tcPr>
            <w:tcW w:type="dxa" w:w="2209"/>
          </w:tcPr>
          <w:p>
            <w:pPr>
              <w:spacing w:line="240" w:lineRule="auto"/>
              <w:jc w:val="left"/>
            </w:pPr>
            <w:r>
              <w:rPr>
                <w:rFonts w:ascii="Times New Roman" w:hAnsi="Times New Roman" w:eastAsia="Times New Roman"/>
                <w:b w:val="0"/>
                <w:caps w:val="0"/>
                <w:sz w:val="22"/>
              </w:rPr>
              <w:t>0.413 – 0.888</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Recall-i i strategjive</w:t>
            </w:r>
          </w:p>
        </w:tc>
        <w:tc>
          <w:tcPr>
            <w:tcW w:type="dxa" w:w="2209"/>
          </w:tcPr>
          <w:p>
            <w:pPr>
              <w:spacing w:line="240" w:lineRule="auto"/>
              <w:jc w:val="left"/>
            </w:pPr>
            <w:r>
              <w:rPr>
                <w:rFonts w:ascii="Times New Roman" w:hAnsi="Times New Roman" w:eastAsia="Times New Roman"/>
                <w:b w:val="0"/>
                <w:caps w:val="0"/>
                <w:sz w:val="22"/>
              </w:rPr>
              <w:t>0.174 – 0.470</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MCC e modelit më të mirë</w:t>
            </w:r>
          </w:p>
        </w:tc>
        <w:tc>
          <w:tcPr>
            <w:tcW w:type="dxa" w:w="2209"/>
          </w:tcPr>
          <w:p>
            <w:pPr>
              <w:spacing w:line="240" w:lineRule="auto"/>
              <w:jc w:val="left"/>
            </w:pPr>
            <w:r>
              <w:rPr>
                <w:rFonts w:ascii="Times New Roman" w:hAnsi="Times New Roman" w:eastAsia="Times New Roman"/>
                <w:b w:val="0"/>
                <w:caps w:val="0"/>
                <w:sz w:val="22"/>
              </w:rPr>
              <w:t>0.321 – 0.723</w:t>
            </w:r>
          </w:p>
        </w:tc>
        <w:tc>
          <w:tcPr>
            <w:tcW w:type="dxa" w:w="2209"/>
          </w:tcPr>
          <w:p>
            <w:pPr>
              <w:spacing w:line="240" w:lineRule="auto"/>
              <w:jc w:val="left"/>
            </w:pPr>
            <w:r>
              <w:rPr>
                <w:rFonts w:ascii="Times New Roman" w:hAnsi="Times New Roman" w:eastAsia="Times New Roman"/>
                <w:b w:val="0"/>
                <w:caps w:val="0"/>
                <w:sz w:val="22"/>
              </w:rPr>
              <w:t>5.2</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Dallimi B − A në MCC</w:t>
            </w:r>
          </w:p>
        </w:tc>
        <w:tc>
          <w:tcPr>
            <w:tcW w:type="dxa" w:w="2209"/>
          </w:tcPr>
          <w:p>
            <w:pPr>
              <w:spacing w:line="240" w:lineRule="auto"/>
              <w:jc w:val="left"/>
            </w:pPr>
            <w:r>
              <w:rPr>
                <w:rFonts w:ascii="Times New Roman" w:hAnsi="Times New Roman" w:eastAsia="Times New Roman"/>
                <w:b w:val="0"/>
                <w:caps w:val="0"/>
                <w:sz w:val="22"/>
              </w:rPr>
              <w:t>0.078 – 0.203</w:t>
            </w:r>
          </w:p>
        </w:tc>
        <w:tc>
          <w:tcPr>
            <w:tcW w:type="dxa" w:w="2209"/>
          </w:tcPr>
          <w:p>
            <w:pPr>
              <w:spacing w:line="240" w:lineRule="auto"/>
              <w:jc w:val="left"/>
            </w:pPr>
            <w:r>
              <w:rPr>
                <w:rFonts w:ascii="Times New Roman" w:hAnsi="Times New Roman" w:eastAsia="Times New Roman"/>
                <w:b w:val="0"/>
                <w:caps w:val="0"/>
                <w:sz w:val="22"/>
              </w:rPr>
              <w:t>5.3</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Erëra me dallim mbi zero (IB 95%)</w:t>
            </w:r>
          </w:p>
        </w:tc>
        <w:tc>
          <w:tcPr>
            <w:tcW w:type="dxa" w:w="2209"/>
          </w:tcPr>
          <w:p>
            <w:pPr>
              <w:spacing w:line="240" w:lineRule="auto"/>
              <w:jc w:val="left"/>
            </w:pPr>
            <w:r>
              <w:rPr>
                <w:rFonts w:ascii="Times New Roman" w:hAnsi="Times New Roman" w:eastAsia="Times New Roman"/>
                <w:b w:val="0"/>
                <w:caps w:val="0"/>
                <w:sz w:val="22"/>
              </w:rPr>
              <w:t>3 nga 4</w:t>
            </w:r>
          </w:p>
        </w:tc>
        <w:tc>
          <w:tcPr>
            <w:tcW w:type="dxa" w:w="2209"/>
          </w:tcPr>
          <w:p>
            <w:pPr>
              <w:spacing w:line="240" w:lineRule="auto"/>
              <w:jc w:val="left"/>
            </w:pPr>
            <w:r>
              <w:rPr>
                <w:rFonts w:ascii="Times New Roman" w:hAnsi="Times New Roman" w:eastAsia="Times New Roman"/>
                <w:b w:val="0"/>
                <w:caps w:val="0"/>
                <w:sz w:val="22"/>
              </w:rPr>
              <w:t>5.7</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Vende të transformuara</w:t>
            </w:r>
          </w:p>
        </w:tc>
        <w:tc>
          <w:tcPr>
            <w:tcW w:type="dxa" w:w="2209"/>
          </w:tcPr>
          <w:p>
            <w:pPr>
              <w:spacing w:line="240" w:lineRule="auto"/>
              <w:jc w:val="left"/>
            </w:pPr>
            <w:r>
              <w:rPr>
                <w:rFonts w:ascii="Times New Roman" w:hAnsi="Times New Roman" w:eastAsia="Times New Roman"/>
                <w:b w:val="0"/>
                <w:caps w:val="0"/>
                <w:sz w:val="22"/>
              </w:rPr>
              <w:t>3532 nga 15 800 (22.4%)</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Rishkrime me gabim të ri</w:t>
            </w:r>
          </w:p>
        </w:tc>
        <w:tc>
          <w:tcPr>
            <w:tcW w:type="dxa" w:w="2209"/>
          </w:tcPr>
          <w:p>
            <w:pPr>
              <w:spacing w:line="240" w:lineRule="auto"/>
              <w:jc w:val="left"/>
            </w:pPr>
            <w:r>
              <w:rPr>
                <w:rFonts w:ascii="Times New Roman" w:hAnsi="Times New Roman" w:eastAsia="Times New Roman"/>
                <w:b w:val="0"/>
                <w:caps w:val="0"/>
                <w:sz w:val="22"/>
              </w:rPr>
              <w:t>58 (1.6%)</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Rishkrime ku era u hoq</w:t>
            </w:r>
          </w:p>
        </w:tc>
        <w:tc>
          <w:tcPr>
            <w:tcW w:type="dxa" w:w="2209"/>
          </w:tcPr>
          <w:p>
            <w:pPr>
              <w:spacing w:line="240" w:lineRule="auto"/>
              <w:jc w:val="left"/>
            </w:pPr>
            <w:r>
              <w:rPr>
                <w:rFonts w:ascii="Times New Roman" w:hAnsi="Times New Roman" w:eastAsia="Times New Roman"/>
                <w:b w:val="0"/>
                <w:caps w:val="0"/>
                <w:sz w:val="22"/>
              </w:rPr>
              <w:t>2287 (64.8%)</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Erëra të reja pas rishkrimit</w:t>
            </w:r>
          </w:p>
        </w:tc>
        <w:tc>
          <w:tcPr>
            <w:tcW w:type="dxa" w:w="2209"/>
          </w:tcPr>
          <w:p>
            <w:pPr>
              <w:spacing w:line="240" w:lineRule="auto"/>
              <w:jc w:val="left"/>
            </w:pPr>
            <w:r>
              <w:rPr>
                <w:rFonts w:ascii="Times New Roman" w:hAnsi="Times New Roman" w:eastAsia="Times New Roman"/>
                <w:b w:val="0"/>
                <w:caps w:val="0"/>
                <w:sz w:val="22"/>
              </w:rPr>
              <w:t>865</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Rishkrime të pranueshme për zhvilluesin (të ripeshuara)</w:t>
            </w:r>
          </w:p>
        </w:tc>
        <w:tc>
          <w:tcPr>
            <w:tcW w:type="dxa" w:w="2209"/>
          </w:tcPr>
          <w:p>
            <w:pPr>
              <w:spacing w:line="240" w:lineRule="auto"/>
              <w:jc w:val="left"/>
            </w:pPr>
            <w:r>
              <w:rPr>
                <w:rFonts w:ascii="Times New Roman" w:hAnsi="Times New Roman" w:eastAsia="Times New Roman"/>
                <w:b w:val="0"/>
                <w:caps w:val="0"/>
                <w:sz w:val="22"/>
              </w:rPr>
              <w:t>62.9%</w:t>
            </w:r>
          </w:p>
        </w:tc>
        <w:tc>
          <w:tcPr>
            <w:tcW w:type="dxa" w:w="2209"/>
          </w:tcPr>
          <w:p>
            <w:pPr>
              <w:spacing w:line="240" w:lineRule="auto"/>
              <w:jc w:val="left"/>
            </w:pPr>
            <w:r>
              <w:rPr>
                <w:rFonts w:ascii="Times New Roman" w:hAnsi="Times New Roman" w:eastAsia="Times New Roman"/>
                <w:b w:val="0"/>
                <w:caps w:val="0"/>
                <w:sz w:val="22"/>
              </w:rPr>
              <w:t>5.4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6 i merr këto shifra me radhë: i interpreton, i krahason me literaturën dhe prej tyre formulon përgjigjen për secilën pyetje.</w:t>
      </w:r>
    </w:p>
    <w:p>
      <w:pPr>
        <w:pStyle w:val="Heading1"/>
        <w:pageBreakBefore/>
      </w:pPr>
      <w:r>
        <w:rPr>
          <w:rFonts w:ascii="Times New Roman" w:hAnsi="Times New Roman" w:eastAsia="Times New Roman"/>
          <w:b/>
          <w:caps/>
          <w:sz w:val="28"/>
        </w:rPr>
        <w:t>6 Diskutime dhe përfundime</w:t>
      </w:r>
    </w:p>
    <w:p>
      <w:pPr>
        <w:spacing w:line="360" w:lineRule="auto"/>
        <w:ind w:firstLine="360"/>
        <w:jc w:val="both"/>
      </w:pPr>
      <w:r>
        <w:rPr>
          <w:rFonts w:ascii="Times New Roman" w:hAnsi="Times New Roman" w:eastAsia="Times New Roman"/>
          <w:b w:val="0"/>
          <w:caps w:val="0"/>
          <w:sz w:val="24"/>
        </w:rPr>
        <w:t>Kapitulli 5 i dha rezultatet ashtu si dolën. Ky kapitull i shpjegon: çfarë nënkupton secili rezultat (6.1), çfarë funksionoi dhe çfarë jo (6.2), si krahasohen gjetjet me ato të literaturës (6.3) dhe si përgjigjet secila pyetje kërkimore (6.4). Pas tyre vijnë implikimet (6.5), kufizimet që e ngushtojnë vlefshmërinë e përfundimeve (6.6), drejtimet për punë të mëtejshme (6.7) dhe përfundimi i punimit (6.8).</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shpesh të drejtë, por i humbin shumicën e rasteve që rishikuesit i shënojnë, nga 53% te Long Method deri në 83%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Këto humbje nuk shpërndahen njësoj mbi të gjitha rastet. Shfaqjet e qarta të erës, ato që rishikuesit i quajtën major, kapen më lehtë se ato të butat (Nënkapitulli 5.1): strategjitë reagojnë ndaj tepricës së dukshme dhe heshtin para asaj që mezi dallohet. Një F1 i vetëm do ta fshihte këtë dallim.</w:t>
      </w:r>
    </w:p>
    <w:p>
      <w:pPr>
        <w:spacing w:line="360" w:lineRule="auto"/>
        <w:ind w:firstLine="360"/>
        <w:jc w:val="both"/>
      </w:pPr>
      <w:r>
        <w:rPr>
          <w:rFonts w:ascii="Times New Roman" w:hAnsi="Times New Roman" w:eastAsia="Times New Roman"/>
          <w:b w:val="0"/>
          <w:caps w:val="0"/>
          <w:sz w:val="24"/>
        </w:rPr>
        <w:t>Sa varet ky përfundim nga pragjet? Te Blob, Data Class dhe Feature Envy zhvendosja e çdo pragu mezi e lëviz MCC-në (Nënkapitulli 5.5), ndaj shifrat e tyre flasin për kodin dhe jo për pragun. Te Long Method amplituda është e madhe, pra shifra e raportuar flet po aq për pragun sa për kodin. Kjo vlen sa herë krahasohen mjete detektimi që përdorin pragje të ndryshme: dallimi mes tyre mund të jetë dallim pragjesh e jo metodash.</w:t>
      </w:r>
    </w:p>
    <w:p>
      <w:pPr>
        <w:spacing w:line="360" w:lineRule="auto"/>
        <w:ind w:firstLine="360"/>
        <w:jc w:val="both"/>
      </w:pPr>
      <w:r>
        <w:rPr>
          <w:rFonts w:ascii="Times New Roman" w:hAnsi="Times New Roman" w:eastAsia="Times New Roman"/>
          <w:b w:val="0"/>
          <w:caps w:val="0"/>
          <w:sz w:val="24"/>
        </w:rPr>
        <w:t>Te Long Method, pragu i botuar del konservativ për këtë korpus: me një prag më të ulët recall-i rritet shumë më tepër sesa bie precizioni, gjë që sugjeron se rishikuesit e MLCQ-së e quajnë një metodë të gjatë më herët sesa e vendos pragu. Fitimi megjithatë paguhet me precizion, dhe foldet e kalibrimit nuk bien dakord për vlerën.</w:t>
      </w:r>
    </w:p>
    <w:p>
      <w:pPr>
        <w:spacing w:line="360" w:lineRule="auto"/>
        <w:ind w:firstLine="360"/>
        <w:jc w:val="both"/>
      </w:pPr>
      <w:r>
        <w:rPr>
          <w:rFonts w:ascii="Times New Roman" w:hAnsi="Times New Roman" w:eastAsia="Times New Roman"/>
          <w:b w:val="0"/>
          <w:caps w:val="0"/>
          <w:sz w:val="24"/>
        </w:rPr>
        <w:t>Te Long Method, dallimi mes pragut më të mirë të gjetur mbi gjithë korpusin dhe atij të kalibruar (Nënkapitulli 5.5) është ajo që fitohet kur zgjedhjes i lejohet ta shohë bashkësinë mbi të cilën do të raportohet, dhe arsyeja pse u raportua shifra e kalibruar.</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Sipas vlerës së matur, modelet e tejkalojnë qasjen me rregulla te çdo erë, dhe meqë klasifikuesi i shumicës nuk ndez kurrë, fitimi nuk vjen nga çekuilibri i klasave. Ablacioni i Nënkapitullit 5.2 e ndan këtë fitim në dy pjesë. Vetëm me metrikat e strategjisë, pra duke mësuar vetëm ku pritet kufiri, modeli e ngre MCC-në te Blob (+0.158), Data Class (+0.028) dhe Long Method (+0.107), ndërsa te Feature Envy (-0.052) del nën rregullin. Metrikat e tjera shtojnë më së shumti te Feature Envy (+0.130) dhe pothuajse asgjë te Long Method. Strategjive u mungon pra kryesisht kufiri i duhur, dhe te disa erëra edhe një pjesë e informacionit.</w:t>
      </w:r>
    </w:p>
    <w:p>
      <w:pPr>
        <w:spacing w:line="360" w:lineRule="auto"/>
        <w:ind w:firstLine="360"/>
        <w:jc w:val="both"/>
      </w:pPr>
      <w:r>
        <w:rPr>
          <w:rFonts w:ascii="Times New Roman" w:hAnsi="Times New Roman" w:eastAsia="Times New Roman"/>
          <w:b w:val="0"/>
          <w:caps w:val="0"/>
          <w:sz w:val="24"/>
        </w:rPr>
        <w:t>Intervalet e besimit e forcojnë këtë lexim (Nënkapitulli 5.7). Përparësia e modelit mbetet mbi zero te tri nga katër erërat kur korpusi rimostrohet sipas depos, pra nuk është artefakt i një korpusi të veçantë. Por intervalet janë të gjera, dhe renditja e erërave mes tyre nuk qëndron: dallimi mes Data Class-it dhe Blob-it, për shembull, humbet brenda tyre. Te Feature Envy intervali i dallimit e përfshin zeron edhe me pragjet e botuara, pra përparësia e modelit atje nuk dallohet nga rastësia e rimostrimit. Kur rregullit i jepet pragu i tij më i mirë, përparësia zhduket edhe te Long Method, ku rregulli kishte rezultatin më të mirë mes erërave.</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59% deri në 92% të verdikteve një matje e vetme e mban shënimin, dhe matja më e shpeshtë vendimtare është CLOC te Blob, NOAM te Data Class, MLOC te Feature Envy, MLOC te Long Method. Zhvilluesi merr kështu një fjali me të njëjtën formë si klauzola e një strategjie. Që matja vendimtare më e shpeshtë te Feature Envy është gjatësia e metodës, e jo qasja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Blob, Data Class dhe Long Method, ndërsa te Feature Envy rregulli kap shumë raste që modeli i humb. Bashkimi i dy qasjeve ndihmon pak ose aspak, sepse bashkë me rastet e sakta të rregullit vijnë edhe pozitivët e tij të rremë, dhe mbi një bashkësi ku shumica e etiketave janë negative ky shkëmbim mezi del në fitim.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që motori mund ta provojë.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te metodat ku ndihma do të vlente më shumë.</w:t>
      </w:r>
    </w:p>
    <w:p>
      <w:pPr>
        <w:spacing w:line="360" w:lineRule="auto"/>
        <w:ind w:firstLine="360"/>
        <w:jc w:val="both"/>
      </w:pPr>
      <w:r>
        <w:rPr>
          <w:rFonts w:ascii="Times New Roman" w:hAnsi="Times New Roman" w:eastAsia="Times New Roman"/>
          <w:b w:val="0"/>
          <w:caps w:val="0"/>
          <w:sz w:val="24"/>
        </w:rPr>
        <w:t>Rezultatet e refaktorimit lexohen më qartë sipas transformimit (tabela e fundit e Nënkapitullit 5.4), sepse shifrat e përgjithshme janë shuma e tri sjelljeve të ndryshme. Extract Method jep 93% të rishkrimeve, ndaj i përcakton ato: aplikohet te 33% e vendeve të veta, 98% e rishkrimeve të tij nuk shtojnë gabim, era hiqet te 63%, dhe një zhvillues do të pranonte 65% të tyre, pasi t'i japë metodës së re një emër. Guard Clauses aplikohet vetëm te 2.1% e vendeve, sepse pranon një formë të vetme, por kur aplikohet nuk shton asnjë gabim dhe u pranua në çdo rast të lexuar. Introduce Parameter Object e heq erën sipas matjes te çdo rishkrim, por asnjë nuk u pranua, sepse e zhvendos listën e gjatë nga metoda te konstruktori. Një shifër e përgjithshme e mirë mund të fshehë pra një transformim që nuk i shërben zhvilluesit, dhe anasjelltas.</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65 nga 197 rishkrimet «pa gabim të ri» kompilojnë plotësisht, pra gabimet e tyre të mëparshme i detyroheshin mungesës së fqinjëve dhe jo transformimit. Te pjesa tjetër, gabimet ishin aty edhe para rishkrimit: korpusi nuk mban bibliotekat e jashtme. Dy rishkrime shkojnë në drejtimin e kundërt: pa gabim të ri të izoluara, me gabim të ri brenda projektit.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Leximi i rishkrimeve (Nënkapitulli 5.4) e përmbys këtë renditje. Transformimi që e heq erën me ndërtim, Introduce Parameter Object, nuk u pranua asnjëherë: klasa e re merr emrin e metodës, mban të gjithë parametrat dhe shpaketohet në rreshtat e parë, ndaj lista e gjatë kalon nga metoda te konstruktori dhe thirrjet nuk lexohen më mirë. Era zhduket sipas matjes, jo sipas lexuesit. Fowler (2018) e propozon këtë transformim për parametra që udhëtojnë bashkë si një koncept, jo për çdo listë që kalon një prag, dhe ky dallim nuk matet me numrin e parametrave. Guard Clauses, përkundrazi, u pranua te 20 nga 20 rishkrimet e lexuara, zakonisht pas një ndreqjeje të vogël: motori e shkruan kushtin si mohim të plotë, !(raw != null), aty ku një zhvillues do të shkruante raw == null.</w:t>
      </w:r>
    </w:p>
    <w:p>
      <w:pPr>
        <w:spacing w:line="360" w:lineRule="auto"/>
        <w:ind w:firstLine="360"/>
        <w:jc w:val="both"/>
      </w:pPr>
      <w:r>
        <w:rPr>
          <w:rFonts w:ascii="Times New Roman" w:hAnsi="Times New Roman" w:eastAsia="Times New Roman"/>
          <w:b w:val="0"/>
          <w:caps w:val="0"/>
          <w:sz w:val="24"/>
        </w:rPr>
        <w:t>Extract Method u pranua te 13 nga 20 rishkrime, kur blloku i nxjerrë kishte një përgjegjësi të qartë, dhe gjithmonë pas ndreqjes së emrit «extracted», të cilin një motor determinist nuk e zgjedh dot. U refuzua kur nxirrte vetëm një nga shumë blloqe paralele, kur zhvendoste gjithë trupin e metodës, ose kur prekte kod të gjeneruar nga një mjet. Kufiri i tij nuk është pra sintaksor: blloku që motori di ta nxjerrë pa rrezik nuk është gjithmonë blloku që ia vlen të nxirret.</w:t>
      </w:r>
    </w:p>
    <w:p>
      <w:pPr>
        <w:spacing w:line="360" w:lineRule="auto"/>
        <w:ind w:firstLine="360"/>
        <w:jc w:val="both"/>
      </w:pPr>
      <w:r>
        <w:rPr>
          <w:rFonts w:ascii="Times New Roman" w:hAnsi="Times New Roman" w:eastAsia="Times New Roman"/>
          <w:b w:val="0"/>
          <w:caps w:val="0"/>
          <w:sz w:val="24"/>
        </w:rPr>
        <w:t>Leximi gjeti edhe një rishkrim që nuk kompilon dhe që kontrolli i kompilatorit e kishte lënë të kalonte. Extract Method nxori një bllok që cakton një variabël vetëm brenda një if-i, por nuk ia kaloi metodës së re as variablën, as vlerën e saj të mëparshme. Gabimi «cannot find symbol» që shtonte ishte i të njëjtit lloj si qindra të tjerë që skedari i izoluar kishte tashmë, prandaj toleranca «pa lloj të ri gabimi» nuk e dalloi. Është defekt i analizës së daljeve në motor dhe provë konkrete e kufirit të asaj tolerance.</w:t>
      </w:r>
    </w:p>
    <w:p>
      <w:pPr>
        <w:spacing w:line="360" w:lineRule="auto"/>
        <w:ind w:firstLine="360"/>
        <w:jc w:val="both"/>
      </w:pPr>
      <w:r>
        <w:rPr>
          <w:rFonts w:ascii="Times New Roman" w:hAnsi="Times New Roman" w:eastAsia="Times New Roman"/>
          <w:b w:val="0"/>
          <w:caps w:val="0"/>
          <w:sz w:val="24"/>
        </w:rPr>
        <w:t>Erërat e reja janë më shpesh Long Parameter List, dhe shkaku është i drejtpërdrejtë: Extract Method ia kalon metodës së nxjerrë çdo vlerë që blloku lexonte, prandaj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prandaj krahasimi i dy qasjeve mbi të njëjtat mostra është i ndershëm. Refuzimi si parim e mbajti motorin larg kodit që nuk e kuptonte, dhe dëmi mbeti te pakica e raportuar: gabim i ri kompilimi te 1.6% e rishkrimeve.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val="0"/>
          <w:caps w:val="0"/>
          <w:sz w:val="24"/>
        </w:rPr>
        <w:t>Edhe disa rezultate e mbajtën premtimin e tyre. Modeli e kaloi rregullin te Blob, Data Class dhe Long Method me dallim që mbetet mbi zero kur korpusi rimostrohet, dhe shumica e verdikteve të tij, nga 59% deri në 92%, u shpjeguan me një matje të vetme, ndaj fitimi nuk erdhi në kurriz të shpjegueshmërisë. Kur dy qasjet pajtohen, precizioni nuk bie nën 0.655, çka i jep zhvilluesit një sinjal të fortë. Te refaktorimi, vetëm 1.6% e rishkrimeve shtuan gabim të ri, dhe rojet e Guard Clauses u gjykuan të pranueshme te 20 nga 20 rishkrimet e lexuara.</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dalin të parat metrikat e madhësisë (CLOC dhe NOM), ndërsa TCC dhe ATFD, kushtet e kohezionit dhe të qasjes në të dhëna të huaja mbi të cilat është ndërtuar God Class, nuk kanë rëndësi të matshme. E dyta: shtimi i një detektori që mbështetet vetëm te madhësia e ngre përputhjen me rishikuesit për të njëjtën erë, nga MCC 0.336 në 0.474.</w:t>
      </w:r>
    </w:p>
    <w:p>
      <w:pPr>
        <w:spacing w:line="360" w:lineRule="auto"/>
        <w:ind w:firstLine="360"/>
        <w:jc w:val="both"/>
      </w:pPr>
      <w:r>
        <w:rPr>
          <w:rFonts w:ascii="Times New Roman" w:hAnsi="Times New Roman" w:eastAsia="Times New Roman"/>
          <w:b w:val="0"/>
          <w:caps w:val="0"/>
          <w:sz w:val="24"/>
        </w:rPr>
        <w:t>E treta vjen nga vetë mospërputhjet. Nga 295 raste që rishikuesit i quajtën Blob dhe strategjia nuk i ndezi, 208 nuk e kalojnë as dy nga tri klauzolat (Shtojca 8.6).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8.7). Kalibrimi i pragjeve jashtë fold-it e ngriti MCC-në qartë te Long Method, pak te Blob dhe Data Class, e uli te Feature Envy, dhe foldet nuk pajtohen për të njëjtën vlerë te tri nga katër erërat; një prag «optimal» që ndryshon me pjesën e korpusit që shihet është veti e bashkësisë, jo e gjuhës (Nënkapitulli 5.5).</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 (2018) e trajton atë si hap përgatitor, jo si ilaç. Extract Method e ka të njëjtin cen në shkallë më të vogël, përmes listës së gjatë të parametrave që lë pas, dhe Introduce Parameter Object, ashtu si e zbaton motori, e heq erën nga matja pa e hequr nga kodi (Nënkapitulli 6.1).</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dhe Lewowski (2023), të cilët trajnuan tetë algoritme mbi të njëjtin dataset MLCQ, me metrikat e PMD-së dhe të CODEBEAT-it si veçori. Konfigurimi i tyre DS1 e quan pozitive një mostër kur mesorja e ashpërsive të saj është mbi «none»; ky punim përdor mesataren e rrumbullakosur (Nënkapitulli 4.3), dhe të dy kriteret japin të njëjtën etiketë kur mostra ka një ose dy rishikime. Tabela vë përballë MCC-në e të dy qasjeve këtu me mesoren më të mirë të MCC-së që raportojnë ata (Tabela 27).</w:t>
      </w:r>
    </w:p>
    <w:p>
      <w:pPr>
        <w:keepNext/>
        <w:spacing w:line="240" w:lineRule="auto"/>
        <w:jc w:val="center"/>
      </w:pPr>
      <w:r>
        <w:rPr>
          <w:rFonts w:ascii="Times New Roman" w:hAnsi="Times New Roman" w:eastAsia="Times New Roman"/>
          <w:b w:val="0"/>
          <w:caps w:val="0"/>
          <w:sz w:val="22"/>
        </w:rPr>
        <w:t>Tabela 27. Krahasimi i MCC-së me Madeyski dhe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0.336</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0.367</w:t>
            </w:r>
          </w:p>
        </w:tc>
        <w:tc>
          <w:tcPr>
            <w:tcW w:type="dxa" w:w="2209"/>
          </w:tcPr>
          <w:p>
            <w:pPr>
              <w:spacing w:line="240" w:lineRule="auto"/>
              <w:jc w:val="left"/>
            </w:pPr>
            <w:r>
              <w:rPr>
                <w:rFonts w:ascii="Times New Roman" w:hAnsi="Times New Roman" w:eastAsia="Times New Roman"/>
                <w:b w:val="0"/>
                <w:caps w:val="0"/>
                <w:sz w:val="22"/>
              </w:rPr>
              <w:t>0.473</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0.243</w:t>
            </w:r>
          </w:p>
        </w:tc>
        <w:tc>
          <w:tcPr>
            <w:tcW w:type="dxa" w:w="2209"/>
          </w:tcPr>
          <w:p>
            <w:pPr>
              <w:spacing w:line="240" w:lineRule="auto"/>
              <w:jc w:val="left"/>
            </w:pPr>
            <w:r>
              <w:rPr>
                <w:rFonts w:ascii="Times New Roman" w:hAnsi="Times New Roman" w:eastAsia="Times New Roman"/>
                <w:b w:val="0"/>
                <w:caps w:val="0"/>
                <w:sz w:val="22"/>
              </w:rPr>
              <w:t>0.321</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0.617</w:t>
            </w:r>
          </w:p>
        </w:tc>
        <w:tc>
          <w:tcPr>
            <w:tcW w:type="dxa" w:w="2209"/>
          </w:tcPr>
          <w:p>
            <w:pPr>
              <w:spacing w:line="240" w:lineRule="auto"/>
              <w:jc w:val="left"/>
            </w:pPr>
            <w:r>
              <w:rPr>
                <w:rFonts w:ascii="Times New Roman" w:hAnsi="Times New Roman" w:eastAsia="Times New Roman"/>
                <w:b w:val="0"/>
                <w:caps w:val="0"/>
                <w:sz w:val="22"/>
              </w:rPr>
              <w:t>0.723</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Data Class dhe Long Method modelet e këtij punimi dalin nën ato të tyre; te Blob dalin mbi to; te Feature Envy janë në të njëjtin nivel. Dallimi i validimit e bën të pritshme që shifrat këtu të mos jenë më të larta: ata e ndajnë bashkësinë me validim të kryqëzuar me pesë folde, të shtresuar sipas klasës por jo të grupuar sipas projektit, ndaj e njëjta depo mund ta ushqejë trajnimin dhe të vlerësohet në të njëjtën kohë, që është rrjedhja që ky punim e shmang me GroupKFold. Ata raportojnë edhe mesoren e 120 ekzekutimeve me hiperparametra të optimizuar për MCC, ndërsa këtu modelet kanë parametra të fiksuar dhe një ekzekutim të vetëm jashtë fold-it. Me një ndarje më të rreptë dhe pa optimizim të hiperparametrave,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dy punimet arrijnë pothuajse të njëjtën vlerë, 0.32 këtu kundrejt 0.31 atje, dhe për të dy është era me performancën më të ulët. Kjo ndodh edhe pse veçoritë ndryshojnë: ky punim mat për çdo metodë ATFD, LAA, FDP dhe rreshtat efektivë, ndërsa ata përdorin metrika të mjeteve të përgjithshme. Shpjegimi më i mundshëm nuk janë pra veçoritë, por etiketa: dy rishikues të së njëjtës metodë pajtohen për Feature Envy me MCC -0.07, pra jo më shumë se rastësia (Nënkapitulli 5.7).</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0.35 deri në 0.76,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dhe Lassenius (2006) gjetën se vlerësimi i erërave nga zhvilluesit është subjektiv, dhe ky punim e mat këtë mbi MLCQ. Dy rishikues të së njëjtës mostër pajtohen me MCC 0.31 deri në 0.57 te Blob, Data Class dhe Long Method, një pajtim i moderuar, ndërsa te Feature Envy pajtimi është -0.07, pra jo më i mirë se rastësia. Etiketa e agreguar është mesatare e disa gjykimeve dhe e zbut zhurmën e secilit, ndaj një model mund të pajtohet me të më shumë sesa pajtohen dy rishikues mes tyre, siç ndodh te Blob, Data Class, Feature Envy dhe Long Method. Kjo nuk e bën modelin më të mirë se njeriun, por tregon se shifrat e fushës duhen lexuar kundrejt këtij pajtimi, dhe se një erë mbi të cilën vetë rishikuesit nuk pajtohen nuk mund të detektohet mirë nga asnjë qasje.</w:t>
      </w:r>
    </w:p>
    <w:p>
      <w:pPr>
        <w:spacing w:line="360" w:lineRule="auto"/>
        <w:ind w:firstLine="360"/>
        <w:jc w:val="both"/>
      </w:pPr>
      <w:r>
        <w:rPr>
          <w:rFonts w:ascii="Times New Roman" w:hAnsi="Times New Roman" w:eastAsia="Times New Roman"/>
          <w:b w:val="0"/>
          <w:caps w:val="0"/>
          <w:sz w:val="24"/>
        </w:rPr>
        <w:t>Te rregullat, rezultati përputhet me vërejtjen e Nënkapitullit 2.3 se pragjet e nxjerra nga një korpus nuk transferohen lehtë në një tjetër: strategjitë e Lanza dhe Marinescu (2006) ruajnë precizion të lartë mbi MLCQ, por humbin shumicën e rasteve. PMD-ja, që zbaton të njëjtat strategji me pragjet e veta, nuk del përpara në asnjë krahasim kur merret parasysh intervali i besimit (Nënkapitulli 5.6), ndaj recall-i i ulët nuk është defekt i zbatimit tonë. Te refaktorimi, motori ndjek parimin e Opdyke (1992): transformimi aplikohet vetëm kur parakushtet provohen. Tsantalis dhe Chatzigeorgiou (2009) ia lënë vendimin përfundimtar projektuesit; ky punim e aplikon rishkrimin, por vetëm pas verifikimit me kompilator dhe vetëm aty ku kthimi është një komandë.</w:t>
      </w:r>
    </w:p>
    <w:p>
      <w:pPr>
        <w:spacing w:line="360" w:lineRule="auto"/>
        <w:ind w:firstLine="360"/>
        <w:jc w:val="both"/>
      </w:pPr>
      <w:r>
        <w:rPr>
          <w:rFonts w:ascii="Times New Roman" w:hAnsi="Times New Roman" w:eastAsia="Times New Roman"/>
          <w:b w:val="0"/>
          <w:caps w:val="0"/>
          <w:sz w:val="24"/>
        </w:rPr>
        <w:t>Dy gjetje të tjera lidhen me literaturën për ndikimin e erërave. Roli i madhësisë te Blob-i, i diskutuar te Nënkapitulli 6.2, ka një paralel te Sjøberg et al. (2013): edhe atje madhësia e kodit peshonte më shumë se erërat vetë në përpjekjen e mirëmbajtjes. Te refaktorimi, Bavota et al. (2015) gjetën se vetëm 7% e refaktorimeve të zhvilluesve e heqin erën nga klasa; motori i këtij punimi e heq atë te 64.8% e rishkrimeve që aplikon. Krahasimi nuk është i drejtpërdrejtë, sepse zhvilluesit shpesh refaktorojnë për arsye që nuk kanë lidhje me një erë (Silva et al., 2016), por tregon vlerën e një transformimi që zgjidhet për erën e gjetur dhe matet pas aplikimit.</w:t>
      </w:r>
    </w:p>
    <w:p>
      <w:pPr>
        <w:spacing w:line="360" w:lineRule="auto"/>
        <w:ind w:firstLine="360"/>
        <w:jc w:val="both"/>
      </w:pPr>
      <w:r>
        <w:rPr>
          <w:rFonts w:ascii="Times New Roman" w:hAnsi="Times New Roman" w:eastAsia="Times New Roman"/>
          <w:b w:val="0"/>
          <w:caps w:val="0"/>
          <w:sz w:val="24"/>
        </w:rPr>
        <w:t>Krahasimet e mësipërme përmblidhen në tabelën e mëposhtme. Kolona e fundit thotë nëse gjetja e këtij punimi e mbështet atë të burimit, e kundërshton apo nuk krahasohet dot drejtpërdrejt me të (Tabela 28).</w:t>
      </w:r>
    </w:p>
    <w:p>
      <w:pPr>
        <w:keepNext/>
        <w:spacing w:line="240" w:lineRule="auto"/>
        <w:jc w:val="center"/>
      </w:pPr>
      <w:r>
        <w:rPr>
          <w:rFonts w:ascii="Times New Roman" w:hAnsi="Times New Roman" w:eastAsia="Times New Roman"/>
          <w:b w:val="0"/>
          <w:caps w:val="0"/>
          <w:sz w:val="22"/>
        </w:rPr>
        <w:t>Tabela 28. Gjetjet e punimit përballë literaturës</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Burimi</w:t>
            </w:r>
          </w:p>
        </w:tc>
        <w:tc>
          <w:tcPr>
            <w:tcW w:type="dxa" w:w="2209"/>
          </w:tcPr>
          <w:p>
            <w:pPr>
              <w:spacing w:line="240" w:lineRule="auto"/>
              <w:jc w:val="left"/>
            </w:pPr>
            <w:r>
              <w:rPr>
                <w:rFonts w:ascii="Times New Roman" w:hAnsi="Times New Roman" w:eastAsia="Times New Roman"/>
                <w:b/>
                <w:caps w:val="0"/>
                <w:sz w:val="22"/>
              </w:rPr>
              <w:t>Gjetja e burimit</w:t>
            </w:r>
          </w:p>
        </w:tc>
        <w:tc>
          <w:tcPr>
            <w:tcW w:type="dxa" w:w="2209"/>
          </w:tcPr>
          <w:p>
            <w:pPr>
              <w:spacing w:line="240" w:lineRule="auto"/>
              <w:jc w:val="left"/>
            </w:pPr>
            <w:r>
              <w:rPr>
                <w:rFonts w:ascii="Times New Roman" w:hAnsi="Times New Roman" w:eastAsia="Times New Roman"/>
                <w:b/>
                <w:caps w:val="0"/>
                <w:sz w:val="22"/>
              </w:rPr>
              <w:t>Gjetja këtu</w:t>
            </w:r>
          </w:p>
        </w:tc>
        <w:tc>
          <w:tcPr>
            <w:tcW w:type="dxa" w:w="2209"/>
          </w:tcPr>
          <w:p>
            <w:pPr>
              <w:spacing w:line="240" w:lineRule="auto"/>
              <w:jc w:val="left"/>
            </w:pPr>
            <w:r>
              <w:rPr>
                <w:rFonts w:ascii="Times New Roman" w:hAnsi="Times New Roman" w:eastAsia="Times New Roman"/>
                <w:b/>
                <w:caps w:val="0"/>
                <w:sz w:val="22"/>
              </w:rPr>
              <w:t>Raporti</w:t>
            </w:r>
          </w:p>
        </w:tc>
      </w:tr>
      <w:tr>
        <w:tc>
          <w:tcPr>
            <w:tcW w:type="dxa" w:w="2209"/>
          </w:tcPr>
          <w:p>
            <w:pPr>
              <w:spacing w:line="240" w:lineRule="auto"/>
              <w:jc w:val="left"/>
            </w:pPr>
            <w:r>
              <w:rPr>
                <w:rFonts w:ascii="Times New Roman" w:hAnsi="Times New Roman" w:eastAsia="Times New Roman"/>
                <w:b w:val="0"/>
                <w:caps w:val="0"/>
                <w:sz w:val="22"/>
              </w:rPr>
              <w:t>Lanza dhe Marinescu (2006)</w:t>
            </w:r>
          </w:p>
        </w:tc>
        <w:tc>
          <w:tcPr>
            <w:tcW w:type="dxa" w:w="2209"/>
          </w:tcPr>
          <w:p>
            <w:pPr>
              <w:spacing w:line="240" w:lineRule="auto"/>
              <w:jc w:val="left"/>
            </w:pPr>
            <w:r>
              <w:rPr>
                <w:rFonts w:ascii="Times New Roman" w:hAnsi="Times New Roman" w:eastAsia="Times New Roman"/>
                <w:b w:val="0"/>
                <w:caps w:val="0"/>
                <w:sz w:val="22"/>
              </w:rPr>
              <w:t>strategji me pragje nga statistikat e 45 sistemeve</w:t>
            </w:r>
          </w:p>
        </w:tc>
        <w:tc>
          <w:tcPr>
            <w:tcW w:type="dxa" w:w="2209"/>
          </w:tcPr>
          <w:p>
            <w:pPr>
              <w:spacing w:line="240" w:lineRule="auto"/>
              <w:jc w:val="left"/>
            </w:pPr>
            <w:r>
              <w:rPr>
                <w:rFonts w:ascii="Times New Roman" w:hAnsi="Times New Roman" w:eastAsia="Times New Roman"/>
                <w:b w:val="0"/>
                <w:caps w:val="0"/>
                <w:sz w:val="22"/>
              </w:rPr>
              <w:t>precizion 0.41–0.89, recall 0.17–0.47</w:t>
            </w:r>
          </w:p>
        </w:tc>
        <w:tc>
          <w:tcPr>
            <w:tcW w:type="dxa" w:w="2209"/>
          </w:tcPr>
          <w:p>
            <w:pPr>
              <w:spacing w:line="240" w:lineRule="auto"/>
              <w:jc w:val="left"/>
            </w:pPr>
            <w:r>
              <w:rPr>
                <w:rFonts w:ascii="Times New Roman" w:hAnsi="Times New Roman" w:eastAsia="Times New Roman"/>
                <w:b w:val="0"/>
                <w:caps w:val="0"/>
                <w:sz w:val="22"/>
              </w:rPr>
              <w:t>pjesërisht</w:t>
            </w:r>
          </w:p>
        </w:tc>
      </w:tr>
      <w:tr>
        <w:tc>
          <w:tcPr>
            <w:tcW w:type="dxa" w:w="2209"/>
          </w:tcPr>
          <w:p>
            <w:pPr>
              <w:spacing w:line="240" w:lineRule="auto"/>
              <w:jc w:val="left"/>
            </w:pPr>
            <w:r>
              <w:rPr>
                <w:rFonts w:ascii="Times New Roman" w:hAnsi="Times New Roman" w:eastAsia="Times New Roman"/>
                <w:b w:val="0"/>
                <w:caps w:val="0"/>
                <w:sz w:val="22"/>
              </w:rPr>
              <w:t>Arcelli Fontana et al. (2016)</w:t>
            </w:r>
          </w:p>
        </w:tc>
        <w:tc>
          <w:tcPr>
            <w:tcW w:type="dxa" w:w="2209"/>
          </w:tcPr>
          <w:p>
            <w:pPr>
              <w:spacing w:line="240" w:lineRule="auto"/>
              <w:jc w:val="left"/>
            </w:pPr>
            <w:r>
              <w:rPr>
                <w:rFonts w:ascii="Times New Roman" w:hAnsi="Times New Roman" w:eastAsia="Times New Roman"/>
                <w:b w:val="0"/>
                <w:caps w:val="0"/>
                <w:sz w:val="22"/>
              </w:rPr>
              <w:t>saktësi dhe F-measure mbi 95%</w:t>
            </w:r>
          </w:p>
        </w:tc>
        <w:tc>
          <w:tcPr>
            <w:tcW w:type="dxa" w:w="2209"/>
          </w:tcPr>
          <w:p>
            <w:pPr>
              <w:spacing w:line="240" w:lineRule="auto"/>
              <w:jc w:val="left"/>
            </w:pPr>
            <w:r>
              <w:rPr>
                <w:rFonts w:ascii="Times New Roman" w:hAnsi="Times New Roman" w:eastAsia="Times New Roman"/>
                <w:b w:val="0"/>
                <w:caps w:val="0"/>
                <w:sz w:val="22"/>
              </w:rPr>
              <w:t>F1 0.35–0.76</w:t>
            </w:r>
          </w:p>
        </w:tc>
        <w:tc>
          <w:tcPr>
            <w:tcW w:type="dxa" w:w="2209"/>
          </w:tcPr>
          <w:p>
            <w:pPr>
              <w:spacing w:line="240" w:lineRule="auto"/>
              <w:jc w:val="left"/>
            </w:pPr>
            <w:r>
              <w:rPr>
                <w:rFonts w:ascii="Times New Roman" w:hAnsi="Times New Roman" w:eastAsia="Times New Roman"/>
                <w:b w:val="0"/>
                <w:caps w:val="0"/>
                <w:sz w:val="22"/>
              </w:rPr>
              <w:t>nuk konfirmohet</w:t>
            </w:r>
          </w:p>
        </w:tc>
      </w:tr>
      <w:tr>
        <w:tc>
          <w:tcPr>
            <w:tcW w:type="dxa" w:w="2209"/>
          </w:tcPr>
          <w:p>
            <w:pPr>
              <w:spacing w:line="240" w:lineRule="auto"/>
              <w:jc w:val="left"/>
            </w:pPr>
            <w:r>
              <w:rPr>
                <w:rFonts w:ascii="Times New Roman" w:hAnsi="Times New Roman" w:eastAsia="Times New Roman"/>
                <w:b w:val="0"/>
                <w:caps w:val="0"/>
                <w:sz w:val="22"/>
              </w:rPr>
              <w:t>Di Nucci et al. (2018)</w:t>
            </w:r>
          </w:p>
        </w:tc>
        <w:tc>
          <w:tcPr>
            <w:tcW w:type="dxa" w:w="2209"/>
          </w:tcPr>
          <w:p>
            <w:pPr>
              <w:spacing w:line="240" w:lineRule="auto"/>
              <w:jc w:val="left"/>
            </w:pPr>
            <w:r>
              <w:rPr>
                <w:rFonts w:ascii="Times New Roman" w:hAnsi="Times New Roman" w:eastAsia="Times New Roman"/>
                <w:b w:val="0"/>
                <w:caps w:val="0"/>
                <w:sz w:val="22"/>
              </w:rPr>
              <w:t>me të dhëna realiste performanca bie ndjeshëm</w:t>
            </w:r>
          </w:p>
        </w:tc>
        <w:tc>
          <w:tcPr>
            <w:tcW w:type="dxa" w:w="2209"/>
          </w:tcPr>
          <w:p>
            <w:pPr>
              <w:spacing w:line="240" w:lineRule="auto"/>
              <w:jc w:val="left"/>
            </w:pPr>
            <w:r>
              <w:rPr>
                <w:rFonts w:ascii="Times New Roman" w:hAnsi="Times New Roman" w:eastAsia="Times New Roman"/>
                <w:b w:val="0"/>
                <w:caps w:val="0"/>
                <w:sz w:val="22"/>
              </w:rPr>
              <w:t>F1 0.35–0.76 mbi MLCQ</w:t>
            </w:r>
          </w:p>
        </w:tc>
        <w:tc>
          <w:tcPr>
            <w:tcW w:type="dxa" w:w="2209"/>
          </w:tcPr>
          <w:p>
            <w:pPr>
              <w:spacing w:line="240" w:lineRule="auto"/>
              <w:jc w:val="left"/>
            </w:pPr>
            <w:r>
              <w:rPr>
                <w:rFonts w:ascii="Times New Roman" w:hAnsi="Times New Roman" w:eastAsia="Times New Roman"/>
                <w:b w:val="0"/>
                <w:caps w:val="0"/>
                <w:sz w:val="22"/>
              </w:rPr>
              <w:t>konfirmohet</w:t>
            </w:r>
          </w:p>
        </w:tc>
      </w:tr>
      <w:tr>
        <w:tc>
          <w:tcPr>
            <w:tcW w:type="dxa" w:w="2209"/>
          </w:tcPr>
          <w:p>
            <w:pPr>
              <w:spacing w:line="240" w:lineRule="auto"/>
              <w:jc w:val="left"/>
            </w:pPr>
            <w:r>
              <w:rPr>
                <w:rFonts w:ascii="Times New Roman" w:hAnsi="Times New Roman" w:eastAsia="Times New Roman"/>
                <w:b w:val="0"/>
                <w:caps w:val="0"/>
                <w:sz w:val="22"/>
              </w:rPr>
              <w:t>Madeyski dhe Lewowski (2023)</w:t>
            </w:r>
          </w:p>
        </w:tc>
        <w:tc>
          <w:tcPr>
            <w:tcW w:type="dxa" w:w="2209"/>
          </w:tcPr>
          <w:p>
            <w:pPr>
              <w:spacing w:line="240" w:lineRule="auto"/>
              <w:jc w:val="left"/>
            </w:pPr>
            <w:r>
              <w:rPr>
                <w:rFonts w:ascii="Times New Roman" w:hAnsi="Times New Roman" w:eastAsia="Times New Roman"/>
                <w:b w:val="0"/>
                <w:caps w:val="0"/>
                <w:sz w:val="22"/>
              </w:rPr>
              <w:t>MCC 0.51 te Blob, 0.57 te Data Class, 0.31 te Feature Envy</w:t>
            </w:r>
          </w:p>
        </w:tc>
        <w:tc>
          <w:tcPr>
            <w:tcW w:type="dxa" w:w="2209"/>
          </w:tcPr>
          <w:p>
            <w:pPr>
              <w:spacing w:line="240" w:lineRule="auto"/>
              <w:jc w:val="left"/>
            </w:pPr>
            <w:r>
              <w:rPr>
                <w:rFonts w:ascii="Times New Roman" w:hAnsi="Times New Roman" w:eastAsia="Times New Roman"/>
                <w:b w:val="0"/>
                <w:caps w:val="0"/>
                <w:sz w:val="22"/>
              </w:rPr>
              <w:t>MCC 0.32–0.72; 0.32 te Feature Envy</w:t>
            </w:r>
          </w:p>
        </w:tc>
        <w:tc>
          <w:tcPr>
            <w:tcW w:type="dxa" w:w="2209"/>
          </w:tcPr>
          <w:p>
            <w:pPr>
              <w:spacing w:line="240" w:lineRule="auto"/>
              <w:jc w:val="left"/>
            </w:pPr>
            <w:r>
              <w:rPr>
                <w:rFonts w:ascii="Times New Roman" w:hAnsi="Times New Roman" w:eastAsia="Times New Roman"/>
                <w:b w:val="0"/>
                <w:caps w:val="0"/>
                <w:sz w:val="22"/>
              </w:rPr>
              <w:t>i njëjti brez</w:t>
            </w:r>
          </w:p>
        </w:tc>
      </w:tr>
      <w:tr>
        <w:tc>
          <w:tcPr>
            <w:tcW w:type="dxa" w:w="2209"/>
          </w:tcPr>
          <w:p>
            <w:pPr>
              <w:spacing w:line="240" w:lineRule="auto"/>
              <w:jc w:val="left"/>
            </w:pPr>
            <w:r>
              <w:rPr>
                <w:rFonts w:ascii="Times New Roman" w:hAnsi="Times New Roman" w:eastAsia="Times New Roman"/>
                <w:b w:val="0"/>
                <w:caps w:val="0"/>
                <w:sz w:val="22"/>
              </w:rPr>
              <w:t>Mäntylä dhe Lassenius (2006)</w:t>
            </w:r>
          </w:p>
        </w:tc>
        <w:tc>
          <w:tcPr>
            <w:tcW w:type="dxa" w:w="2209"/>
          </w:tcPr>
          <w:p>
            <w:pPr>
              <w:spacing w:line="240" w:lineRule="auto"/>
              <w:jc w:val="left"/>
            </w:pPr>
            <w:r>
              <w:rPr>
                <w:rFonts w:ascii="Times New Roman" w:hAnsi="Times New Roman" w:eastAsia="Times New Roman"/>
                <w:b w:val="0"/>
                <w:caps w:val="0"/>
                <w:sz w:val="22"/>
              </w:rPr>
              <w:t>gjykimi i erërave nga zhvilluesit është subjektiv</w:t>
            </w:r>
          </w:p>
        </w:tc>
        <w:tc>
          <w:tcPr>
            <w:tcW w:type="dxa" w:w="2209"/>
          </w:tcPr>
          <w:p>
            <w:pPr>
              <w:spacing w:line="240" w:lineRule="auto"/>
              <w:jc w:val="left"/>
            </w:pPr>
            <w:r>
              <w:rPr>
                <w:rFonts w:ascii="Times New Roman" w:hAnsi="Times New Roman" w:eastAsia="Times New Roman"/>
                <w:b w:val="0"/>
                <w:caps w:val="0"/>
                <w:sz w:val="22"/>
              </w:rPr>
              <w:t>MCC mes rishikuesve -0.07–0.57</w:t>
            </w:r>
          </w:p>
        </w:tc>
        <w:tc>
          <w:tcPr>
            <w:tcW w:type="dxa" w:w="2209"/>
          </w:tcPr>
          <w:p>
            <w:pPr>
              <w:spacing w:line="240" w:lineRule="auto"/>
              <w:jc w:val="left"/>
            </w:pPr>
            <w:r>
              <w:rPr>
                <w:rFonts w:ascii="Times New Roman" w:hAnsi="Times New Roman" w:eastAsia="Times New Roman"/>
                <w:b w:val="0"/>
                <w:caps w:val="0"/>
                <w:sz w:val="22"/>
              </w:rPr>
              <w:t>konfirmohet</w:t>
            </w:r>
          </w:p>
        </w:tc>
      </w:tr>
      <w:tr>
        <w:tc>
          <w:tcPr>
            <w:tcW w:type="dxa" w:w="2209"/>
          </w:tcPr>
          <w:p>
            <w:pPr>
              <w:spacing w:line="240" w:lineRule="auto"/>
              <w:jc w:val="left"/>
            </w:pPr>
            <w:r>
              <w:rPr>
                <w:rFonts w:ascii="Times New Roman" w:hAnsi="Times New Roman" w:eastAsia="Times New Roman"/>
                <w:b w:val="0"/>
                <w:caps w:val="0"/>
                <w:sz w:val="22"/>
              </w:rPr>
              <w:t>Sjøberg et al. (2013)</w:t>
            </w:r>
          </w:p>
        </w:tc>
        <w:tc>
          <w:tcPr>
            <w:tcW w:type="dxa" w:w="2209"/>
          </w:tcPr>
          <w:p>
            <w:pPr>
              <w:spacing w:line="240" w:lineRule="auto"/>
              <w:jc w:val="left"/>
            </w:pPr>
            <w:r>
              <w:rPr>
                <w:rFonts w:ascii="Times New Roman" w:hAnsi="Times New Roman" w:eastAsia="Times New Roman"/>
                <w:b w:val="0"/>
                <w:caps w:val="0"/>
                <w:sz w:val="22"/>
              </w:rPr>
              <w:t>madhësia peshon më shumë se erërat në mirëmbajtje</w:t>
            </w:r>
          </w:p>
        </w:tc>
        <w:tc>
          <w:tcPr>
            <w:tcW w:type="dxa" w:w="2209"/>
          </w:tcPr>
          <w:p>
            <w:pPr>
              <w:spacing w:line="240" w:lineRule="auto"/>
              <w:jc w:val="left"/>
            </w:pPr>
            <w:r>
              <w:rPr>
                <w:rFonts w:ascii="Times New Roman" w:hAnsi="Times New Roman" w:eastAsia="Times New Roman"/>
                <w:b w:val="0"/>
                <w:caps w:val="0"/>
                <w:sz w:val="22"/>
              </w:rPr>
              <w:t>te Blob veçoria kryesore është CLOC</w:t>
            </w:r>
          </w:p>
        </w:tc>
        <w:tc>
          <w:tcPr>
            <w:tcW w:type="dxa" w:w="2209"/>
          </w:tcPr>
          <w:p>
            <w:pPr>
              <w:spacing w:line="240" w:lineRule="auto"/>
              <w:jc w:val="left"/>
            </w:pPr>
            <w:r>
              <w:rPr>
                <w:rFonts w:ascii="Times New Roman" w:hAnsi="Times New Roman" w:eastAsia="Times New Roman"/>
                <w:b w:val="0"/>
                <w:caps w:val="0"/>
                <w:sz w:val="22"/>
              </w:rPr>
              <w:t>përputhet</w:t>
            </w:r>
          </w:p>
        </w:tc>
      </w:tr>
      <w:tr>
        <w:tc>
          <w:tcPr>
            <w:tcW w:type="dxa" w:w="2209"/>
          </w:tcPr>
          <w:p>
            <w:pPr>
              <w:spacing w:line="240" w:lineRule="auto"/>
              <w:jc w:val="left"/>
            </w:pPr>
            <w:r>
              <w:rPr>
                <w:rFonts w:ascii="Times New Roman" w:hAnsi="Times New Roman" w:eastAsia="Times New Roman"/>
                <w:b w:val="0"/>
                <w:caps w:val="0"/>
                <w:sz w:val="22"/>
              </w:rPr>
              <w:t>Bavota et al. (2015)</w:t>
            </w:r>
          </w:p>
        </w:tc>
        <w:tc>
          <w:tcPr>
            <w:tcW w:type="dxa" w:w="2209"/>
          </w:tcPr>
          <w:p>
            <w:pPr>
              <w:spacing w:line="240" w:lineRule="auto"/>
              <w:jc w:val="left"/>
            </w:pPr>
            <w:r>
              <w:rPr>
                <w:rFonts w:ascii="Times New Roman" w:hAnsi="Times New Roman" w:eastAsia="Times New Roman"/>
                <w:b w:val="0"/>
                <w:caps w:val="0"/>
                <w:sz w:val="22"/>
              </w:rPr>
              <w:t>7% e refaktorimeve të zhvilluesve e heqin erën</w:t>
            </w:r>
          </w:p>
        </w:tc>
        <w:tc>
          <w:tcPr>
            <w:tcW w:type="dxa" w:w="2209"/>
          </w:tcPr>
          <w:p>
            <w:pPr>
              <w:spacing w:line="240" w:lineRule="auto"/>
              <w:jc w:val="left"/>
            </w:pPr>
            <w:r>
              <w:rPr>
                <w:rFonts w:ascii="Times New Roman" w:hAnsi="Times New Roman" w:eastAsia="Times New Roman"/>
                <w:b w:val="0"/>
                <w:caps w:val="0"/>
                <w:sz w:val="22"/>
              </w:rPr>
              <w:t>era u hoq te 64.8% e rishkrimeve</w:t>
            </w:r>
          </w:p>
        </w:tc>
        <w:tc>
          <w:tcPr>
            <w:tcW w:type="dxa" w:w="2209"/>
          </w:tcPr>
          <w:p>
            <w:pPr>
              <w:spacing w:line="240" w:lineRule="auto"/>
              <w:jc w:val="left"/>
            </w:pPr>
            <w:r>
              <w:rPr>
                <w:rFonts w:ascii="Times New Roman" w:hAnsi="Times New Roman" w:eastAsia="Times New Roman"/>
                <w:b w:val="0"/>
                <w:caps w:val="0"/>
                <w:sz w:val="22"/>
              </w:rPr>
              <w:t>kontekst tjetër</w:t>
            </w:r>
          </w:p>
        </w:tc>
      </w:tr>
      <w:tr>
        <w:tc>
          <w:tcPr>
            <w:tcW w:type="dxa" w:w="2209"/>
          </w:tcPr>
          <w:p>
            <w:pPr>
              <w:spacing w:line="240" w:lineRule="auto"/>
              <w:jc w:val="left"/>
            </w:pPr>
            <w:r>
              <w:rPr>
                <w:rFonts w:ascii="Times New Roman" w:hAnsi="Times New Roman" w:eastAsia="Times New Roman"/>
                <w:b w:val="0"/>
                <w:caps w:val="0"/>
                <w:sz w:val="22"/>
              </w:rPr>
              <w:t>Opdyke (1992)</w:t>
            </w:r>
          </w:p>
        </w:tc>
        <w:tc>
          <w:tcPr>
            <w:tcW w:type="dxa" w:w="2209"/>
          </w:tcPr>
          <w:p>
            <w:pPr>
              <w:spacing w:line="240" w:lineRule="auto"/>
              <w:jc w:val="left"/>
            </w:pPr>
            <w:r>
              <w:rPr>
                <w:rFonts w:ascii="Times New Roman" w:hAnsi="Times New Roman" w:eastAsia="Times New Roman"/>
                <w:b w:val="0"/>
                <w:caps w:val="0"/>
                <w:sz w:val="22"/>
              </w:rPr>
              <w:t>refaktorim vetëm kur parakushtet provohen</w:t>
            </w:r>
          </w:p>
        </w:tc>
        <w:tc>
          <w:tcPr>
            <w:tcW w:type="dxa" w:w="2209"/>
          </w:tcPr>
          <w:p>
            <w:pPr>
              <w:spacing w:line="240" w:lineRule="auto"/>
              <w:jc w:val="left"/>
            </w:pPr>
            <w:r>
              <w:rPr>
                <w:rFonts w:ascii="Times New Roman" w:hAnsi="Times New Roman" w:eastAsia="Times New Roman"/>
                <w:b w:val="0"/>
                <w:caps w:val="0"/>
                <w:sz w:val="22"/>
              </w:rPr>
              <w:t>gabim i ri te 1.6% e rishkrimeve</w:t>
            </w:r>
          </w:p>
        </w:tc>
        <w:tc>
          <w:tcPr>
            <w:tcW w:type="dxa" w:w="2209"/>
          </w:tcPr>
          <w:p>
            <w:pPr>
              <w:spacing w:line="240" w:lineRule="auto"/>
              <w:jc w:val="left"/>
            </w:pPr>
            <w:r>
              <w:rPr>
                <w:rFonts w:ascii="Times New Roman" w:hAnsi="Times New Roman" w:eastAsia="Times New Roman"/>
                <w:b w:val="0"/>
                <w:caps w:val="0"/>
                <w:sz w:val="22"/>
              </w:rPr>
              <w:t>përputhet</w:t>
            </w:r>
          </w:p>
        </w:tc>
      </w:tr>
    </w:tbl>
    <w:p>
      <w:pPr>
        <w:spacing w:line="240" w:lineRule="auto" w:after="0"/>
      </w:pP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0.243 deri në 0.617, më e larta te Long Method dhe më e ulëta te Feature Envy.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por jo te çdo erë. Sipas vlerës së matur, modeli i mësuar mbi metrikat e sistemit e ngre MCC-në te të katër erërat: brezi kalon nga 0.243–0.617 në 0.321–0.723, dhe intervalet bootstrap sipas depos e vendosin këtë përparësi mbi zero te tri nga katër erërat. Te Feature Envy dallimi nuk ndahet nga zeroja, pra atje përmirësimi nuk provohet. Fitimi vjen kryesisht nga recall-i, që rritet te çdo erë. Kur rregullit i jepet pragu i tij më i mirë nga analiza e ndjeshmërisë, dallimi nuk ndahet më nga zeroja as te Long Method (Nënkapitulli 5.7). Kur modeli sheh vetëm metrikat e strategjisë, fitimi nuk mbetet te çdo erë (Nënkapitulli 5.2).</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22.4% të vendeve të detektuara; nga rishkrimet, 98.3% kompiluan ose nuk shtuan lloj të ri gabimi, dhe 1.6% shtuan. Era u hoq te 64.8% e tyre, dhe metrika që e shkakton detektimin ra edhe aty ku era mbeti: struktura përmirësohet objektivisht në shumicën e rasteve, me koston e 865 erërave të reja. Kur skedari kompilohet brenda projektit të vet, pjesa që kompilon plotësisht rritet ndjeshëm, ndërsa dy rishkrime nga 201 e përmbysin verdiktin në drejtimin e kundërt dhe e kufizojnë pretendimin. Pretendimin për strukturën e ngushton leximi me sy: pas ripeshimit sipas transformimit, një zhvillues do t'i pranonte 62.9% të vendeve të rishkruara, ndërsa nga rishkrimet e Introduce Parameter Object asnjë. Ruajtja e sjelljes nuk është pjesë e PK3 dhe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kompilueshmërinë dhe, te dy nga tri transformimet, për strukturën, me kosto të matur, ndërsa sjellja mbetet pyetje e hapur.</w:t>
      </w:r>
    </w:p>
    <w:p>
      <w:pPr>
        <w:spacing w:line="360" w:lineRule="auto"/>
        <w:ind w:firstLine="360"/>
        <w:jc w:val="both"/>
      </w:pPr>
      <w:r>
        <w:rPr>
          <w:rFonts w:ascii="Times New Roman" w:hAnsi="Times New Roman" w:eastAsia="Times New Roman"/>
          <w:b w:val="0"/>
          <w:caps w:val="0"/>
          <w:sz w:val="24"/>
        </w:rPr>
        <w:t>Të treja përgjigjet, në formë të shkurtër dhe me shifrën që i mban, janë këto (Tabela 29):</w:t>
      </w:r>
    </w:p>
    <w:p>
      <w:pPr>
        <w:keepNext/>
        <w:spacing w:line="240" w:lineRule="auto"/>
        <w:jc w:val="center"/>
      </w:pPr>
      <w:r>
        <w:rPr>
          <w:rFonts w:ascii="Times New Roman" w:hAnsi="Times New Roman" w:eastAsia="Times New Roman"/>
          <w:b w:val="0"/>
          <w:caps w:val="0"/>
          <w:sz w:val="22"/>
        </w:rPr>
        <w:t>Tabela 29. Përgjigjet e shkurtra ndaj pyetjeve kërkimore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Pyetja</w:t>
            </w:r>
          </w:p>
        </w:tc>
        <w:tc>
          <w:tcPr>
            <w:tcW w:type="dxa" w:w="2209"/>
          </w:tcPr>
          <w:p>
            <w:pPr>
              <w:spacing w:line="240" w:lineRule="auto"/>
              <w:jc w:val="left"/>
            </w:pPr>
            <w:r>
              <w:rPr>
                <w:rFonts w:ascii="Times New Roman" w:hAnsi="Times New Roman" w:eastAsia="Times New Roman"/>
                <w:b/>
                <w:caps w:val="0"/>
                <w:sz w:val="22"/>
              </w:rPr>
              <w:t>Përgjigjja</w:t>
            </w:r>
          </w:p>
        </w:tc>
        <w:tc>
          <w:tcPr>
            <w:tcW w:type="dxa" w:w="2209"/>
          </w:tcPr>
          <w:p>
            <w:pPr>
              <w:spacing w:line="240" w:lineRule="auto"/>
              <w:jc w:val="left"/>
            </w:pPr>
            <w:r>
              <w:rPr>
                <w:rFonts w:ascii="Times New Roman" w:hAnsi="Times New Roman" w:eastAsia="Times New Roman"/>
                <w:b/>
                <w:caps w:val="0"/>
                <w:sz w:val="22"/>
              </w:rPr>
              <w:t>Dëshmia kryesore</w:t>
            </w:r>
          </w:p>
        </w:tc>
        <w:tc>
          <w:tcPr>
            <w:tcW w:type="dxa" w:w="2209"/>
          </w:tcPr>
          <w:p>
            <w:pPr>
              <w:spacing w:line="240" w:lineRule="auto"/>
              <w:jc w:val="left"/>
            </w:pPr>
            <w:r>
              <w:rPr>
                <w:rFonts w:ascii="Times New Roman" w:hAnsi="Times New Roman" w:eastAsia="Times New Roman"/>
                <w:b/>
                <w:caps w:val="0"/>
                <w:sz w:val="22"/>
              </w:rPr>
              <w:t>Nënkapitulli</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Pjesërisht: precizion i lartë, recall i ulët</w:t>
            </w:r>
          </w:p>
        </w:tc>
        <w:tc>
          <w:tcPr>
            <w:tcW w:type="dxa" w:w="2209"/>
          </w:tcPr>
          <w:p>
            <w:pPr>
              <w:spacing w:line="240" w:lineRule="auto"/>
              <w:jc w:val="left"/>
            </w:pPr>
            <w:r>
              <w:rPr>
                <w:rFonts w:ascii="Times New Roman" w:hAnsi="Times New Roman" w:eastAsia="Times New Roman"/>
                <w:b w:val="0"/>
                <w:caps w:val="0"/>
                <w:sz w:val="22"/>
              </w:rPr>
              <w:t>MCC 0.243–0.617</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Po, te të katër erërat sipas vlerës së matur; te Feature Envy dallimi nuk ndahet nga zeroja</w:t>
            </w:r>
          </w:p>
        </w:tc>
        <w:tc>
          <w:tcPr>
            <w:tcW w:type="dxa" w:w="2209"/>
          </w:tcPr>
          <w:p>
            <w:pPr>
              <w:spacing w:line="240" w:lineRule="auto"/>
              <w:jc w:val="left"/>
            </w:pPr>
            <w:r>
              <w:rPr>
                <w:rFonts w:ascii="Times New Roman" w:hAnsi="Times New Roman" w:eastAsia="Times New Roman"/>
                <w:b w:val="0"/>
                <w:caps w:val="0"/>
                <w:sz w:val="22"/>
              </w:rPr>
              <w:t>MCC 0.321–0.723</w:t>
            </w:r>
          </w:p>
        </w:tc>
        <w:tc>
          <w:tcPr>
            <w:tcW w:type="dxa" w:w="2209"/>
          </w:tcPr>
          <w:p>
            <w:pPr>
              <w:spacing w:line="240" w:lineRule="auto"/>
              <w:jc w:val="left"/>
            </w:pPr>
            <w:r>
              <w:rPr>
                <w:rFonts w:ascii="Times New Roman" w:hAnsi="Times New Roman" w:eastAsia="Times New Roman"/>
                <w:b w:val="0"/>
                <w:caps w:val="0"/>
                <w:sz w:val="22"/>
              </w:rPr>
              <w:t>5.2, 5.3, 5.7</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Po për kompilueshmërinë; për strukturën te dy nga tri transformimet; sjellja nuk u mat</w:t>
            </w:r>
          </w:p>
        </w:tc>
        <w:tc>
          <w:tcPr>
            <w:tcW w:type="dxa" w:w="2209"/>
          </w:tcPr>
          <w:p>
            <w:pPr>
              <w:spacing w:line="240" w:lineRule="auto"/>
              <w:jc w:val="left"/>
            </w:pPr>
            <w:r>
              <w:rPr>
                <w:rFonts w:ascii="Times New Roman" w:hAnsi="Times New Roman" w:eastAsia="Times New Roman"/>
                <w:b w:val="0"/>
                <w:caps w:val="0"/>
                <w:sz w:val="22"/>
              </w:rPr>
              <w:t>22.4% e vendeve të transformuara; 62.9% e rishkrimeve të pranueshme</w:t>
            </w:r>
          </w:p>
        </w:tc>
        <w:tc>
          <w:tcPr>
            <w:tcW w:type="dxa" w:w="2209"/>
          </w:tcPr>
          <w:p>
            <w:pPr>
              <w:spacing w:line="240" w:lineRule="auto"/>
              <w:jc w:val="left"/>
            </w:pPr>
            <w:r>
              <w:rPr>
                <w:rFonts w:ascii="Times New Roman" w:hAnsi="Times New Roman" w:eastAsia="Times New Roman"/>
                <w:b w:val="0"/>
                <w:caps w:val="0"/>
                <w:sz w:val="22"/>
              </w:rPr>
              <w:t>5.4</w:t>
            </w:r>
          </w:p>
        </w:tc>
      </w:tr>
    </w:tbl>
    <w:p>
      <w:pPr>
        <w:spacing w:line="240" w:lineRule="auto" w:after="0"/>
      </w:pP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mes rishikuesve, i moderuar te tri erëra dhe pothuajse i munguar te Feature Envy, i vë gjithashtu një tavan çdo detektori, përtej të cilit gabimi i përket paqartësisë së vetë erës: një erë që vetë njerëzit nuk e dallojnë njësoj nuk mësohet dot nga të dhënat e tyre.</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lihet mjetit për rreth një në katër vende, por si propozim që zhvilluesi e lexon dhe e kalon nëpër testet e projektit, jo si ndryshim i garantuar: mjeti provon parakushtet dhe kompilimin, jo sjelljen, dhe refuzon çdo gjë që nuk e provon.</w:t>
      </w:r>
    </w:p>
    <w:p>
      <w:pPr>
        <w:spacing w:line="360" w:lineRule="auto"/>
        <w:ind w:firstLine="360"/>
        <w:jc w:val="both"/>
      </w:pPr>
      <w:r>
        <w:rPr>
          <w:rFonts w:ascii="Times New Roman" w:hAnsi="Times New Roman" w:eastAsia="Times New Roman"/>
          <w:b w:val="0"/>
          <w:caps w:val="0"/>
          <w:sz w:val="24"/>
        </w:rPr>
        <w:t>Meqë shumica e erërave lindin bashkë me kodin (Tufano et al., 2015), mjeti ka më shumë vlerë kur vepron herët, si portë në integrimin e vazhdueshëm, sesa si auditim i rrallë mbi një sistem të pjekur. Për Feature Envy, erën që literatura e trajton më shpesh si objektiv refaktorimi, mjetet e lira të përhapura ofrojnë pak: PMD nuk ka rregull për të, DesigniteJava nuk e përfshin mes erërave që dokumenton, dhe JDeodorant, që e gjen përmes mundësive për Move Method (Tsantalis &amp; Chatzigeorgiou, 2009), punon si shtojcë e mjedisit të zhvillimit, ndërsa varianti i tij në rresht komande nuk mban licencë. Një detektor i lirë që punon nga rreshti i komandës e mbush pjesërisht këtë boshllëk.</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Kufizimet kryesore të sistemit dhe të vlerësimit, pasoja e secilit për rezultatet dhe mënyra si u trajtua, janë përmbledhur në tabelë; paragrafët pasues i shtjellojnë (Tabela 30).</w:t>
      </w:r>
    </w:p>
    <w:p>
      <w:pPr>
        <w:keepNext/>
        <w:spacing w:line="240" w:lineRule="auto"/>
        <w:jc w:val="center"/>
      </w:pPr>
      <w:r>
        <w:rPr>
          <w:rFonts w:ascii="Times New Roman" w:hAnsi="Times New Roman" w:eastAsia="Times New Roman"/>
          <w:b w:val="0"/>
          <w:caps w:val="0"/>
          <w:sz w:val="22"/>
        </w:rPr>
        <w:t>Tabela 30. Kufizimet e sistemit dhe pasojat e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Kufizimi</w:t>
            </w:r>
          </w:p>
        </w:tc>
        <w:tc>
          <w:tcPr>
            <w:tcW w:type="dxa" w:w="2946"/>
          </w:tcPr>
          <w:p>
            <w:pPr>
              <w:spacing w:line="240" w:lineRule="auto"/>
              <w:jc w:val="left"/>
            </w:pPr>
            <w:r>
              <w:rPr>
                <w:rFonts w:ascii="Times New Roman" w:hAnsi="Times New Roman" w:eastAsia="Times New Roman"/>
                <w:b/>
                <w:caps w:val="0"/>
                <w:sz w:val="22"/>
              </w:rPr>
              <w:t>Pasoja për rezultatet</w:t>
            </w:r>
          </w:p>
        </w:tc>
        <w:tc>
          <w:tcPr>
            <w:tcW w:type="dxa" w:w="2946"/>
          </w:tcPr>
          <w:p>
            <w:pPr>
              <w:spacing w:line="240" w:lineRule="auto"/>
              <w:jc w:val="left"/>
            </w:pPr>
            <w:r>
              <w:rPr>
                <w:rFonts w:ascii="Times New Roman" w:hAnsi="Times New Roman" w:eastAsia="Times New Roman"/>
                <w:b/>
                <w:caps w:val="0"/>
                <w:sz w:val="22"/>
              </w:rPr>
              <w:t>Si u trajtua</w:t>
            </w:r>
          </w:p>
        </w:tc>
      </w:tr>
      <w:tr>
        <w:tc>
          <w:tcPr>
            <w:tcW w:type="dxa" w:w="2946"/>
          </w:tcPr>
          <w:p>
            <w:pPr>
              <w:spacing w:line="240" w:lineRule="auto"/>
              <w:jc w:val="left"/>
            </w:pPr>
            <w:r>
              <w:rPr>
                <w:rFonts w:ascii="Times New Roman" w:hAnsi="Times New Roman" w:eastAsia="Times New Roman"/>
                <w:b w:val="0"/>
                <w:caps w:val="0"/>
                <w:sz w:val="22"/>
              </w:rPr>
              <w:t>Analizë sintaksore, pa zgjidhje simbolesh</w:t>
            </w:r>
          </w:p>
        </w:tc>
        <w:tc>
          <w:tcPr>
            <w:tcW w:type="dxa" w:w="2946"/>
          </w:tcPr>
          <w:p>
            <w:pPr>
              <w:spacing w:line="240" w:lineRule="auto"/>
              <w:jc w:val="left"/>
            </w:pPr>
            <w:r>
              <w:rPr>
                <w:rFonts w:ascii="Times New Roman" w:hAnsi="Times New Roman" w:eastAsia="Times New Roman"/>
                <w:b w:val="0"/>
                <w:caps w:val="0"/>
                <w:sz w:val="22"/>
              </w:rPr>
              <w:t>Automatizohen vetëm tri transformime; ATFD-ja matet në mënyrë konservative</w:t>
            </w:r>
          </w:p>
        </w:tc>
        <w:tc>
          <w:tcPr>
            <w:tcW w:type="dxa" w:w="2946"/>
          </w:tcPr>
          <w:p>
            <w:pPr>
              <w:spacing w:line="240" w:lineRule="auto"/>
              <w:jc w:val="left"/>
            </w:pPr>
            <w:r>
              <w:rPr>
                <w:rFonts w:ascii="Times New Roman" w:hAnsi="Times New Roman" w:eastAsia="Times New Roman"/>
                <w:b w:val="0"/>
                <w:caps w:val="0"/>
                <w:sz w:val="22"/>
              </w:rPr>
              <w:t>Transformimi refuzohet kur parakushti nuk provohet (3.4, 4.4)</w:t>
            </w:r>
          </w:p>
        </w:tc>
      </w:tr>
      <w:tr>
        <w:tc>
          <w:tcPr>
            <w:tcW w:type="dxa" w:w="2946"/>
          </w:tcPr>
          <w:p>
            <w:pPr>
              <w:spacing w:line="240" w:lineRule="auto"/>
              <w:jc w:val="left"/>
            </w:pPr>
            <w:r>
              <w:rPr>
                <w:rFonts w:ascii="Times New Roman" w:hAnsi="Times New Roman" w:eastAsia="Times New Roman"/>
                <w:b w:val="0"/>
                <w:caps w:val="0"/>
                <w:sz w:val="22"/>
              </w:rPr>
              <w:t>Verifikim vetëm me kompilator, shpesh i skedarit të izoluar</w:t>
            </w:r>
          </w:p>
        </w:tc>
        <w:tc>
          <w:tcPr>
            <w:tcW w:type="dxa" w:w="2946"/>
          </w:tcPr>
          <w:p>
            <w:pPr>
              <w:spacing w:line="240" w:lineRule="auto"/>
              <w:jc w:val="left"/>
            </w:pPr>
            <w:r>
              <w:rPr>
                <w:rFonts w:ascii="Times New Roman" w:hAnsi="Times New Roman" w:eastAsia="Times New Roman"/>
                <w:b w:val="0"/>
                <w:caps w:val="0"/>
                <w:sz w:val="22"/>
              </w:rPr>
              <w:t>«Pa lloj të ri gabimi» nuk është garanci; sjellja e programit nuk u mat</w:t>
            </w:r>
          </w:p>
        </w:tc>
        <w:tc>
          <w:tcPr>
            <w:tcW w:type="dxa" w:w="2946"/>
          </w:tcPr>
          <w:p>
            <w:pPr>
              <w:spacing w:line="240" w:lineRule="auto"/>
              <w:jc w:val="left"/>
            </w:pPr>
            <w:r>
              <w:rPr>
                <w:rFonts w:ascii="Times New Roman" w:hAnsi="Times New Roman" w:eastAsia="Times New Roman"/>
                <w:b w:val="0"/>
                <w:caps w:val="0"/>
                <w:sz w:val="22"/>
              </w:rPr>
              <w:t>Mostër e kompiluar brenda projektit dhe 60 rishkrime të lexuara (5.4)</w:t>
            </w:r>
          </w:p>
        </w:tc>
      </w:tr>
      <w:tr>
        <w:tc>
          <w:tcPr>
            <w:tcW w:type="dxa" w:w="2946"/>
          </w:tcPr>
          <w:p>
            <w:pPr>
              <w:spacing w:line="240" w:lineRule="auto"/>
              <w:jc w:val="left"/>
            </w:pPr>
            <w:r>
              <w:rPr>
                <w:rFonts w:ascii="Times New Roman" w:hAnsi="Times New Roman" w:eastAsia="Times New Roman"/>
                <w:b w:val="0"/>
                <w:caps w:val="0"/>
                <w:sz w:val="22"/>
              </w:rPr>
              <w:t>Rishkrime që shtojnë gabim kompilimi</w:t>
            </w:r>
          </w:p>
        </w:tc>
        <w:tc>
          <w:tcPr>
            <w:tcW w:type="dxa" w:w="2946"/>
          </w:tcPr>
          <w:p>
            <w:pPr>
              <w:spacing w:line="240" w:lineRule="auto"/>
              <w:jc w:val="left"/>
            </w:pPr>
            <w:r>
              <w:rPr>
                <w:rFonts w:ascii="Times New Roman" w:hAnsi="Times New Roman" w:eastAsia="Times New Roman"/>
                <w:b w:val="0"/>
                <w:caps w:val="0"/>
                <w:sz w:val="22"/>
              </w:rPr>
              <w:t>58 rishkrime (1.6%); disa të tjera e kalojnë verifikimin pa qenë të sakta</w:t>
            </w:r>
          </w:p>
        </w:tc>
        <w:tc>
          <w:tcPr>
            <w:tcW w:type="dxa" w:w="2946"/>
          </w:tcPr>
          <w:p>
            <w:pPr>
              <w:spacing w:line="240" w:lineRule="auto"/>
              <w:jc w:val="left"/>
            </w:pPr>
            <w:r>
              <w:rPr>
                <w:rFonts w:ascii="Times New Roman" w:hAnsi="Times New Roman" w:eastAsia="Times New Roman"/>
                <w:b w:val="0"/>
                <w:caps w:val="0"/>
                <w:sz w:val="22"/>
              </w:rPr>
              <w:t>Nuk hyjnë në patch; numërohen dhe raportohen veç (5.4, 6.6)</w:t>
            </w:r>
          </w:p>
        </w:tc>
      </w:tr>
      <w:tr>
        <w:tc>
          <w:tcPr>
            <w:tcW w:type="dxa" w:w="2946"/>
          </w:tcPr>
          <w:p>
            <w:pPr>
              <w:spacing w:line="240" w:lineRule="auto"/>
              <w:jc w:val="left"/>
            </w:pPr>
            <w:r>
              <w:rPr>
                <w:rFonts w:ascii="Times New Roman" w:hAnsi="Times New Roman" w:eastAsia="Times New Roman"/>
                <w:b w:val="0"/>
                <w:caps w:val="0"/>
                <w:sz w:val="22"/>
              </w:rPr>
              <w:t>Cilësia e rishkrimeve e gjykuar nga një rishikues i vetëm</w:t>
            </w:r>
          </w:p>
        </w:tc>
        <w:tc>
          <w:tcPr>
            <w:tcW w:type="dxa" w:w="2946"/>
          </w:tcPr>
          <w:p>
            <w:pPr>
              <w:spacing w:line="240" w:lineRule="auto"/>
              <w:jc w:val="left"/>
            </w:pPr>
            <w:r>
              <w:rPr>
                <w:rFonts w:ascii="Times New Roman" w:hAnsi="Times New Roman" w:eastAsia="Times New Roman"/>
                <w:b w:val="0"/>
                <w:caps w:val="0"/>
                <w:sz w:val="22"/>
              </w:rPr>
              <w:t>Nuk ka pajtim mes rishikuesish për këtë gjykim</w:t>
            </w:r>
          </w:p>
        </w:tc>
        <w:tc>
          <w:tcPr>
            <w:tcW w:type="dxa" w:w="2946"/>
          </w:tcPr>
          <w:p>
            <w:pPr>
              <w:spacing w:line="240" w:lineRule="auto"/>
              <w:jc w:val="left"/>
            </w:pPr>
            <w:r>
              <w:rPr>
                <w:rFonts w:ascii="Times New Roman" w:hAnsi="Times New Roman" w:eastAsia="Times New Roman"/>
                <w:b w:val="0"/>
                <w:caps w:val="0"/>
                <w:sz w:val="22"/>
              </w:rPr>
              <w:t>Rubrikë e fiksuar, mostër e shtresuar, intervale Wilson (4.7)</w:t>
            </w:r>
          </w:p>
        </w:tc>
      </w:tr>
      <w:tr>
        <w:tc>
          <w:tcPr>
            <w:tcW w:type="dxa" w:w="2946"/>
          </w:tcPr>
          <w:p>
            <w:pPr>
              <w:spacing w:line="240" w:lineRule="auto"/>
              <w:jc w:val="left"/>
            </w:pPr>
            <w:r>
              <w:rPr>
                <w:rFonts w:ascii="Times New Roman" w:hAnsi="Times New Roman" w:eastAsia="Times New Roman"/>
                <w:b w:val="0"/>
                <w:caps w:val="0"/>
                <w:sz w:val="22"/>
              </w:rPr>
              <w:t>Një dataset i vetëm, katër erëra, gjykime njerëzore</w:t>
            </w:r>
          </w:p>
        </w:tc>
        <w:tc>
          <w:tcPr>
            <w:tcW w:type="dxa" w:w="2946"/>
          </w:tcPr>
          <w:p>
            <w:pPr>
              <w:spacing w:line="240" w:lineRule="auto"/>
              <w:jc w:val="left"/>
            </w:pPr>
            <w:r>
              <w:rPr>
                <w:rFonts w:ascii="Times New Roman" w:hAnsi="Times New Roman" w:eastAsia="Times New Roman"/>
                <w:b w:val="0"/>
                <w:caps w:val="0"/>
                <w:sz w:val="22"/>
              </w:rPr>
              <w:t>Tre detektorë nuk kanë të vërtetë bazë; etiketa varet nga agregimi</w:t>
            </w:r>
          </w:p>
        </w:tc>
        <w:tc>
          <w:tcPr>
            <w:tcW w:type="dxa" w:w="2946"/>
          </w:tcPr>
          <w:p>
            <w:pPr>
              <w:spacing w:line="240" w:lineRule="auto"/>
              <w:jc w:val="left"/>
            </w:pPr>
            <w:r>
              <w:rPr>
                <w:rFonts w:ascii="Times New Roman" w:hAnsi="Times New Roman" w:eastAsia="Times New Roman"/>
                <w:b w:val="0"/>
                <w:caps w:val="0"/>
                <w:sz w:val="22"/>
              </w:rPr>
              <w:t>Agregimet alternative dhe pajtimi mes rishikuesve raportohen (4.3, 5.7)</w:t>
            </w:r>
          </w:p>
        </w:tc>
      </w:tr>
      <w:tr>
        <w:tc>
          <w:tcPr>
            <w:tcW w:type="dxa" w:w="2946"/>
          </w:tcPr>
          <w:p>
            <w:pPr>
              <w:spacing w:line="240" w:lineRule="auto"/>
              <w:jc w:val="left"/>
            </w:pPr>
            <w:r>
              <w:rPr>
                <w:rFonts w:ascii="Times New Roman" w:hAnsi="Times New Roman" w:eastAsia="Times New Roman"/>
                <w:b w:val="0"/>
                <w:caps w:val="0"/>
                <w:sz w:val="22"/>
              </w:rPr>
              <w:t>Depo që nuk gjenden më</w:t>
            </w:r>
          </w:p>
        </w:tc>
        <w:tc>
          <w:tcPr>
            <w:tcW w:type="dxa" w:w="2946"/>
          </w:tcPr>
          <w:p>
            <w:pPr>
              <w:spacing w:line="240" w:lineRule="auto"/>
              <w:jc w:val="left"/>
            </w:pPr>
            <w:r>
              <w:rPr>
                <w:rFonts w:ascii="Times New Roman" w:hAnsi="Times New Roman" w:eastAsia="Times New Roman"/>
                <w:b w:val="0"/>
                <w:caps w:val="0"/>
                <w:sz w:val="22"/>
              </w:rPr>
              <w:t>Një pjesë e mostrave mungon nga vlerësimi</w:t>
            </w:r>
          </w:p>
        </w:tc>
        <w:tc>
          <w:tcPr>
            <w:tcW w:type="dxa" w:w="2946"/>
          </w:tcPr>
          <w:p>
            <w:pPr>
              <w:spacing w:line="240" w:lineRule="auto"/>
              <w:jc w:val="left"/>
            </w:pPr>
            <w:r>
              <w:rPr>
                <w:rFonts w:ascii="Times New Roman" w:hAnsi="Times New Roman" w:eastAsia="Times New Roman"/>
                <w:b w:val="0"/>
                <w:caps w:val="0"/>
                <w:sz w:val="22"/>
              </w:rPr>
              <w:t>Numërohen me shkakun në hyrje të Kapitullit 5</w:t>
            </w:r>
          </w:p>
        </w:tc>
      </w:tr>
      <w:tr>
        <w:tc>
          <w:tcPr>
            <w:tcW w:type="dxa" w:w="2946"/>
          </w:tcPr>
          <w:p>
            <w:pPr>
              <w:spacing w:line="240" w:lineRule="auto"/>
              <w:jc w:val="left"/>
            </w:pPr>
            <w:r>
              <w:rPr>
                <w:rFonts w:ascii="Times New Roman" w:hAnsi="Times New Roman" w:eastAsia="Times New Roman"/>
                <w:b w:val="0"/>
                <w:caps w:val="0"/>
                <w:sz w:val="22"/>
              </w:rPr>
              <w:t>Ashpërsia derivohet nga teprica mbi pragje</w:t>
            </w:r>
          </w:p>
        </w:tc>
        <w:tc>
          <w:tcPr>
            <w:tcW w:type="dxa" w:w="2946"/>
          </w:tcPr>
          <w:p>
            <w:pPr>
              <w:spacing w:line="240" w:lineRule="auto"/>
              <w:jc w:val="left"/>
            </w:pPr>
            <w:r>
              <w:rPr>
                <w:rFonts w:ascii="Times New Roman" w:hAnsi="Times New Roman" w:eastAsia="Times New Roman"/>
                <w:b w:val="0"/>
                <w:caps w:val="0"/>
                <w:sz w:val="22"/>
              </w:rPr>
              <w:t>Nuk përkon me ashpërsinë e rishikuesve</w:t>
            </w:r>
          </w:p>
        </w:tc>
        <w:tc>
          <w:tcPr>
            <w:tcW w:type="dxa" w:w="2946"/>
          </w:tcPr>
          <w:p>
            <w:pPr>
              <w:spacing w:line="240" w:lineRule="auto"/>
              <w:jc w:val="left"/>
            </w:pPr>
            <w:r>
              <w:rPr>
                <w:rFonts w:ascii="Times New Roman" w:hAnsi="Times New Roman" w:eastAsia="Times New Roman"/>
                <w:b w:val="0"/>
                <w:caps w:val="0"/>
                <w:sz w:val="22"/>
              </w:rPr>
              <w:t>Përdoret vetëm si renditje brenda mjetit (Shtojca 8.7)</w:t>
            </w:r>
          </w:p>
        </w:tc>
      </w:tr>
      <w:tr>
        <w:tc>
          <w:tcPr>
            <w:tcW w:type="dxa" w:w="2946"/>
          </w:tcPr>
          <w:p>
            <w:pPr>
              <w:spacing w:line="240" w:lineRule="auto"/>
              <w:jc w:val="left"/>
            </w:pPr>
            <w:r>
              <w:rPr>
                <w:rFonts w:ascii="Times New Roman" w:hAnsi="Times New Roman" w:eastAsia="Times New Roman"/>
                <w:b w:val="0"/>
                <w:caps w:val="0"/>
                <w:sz w:val="22"/>
              </w:rPr>
              <w:t>Algoritmi më i mirë zgjidhet mbi të njëjtat parashikime</w:t>
            </w:r>
          </w:p>
        </w:tc>
        <w:tc>
          <w:tcPr>
            <w:tcW w:type="dxa" w:w="2946"/>
          </w:tcPr>
          <w:p>
            <w:pPr>
              <w:spacing w:line="240" w:lineRule="auto"/>
              <w:jc w:val="left"/>
            </w:pPr>
            <w:r>
              <w:rPr>
                <w:rFonts w:ascii="Times New Roman" w:hAnsi="Times New Roman" w:eastAsia="Times New Roman"/>
                <w:b w:val="0"/>
                <w:caps w:val="0"/>
                <w:sz w:val="22"/>
              </w:rPr>
              <w:t>MCC-ja e Qasjes B anon lehtë lart</w:t>
            </w:r>
          </w:p>
        </w:tc>
        <w:tc>
          <w:tcPr>
            <w:tcW w:type="dxa" w:w="2946"/>
          </w:tcPr>
          <w:p>
            <w:pPr>
              <w:spacing w:line="240" w:lineRule="auto"/>
              <w:jc w:val="left"/>
            </w:pPr>
            <w:r>
              <w:rPr>
                <w:rFonts w:ascii="Times New Roman" w:hAnsi="Times New Roman" w:eastAsia="Times New Roman"/>
                <w:b w:val="0"/>
                <w:caps w:val="0"/>
                <w:sz w:val="22"/>
              </w:rPr>
              <w:t>Jepen të gjithë algoritmet; edhe më i dobëti e kalon rregullin te tri nga katër erërat (5.2, 6.6)</w:t>
            </w:r>
          </w:p>
        </w:tc>
      </w:tr>
      <w:tr>
        <w:tc>
          <w:tcPr>
            <w:tcW w:type="dxa" w:w="2946"/>
          </w:tcPr>
          <w:p>
            <w:pPr>
              <w:spacing w:line="240" w:lineRule="auto"/>
              <w:jc w:val="left"/>
            </w:pPr>
            <w:r>
              <w:rPr>
                <w:rFonts w:ascii="Times New Roman" w:hAnsi="Times New Roman" w:eastAsia="Times New Roman"/>
                <w:b w:val="0"/>
                <w:caps w:val="0"/>
                <w:sz w:val="22"/>
              </w:rPr>
              <w:t>Modele pa optimizim hiperparametrash, me një farë</w:t>
            </w:r>
          </w:p>
        </w:tc>
        <w:tc>
          <w:tcPr>
            <w:tcW w:type="dxa" w:w="2946"/>
          </w:tcPr>
          <w:p>
            <w:pPr>
              <w:spacing w:line="240" w:lineRule="auto"/>
              <w:jc w:val="left"/>
            </w:pPr>
            <w:r>
              <w:rPr>
                <w:rFonts w:ascii="Times New Roman" w:hAnsi="Times New Roman" w:eastAsia="Times New Roman"/>
                <w:b w:val="0"/>
                <w:caps w:val="0"/>
                <w:sz w:val="22"/>
              </w:rPr>
              <w:t>Pasiguria nga fara nuk matet</w:t>
            </w:r>
          </w:p>
        </w:tc>
        <w:tc>
          <w:tcPr>
            <w:tcW w:type="dxa" w:w="2946"/>
          </w:tcPr>
          <w:p>
            <w:pPr>
              <w:spacing w:line="240" w:lineRule="auto"/>
              <w:jc w:val="left"/>
            </w:pPr>
            <w:r>
              <w:rPr>
                <w:rFonts w:ascii="Times New Roman" w:hAnsi="Times New Roman" w:eastAsia="Times New Roman"/>
                <w:b w:val="0"/>
                <w:caps w:val="0"/>
                <w:sz w:val="22"/>
              </w:rPr>
              <w:t>Pasiguria nga korpusi matet me bootstrap sipas depos (4.9)</w:t>
            </w:r>
          </w:p>
        </w:tc>
      </w:tr>
      <w:tr>
        <w:tc>
          <w:tcPr>
            <w:tcW w:type="dxa" w:w="2946"/>
          </w:tcPr>
          <w:p>
            <w:pPr>
              <w:spacing w:line="240" w:lineRule="auto"/>
              <w:jc w:val="left"/>
            </w:pPr>
            <w:r>
              <w:rPr>
                <w:rFonts w:ascii="Times New Roman" w:hAnsi="Times New Roman" w:eastAsia="Times New Roman"/>
                <w:b w:val="0"/>
                <w:caps w:val="0"/>
                <w:sz w:val="22"/>
              </w:rPr>
              <w:t>Vetëm Java dhe kod me burim të hapur</w:t>
            </w:r>
          </w:p>
        </w:tc>
        <w:tc>
          <w:tcPr>
            <w:tcW w:type="dxa" w:w="2946"/>
          </w:tcPr>
          <w:p>
            <w:pPr>
              <w:spacing w:line="240" w:lineRule="auto"/>
              <w:jc w:val="left"/>
            </w:pPr>
            <w:r>
              <w:rPr>
                <w:rFonts w:ascii="Times New Roman" w:hAnsi="Times New Roman" w:eastAsia="Times New Roman"/>
                <w:b w:val="0"/>
                <w:caps w:val="0"/>
                <w:sz w:val="22"/>
              </w:rPr>
              <w:t>Transferimi te gjuhë ose kod industrial i mbyllur nuk provohet</w:t>
            </w:r>
          </w:p>
        </w:tc>
        <w:tc>
          <w:tcPr>
            <w:tcW w:type="dxa" w:w="2946"/>
          </w:tcPr>
          <w:p>
            <w:pPr>
              <w:spacing w:line="240" w:lineRule="auto"/>
              <w:jc w:val="left"/>
            </w:pPr>
            <w:r>
              <w:rPr>
                <w:rFonts w:ascii="Times New Roman" w:hAnsi="Times New Roman" w:eastAsia="Times New Roman"/>
                <w:b w:val="0"/>
                <w:caps w:val="0"/>
                <w:sz w:val="22"/>
              </w:rPr>
              <w:t>Deklarohet si kërcënim i vlefshmërisë së jashtme (4.13)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pajtim vetëm të moderuar mes rishikuesve, dhe pothuajse asnjë pajtim te Feature Envy;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Rishkrimet nuk dolën pa gabime, dhe këto raste janë pjesë e rezultatit. 58 nga 3532 rishkrime (1.6%) shtuan një lloj të ri gabimi kompilimi. Në mjet ato nuk hyjnë në patch dhe nuk shkruhen në disk, sepse të dyja e kërkojnë verifikimin, por tregojnë se motori prodhon edhe kod të gabuar, të cilin e ndal vetëm verifikimi. Disa raste të tjera e kalojnë verifikimin dhe prandaj do të hynin në patch. Dy nga 201 rishkrimet e kompiluara brenda projektit shtonin gabim që skedari i izoluar e fshihte. Leximi i 60 rishkrimeve gjeti një rishkrim të Extract Method që nuk kompilon dhe e ndryshon sjelljen, por që toleranca «pa lloj të ri gabimi» e la të kalonte (Nënkapitulli 6.1). Verifikimi i këtij punimi duhet lexuar pra si filtër i fortë, por jo i plotë, për gabimet e kompilimit, dhe aspak si provë e ruajtjes së sjelljes: një rishkrim që kompilon mund ta ndryshojë sjelljen pa e vënë re asnjë nga tri nivelet e kontrollit.</w:t>
      </w:r>
    </w:p>
    <w:p>
      <w:pPr>
        <w:spacing w:line="360" w:lineRule="auto"/>
        <w:ind w:firstLine="360"/>
        <w:jc w:val="both"/>
      </w:pPr>
      <w:r>
        <w:rPr>
          <w:rFonts w:ascii="Times New Roman" w:hAnsi="Times New Roman" w:eastAsia="Times New Roman"/>
          <w:b/>
          <w:caps w:val="0"/>
          <w:sz w:val="24"/>
        </w:rPr>
        <w:t>Zgjedhja e modelit.</w:t>
      </w:r>
      <w:r>
        <w:rPr>
          <w:rFonts w:ascii="Times New Roman" w:hAnsi="Times New Roman" w:eastAsia="Times New Roman"/>
          <w:b w:val="0"/>
          <w:caps w:val="0"/>
          <w:sz w:val="24"/>
        </w:rPr>
        <w:t xml:space="preserve"> Shifrat e Qasjes B janë të algoritmit më të mirë për secilën erë, të zgjedhur mbi të njëjtat parashikime jashtë fold-it mbi të cilat raportohet MCC-ja (Nënkapitulli 4.6). Pa një bashkësi të tretë vetëm për zgjedhjen, kjo e ngre lehtë shifrën e raportuar (Cawley &amp; Talbot, 2010), dhe intervalet bootstrap të Nënkapitullit 5.7 e mbajnë zgjedhjen të fiksuar, ndaj as ato nuk e përfshijnë këtë pasiguri. Sa peshon kjo kufizohet nga tabela e Nënkapitullit 5.2, ku jepen të gjithë algoritmet. Po të ishte caktuar paraprakisht një algoritëm i vetëm, pa e parë rezultatin, shifra nuk do të kishte anim zgjedhjeje, dhe në rastin më të keq, me algoritmin më të dobët, do të dilte 0.023 deri në 0.080 pikë MCC më e ulët. Edhe ky algoritëm e kalon rregullin te tri nga katër erërat; te Feature Envy regresioni logjistik (0.241) bie në nivelin e rregullit (0.243), erë ku dallimi nuk ndahej nga zeroja as me algoritmin më të mirë. Përfundimi i PK2 nuk varet pra nga cili algoritëm u zgjodh, ndërsa madhësia e fitimit duhet lexuar si vlerësim lehtësisht optimist.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Për të njëjtën arsye, ATFD-ja nuk i ndjek marrësit me zinxhir («a.getB().getC()»): matet në mënyrë konservative, dhe mund t'i humbasë disa raste të Feature Envy-së e të God Class-it.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Jo çdo detektor i sistemit u vlerësua kundrejt njerëzve. MLCQ mbulon katër erëra, prandaj Brain Method, Deep Nesting dhe Long Parameter List nuk kanë të vërtetë bazë dhe saktësia e tyre nuk u mat; ato hyjnë në rezultate vetëm si burim vendesh për motorin e refaktorimit. Large Class matet vetëm tërthorazi, si kusht shtesë i Blob-it.</w:t>
      </w:r>
    </w:p>
    <w:p>
      <w:pPr>
        <w:spacing w:line="360" w:lineRule="auto"/>
        <w:ind w:firstLine="360"/>
        <w:jc w:val="both"/>
      </w:pPr>
      <w:r>
        <w:rPr>
          <w:rFonts w:ascii="Times New Roman" w:hAnsi="Times New Roman" w:eastAsia="Times New Roman"/>
          <w:b w:val="0"/>
          <w:caps w:val="0"/>
          <w:sz w:val="24"/>
        </w:rPr>
        <w:t>Recall-i i Blob-it ka dy tavane që nuk varen nga pragjet (Shtojca 8.8). I pari: një pjesë e rasteve të humbura nuk janë më të mëdha se klasat e pastra, dhe asnjë metrikë e vetme klase nuk i ndan prej tyre (më e mira arrin 0.899);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Introduce Parameter Object që grupon vetëm parametrat që udhëtojnë bashkë në disa thirrje dhe i jep klasës një emër koncepti, jo emrin e metodës; Extract Method që nuk nxjerr një bllok të vetëm nga blloqe paralele dhe nuk prek kodin e gjeneruar.</w:t>
      </w:r>
    </w:p>
    <w:p>
      <w:pPr>
        <w:pStyle w:val="ListBullet"/>
        <w:spacing w:line="360" w:lineRule="auto"/>
        <w:jc w:val="both"/>
      </w:pPr>
      <w:r>
        <w:rPr>
          <w:rFonts w:ascii="Times New Roman" w:hAnsi="Times New Roman" w:eastAsia="Times New Roman"/>
          <w:b w:val="0"/>
          <w:caps w:val="0"/>
          <w:sz w:val="24"/>
        </w:rPr>
        <w:t>Ndreqja e analizës së daljeve te Extract Method, që një variabël e caktuar vetëm me kusht të hyjë si parametër, dhe kushte rojesh pa mohim të dyfishtë.</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Pyetja e fillimit ishte a mund t'ia lërë zhvilluesi një mjeti automatik gjetjen dhe ndreqjen e erërave të kodit, dhe t'i besojë rezultatit. Përgjigjja që japin të dhënat është e ndarë. Gjetja mund t'u besohet metrikave, por jo pragjeve të fiksuara gjetiu: kufiri i mësuar nga vetë bashkësia jep më shumë se ai i trashëguar. Ndreqja mund t'i lihet makinës vetëm aty ku ajo i provon parakushtet e veta dhe kompilatori nuk gjen gabim të ri, dhe kjo ndodh më rrallë sesa ndeshen erërat; edhe atëherë, ajo që provohet është kompilimi, jo sjellja.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spacing w:line="360" w:lineRule="auto"/>
        <w:ind w:firstLine="360"/>
        <w:jc w:val="both"/>
      </w:pPr>
      <w:r>
        <w:rPr>
          <w:rFonts w:ascii="Times New Roman" w:hAnsi="Times New Roman" w:eastAsia="Times New Roman"/>
          <w:b w:val="0"/>
          <w:caps w:val="0"/>
          <w:sz w:val="24"/>
        </w:rPr>
        <w:t>Kontributi i punimit është i trefishtë. I pari është një krahasim i ndershëm i rregullave dhe i mësimit të makinës mbi të njëjtat mostra të MLCQ-së, me ndarje sipas depos dhe me intervale besimi. I dyti është një motor refaktorimi që refuzon kur nuk provon dot, i matur mbi kod real me 3532 rishkrime të verifikuara me kompilator. I treti është vetë mjeti, i hapur dhe i riprodhueshëm, me ndërfaqe web dhe me një mënyrë të thjeshtë për lexuesin pa formim teknik.</w:t>
      </w:r>
    </w:p>
    <w:p>
      <w:pPr>
        <w:spacing w:line="360" w:lineRule="auto"/>
        <w:ind w:firstLine="360"/>
        <w:jc w:val="both"/>
      </w:pPr>
      <w:r>
        <w:rPr>
          <w:rFonts w:ascii="Times New Roman" w:hAnsi="Times New Roman" w:eastAsia="Times New Roman"/>
          <w:b w:val="0"/>
          <w:caps w:val="0"/>
          <w:sz w:val="24"/>
        </w:rPr>
        <w:t>Për praktikuesit rekomandimi është i qartë: pragjet e botuara të përdoren si pikënisje dhe jo si vendim, një model i mësuar të përdoret aty ku ka të dhëna të etiketuara, dhe rishkrimi automatik të pranohet vetëm kur mjeti e verifikon dhe e mat. Për kërkuesit, hapi i radhës është ai që ky punim nuk e bëri dot: të provohet se rishkrimi e ruan sjelljen e programit.</w:t>
      </w:r>
    </w:p>
    <w:p>
      <w:pPr>
        <w:spacing w:line="360" w:lineRule="auto"/>
        <w:ind w:firstLine="360"/>
        <w:jc w:val="both"/>
      </w:pPr>
      <w:r>
        <w:rPr>
          <w:rFonts w:ascii="Times New Roman" w:hAnsi="Times New Roman" w:eastAsia="Times New Roman"/>
          <w:b w:val="0"/>
          <w:caps w:val="0"/>
          <w:sz w:val="24"/>
        </w:rPr>
        <w:t>Kufiri i kontributit të dytë duhet thënë po aq qartë sa vetë kontributi. Motori nuk provon ruajtjen e sjelljes; ai provon parakushte sintaksore dhe kompilim. Te 1.6% e vendeve të rishkruara lindi një gabim i ri kompilimi, dhe disa rishkrime të tjera e kaluan kontrollin pa qenë të sakta, ndërsa leximi me sy, i ripeshuar, i gjykoi të pranueshme 62.9% të rishkrimeve. Rishkrimi automatik i këtij punimi është pra propozim i verifikuar me kompilator, që zhvilluesi e rishikon dhe e kalon nëpër testet e veta, dhe jo refaktorim që garanton se programi sillet njësoj.</w:t>
      </w:r>
    </w:p>
    <w:p>
      <w:pPr>
        <w:pStyle w:val="Heading1"/>
        <w:pageBreakBefore/>
      </w:pPr>
      <w:r>
        <w:rPr>
          <w:rFonts w:ascii="Times New Roman" w:hAnsi="Times New Roman" w:eastAsia="Times New Roman"/>
          <w:b/>
          <w:caps/>
          <w:sz w:val="28"/>
        </w:rPr>
        <w:t>7 Referencat</w:t>
      </w:r>
    </w:p>
    <w:p>
      <w:pPr>
        <w:spacing w:line="360" w:lineRule="auto"/>
        <w:ind w:left="720" w:hanging="720"/>
        <w:jc w:val="left"/>
      </w:pPr>
      <w:r>
        <w:rPr>
          <w:rFonts w:ascii="Times New Roman" w:hAnsi="Times New Roman" w:eastAsia="Times New Roman"/>
          <w:b w:val="0"/>
          <w:i w:val="0"/>
          <w:caps w:val="0"/>
          <w:sz w:val="24"/>
        </w:rPr>
        <w:t xml:space="preserve">Arcelli Fontana, F., Mäntylä, M. V., Zanoni, M., &amp; Marino, A. (2016). Comparing and experimenting machine learning techniques for code smell detection. </w:t>
      </w:r>
      <w:r>
        <w:rPr>
          <w:rFonts w:ascii="Times New Roman" w:hAnsi="Times New Roman" w:eastAsia="Times New Roman"/>
          <w:b w:val="0"/>
          <w:i/>
          <w:caps w:val="0"/>
          <w:sz w:val="24"/>
        </w:rPr>
        <w:t>Empirical Software Engineering, 21</w:t>
      </w:r>
      <w:r>
        <w:rPr>
          <w:rFonts w:ascii="Times New Roman" w:hAnsi="Times New Roman" w:eastAsia="Times New Roman"/>
          <w:b w:val="0"/>
          <w:i w:val="0"/>
          <w:caps w:val="0"/>
          <w:sz w:val="24"/>
        </w:rPr>
        <w:t>(3), 1143–1191. https://doi.org/10.1007/s10664-015-9378-4</w:t>
      </w:r>
    </w:p>
    <w:p>
      <w:pPr>
        <w:spacing w:line="360" w:lineRule="auto"/>
        <w:ind w:left="720" w:hanging="720"/>
        <w:jc w:val="left"/>
      </w:pPr>
      <w:r>
        <w:rPr>
          <w:rFonts w:ascii="Times New Roman" w:hAnsi="Times New Roman" w:eastAsia="Times New Roman"/>
          <w:b w:val="0"/>
          <w:i w:val="0"/>
          <w:caps w:val="0"/>
          <w:sz w:val="24"/>
        </w:rPr>
        <w:t xml:space="preserve">Azeem, M. I., Palomba, F., Shi, L., &amp; Wang, Q. (2019). Machine learning techniques for code smell detection: A systematic literature review and meta-analysis. </w:t>
      </w:r>
      <w:r>
        <w:rPr>
          <w:rFonts w:ascii="Times New Roman" w:hAnsi="Times New Roman" w:eastAsia="Times New Roman"/>
          <w:b w:val="0"/>
          <w:i/>
          <w:caps w:val="0"/>
          <w:sz w:val="24"/>
        </w:rPr>
        <w:t>Information and Software Technology, 108</w:t>
      </w:r>
      <w:r>
        <w:rPr>
          <w:rFonts w:ascii="Times New Roman" w:hAnsi="Times New Roman" w:eastAsia="Times New Roman"/>
          <w:b w:val="0"/>
          <w:i w:val="0"/>
          <w:caps w:val="0"/>
          <w:sz w:val="24"/>
        </w:rPr>
        <w:t>, 115–138. https://doi.org/10.1016/j.infsof.2018.12.009</w:t>
      </w:r>
    </w:p>
    <w:p>
      <w:pPr>
        <w:spacing w:line="360" w:lineRule="auto"/>
        <w:ind w:left="720" w:hanging="720"/>
        <w:jc w:val="left"/>
      </w:pPr>
      <w:r>
        <w:rPr>
          <w:rFonts w:ascii="Times New Roman" w:hAnsi="Times New Roman" w:eastAsia="Times New Roman"/>
          <w:b w:val="0"/>
          <w:i w:val="0"/>
          <w:caps w:val="0"/>
          <w:sz w:val="24"/>
        </w:rPr>
        <w:t xml:space="preserve">Bavota, G., De Lucia, A., Di Penta, M., Oliveto, R., &amp; Palomba, F. (2015). An experimental investigation on the innate relationship between quality and refactoring. </w:t>
      </w:r>
      <w:r>
        <w:rPr>
          <w:rFonts w:ascii="Times New Roman" w:hAnsi="Times New Roman" w:eastAsia="Times New Roman"/>
          <w:b w:val="0"/>
          <w:i/>
          <w:caps w:val="0"/>
          <w:sz w:val="24"/>
        </w:rPr>
        <w:t>Journal of Systems and Software, 107</w:t>
      </w:r>
      <w:r>
        <w:rPr>
          <w:rFonts w:ascii="Times New Roman" w:hAnsi="Times New Roman" w:eastAsia="Times New Roman"/>
          <w:b w:val="0"/>
          <w:i w:val="0"/>
          <w:caps w:val="0"/>
          <w:sz w:val="24"/>
        </w:rPr>
        <w:t>, 1–14. https://doi.org/10.1016/j.jss.2015.05.024</w:t>
      </w:r>
    </w:p>
    <w:p>
      <w:pPr>
        <w:spacing w:line="360" w:lineRule="auto"/>
        <w:ind w:left="720" w:hanging="720"/>
        <w:jc w:val="left"/>
      </w:pPr>
      <w:r>
        <w:rPr>
          <w:rFonts w:ascii="Times New Roman" w:hAnsi="Times New Roman" w:eastAsia="Times New Roman"/>
          <w:b w:val="0"/>
          <w:i w:val="0"/>
          <w:caps w:val="0"/>
          <w:sz w:val="24"/>
        </w:rPr>
        <w:t xml:space="preserve">Bieman, J. M., &amp; Kang, B.-K. (1995). Cohesion and reuse in an object-oriented system. Në </w:t>
      </w:r>
      <w:r>
        <w:rPr>
          <w:rFonts w:ascii="Times New Roman" w:hAnsi="Times New Roman" w:eastAsia="Times New Roman"/>
          <w:b w:val="0"/>
          <w:i/>
          <w:caps w:val="0"/>
          <w:sz w:val="24"/>
        </w:rPr>
        <w:t>Proceedings of the 1995 Symposium on Software Reusability (SSR ’95)</w:t>
      </w:r>
      <w:r>
        <w:rPr>
          <w:rFonts w:ascii="Times New Roman" w:hAnsi="Times New Roman" w:eastAsia="Times New Roman"/>
          <w:b w:val="0"/>
          <w:i w:val="0"/>
          <w:caps w:val="0"/>
          <w:sz w:val="24"/>
        </w:rPr>
        <w:t xml:space="preserve"> (f. 259–262). ACM. https://doi.org/10.1145/211782.211856</w:t>
      </w:r>
    </w:p>
    <w:p>
      <w:pPr>
        <w:spacing w:line="360" w:lineRule="auto"/>
        <w:ind w:left="720" w:hanging="720"/>
        <w:jc w:val="left"/>
      </w:pPr>
      <w:r>
        <w:rPr>
          <w:rFonts w:ascii="Times New Roman" w:hAnsi="Times New Roman" w:eastAsia="Times New Roman"/>
          <w:b w:val="0"/>
          <w:i w:val="0"/>
          <w:caps w:val="0"/>
          <w:sz w:val="24"/>
        </w:rPr>
        <w:t xml:space="preserve">Breiman, L. (2001). Random forests. </w:t>
      </w:r>
      <w:r>
        <w:rPr>
          <w:rFonts w:ascii="Times New Roman" w:hAnsi="Times New Roman" w:eastAsia="Times New Roman"/>
          <w:b w:val="0"/>
          <w:i/>
          <w:caps w:val="0"/>
          <w:sz w:val="24"/>
        </w:rPr>
        <w:t>Machine Learning, 45</w:t>
      </w:r>
      <w:r>
        <w:rPr>
          <w:rFonts w:ascii="Times New Roman" w:hAnsi="Times New Roman" w:eastAsia="Times New Roman"/>
          <w:b w:val="0"/>
          <w:i w:val="0"/>
          <w:caps w:val="0"/>
          <w:sz w:val="24"/>
        </w:rPr>
        <w:t>(1), 5–32. https://doi.org/10.1023/A:1010933404324</w:t>
      </w:r>
    </w:p>
    <w:p>
      <w:pPr>
        <w:spacing w:line="360" w:lineRule="auto"/>
        <w:ind w:left="720" w:hanging="720"/>
        <w:jc w:val="left"/>
      </w:pPr>
      <w:r>
        <w:rPr>
          <w:rFonts w:ascii="Times New Roman" w:hAnsi="Times New Roman" w:eastAsia="Times New Roman"/>
          <w:b w:val="0"/>
          <w:i w:val="0"/>
          <w:caps w:val="0"/>
          <w:sz w:val="24"/>
        </w:rPr>
        <w:t xml:space="preserve">Brown, L. D., Cai, T. T., &amp; DasGupta, A. (2001). Interval estimation for a binomial proportion. </w:t>
      </w:r>
      <w:r>
        <w:rPr>
          <w:rFonts w:ascii="Times New Roman" w:hAnsi="Times New Roman" w:eastAsia="Times New Roman"/>
          <w:b w:val="0"/>
          <w:i/>
          <w:caps w:val="0"/>
          <w:sz w:val="24"/>
        </w:rPr>
        <w:t>Statistical Science, 16</w:t>
      </w:r>
      <w:r>
        <w:rPr>
          <w:rFonts w:ascii="Times New Roman" w:hAnsi="Times New Roman" w:eastAsia="Times New Roman"/>
          <w:b w:val="0"/>
          <w:i w:val="0"/>
          <w:caps w:val="0"/>
          <w:sz w:val="24"/>
        </w:rPr>
        <w:t>(2), 101–133. https://doi.org/10.1214/ss/1009213286</w:t>
      </w:r>
    </w:p>
    <w:p>
      <w:pPr>
        <w:spacing w:line="360" w:lineRule="auto"/>
        <w:ind w:left="720" w:hanging="720"/>
        <w:jc w:val="left"/>
      </w:pPr>
      <w:r>
        <w:rPr>
          <w:rFonts w:ascii="Times New Roman" w:hAnsi="Times New Roman" w:eastAsia="Times New Roman"/>
          <w:b w:val="0"/>
          <w:i w:val="0"/>
          <w:caps w:val="0"/>
          <w:sz w:val="24"/>
        </w:rPr>
        <w:t xml:space="preserve">Brunsfeld, M. (2026). </w:t>
      </w:r>
      <w:r>
        <w:rPr>
          <w:rFonts w:ascii="Times New Roman" w:hAnsi="Times New Roman" w:eastAsia="Times New Roman"/>
          <w:b w:val="0"/>
          <w:i/>
          <w:caps w:val="0"/>
          <w:sz w:val="24"/>
        </w:rPr>
        <w:t>Tree-sitter: An incremental parsing system for programming tools</w:t>
      </w:r>
      <w:r>
        <w:rPr>
          <w:rFonts w:ascii="Times New Roman" w:hAnsi="Times New Roman" w:eastAsia="Times New Roman"/>
          <w:b w:val="0"/>
          <w:i w:val="0"/>
          <w:caps w:val="0"/>
          <w:sz w:val="24"/>
        </w:rPr>
        <w:t xml:space="preserve"> (Versioni 0.26) [Softuer]. https://tree-sitter.github.io/tree-sitter/</w:t>
      </w:r>
    </w:p>
    <w:p>
      <w:pPr>
        <w:spacing w:line="360" w:lineRule="auto"/>
        <w:ind w:left="720" w:hanging="720"/>
        <w:jc w:val="left"/>
      </w:pPr>
      <w:r>
        <w:rPr>
          <w:rFonts w:ascii="Times New Roman" w:hAnsi="Times New Roman" w:eastAsia="Times New Roman"/>
          <w:b w:val="0"/>
          <w:i w:val="0"/>
          <w:caps w:val="0"/>
          <w:sz w:val="24"/>
        </w:rPr>
        <w:t xml:space="preserve">Cawley, G. C., &amp; Talbot, N. L. C. (2010). On over-fitting in model selection and subsequent selection bias in performance evaluation. </w:t>
      </w:r>
      <w:r>
        <w:rPr>
          <w:rFonts w:ascii="Times New Roman" w:hAnsi="Times New Roman" w:eastAsia="Times New Roman"/>
          <w:b w:val="0"/>
          <w:i/>
          <w:caps w:val="0"/>
          <w:sz w:val="24"/>
        </w:rPr>
        <w:t>Journal of Machine Learning Research, 11</w:t>
      </w:r>
      <w:r>
        <w:rPr>
          <w:rFonts w:ascii="Times New Roman" w:hAnsi="Times New Roman" w:eastAsia="Times New Roman"/>
          <w:b w:val="0"/>
          <w:i w:val="0"/>
          <w:caps w:val="0"/>
          <w:sz w:val="24"/>
        </w:rPr>
        <w:t>(70), 2079–2107. https://www.jmlr.org/papers/v11/cawley10a.html</w:t>
      </w:r>
    </w:p>
    <w:p>
      <w:pPr>
        <w:spacing w:line="360" w:lineRule="auto"/>
        <w:ind w:left="720" w:hanging="720"/>
        <w:jc w:val="left"/>
      </w:pPr>
      <w:r>
        <w:rPr>
          <w:rFonts w:ascii="Times New Roman" w:hAnsi="Times New Roman" w:eastAsia="Times New Roman"/>
          <w:b w:val="0"/>
          <w:i w:val="0"/>
          <w:caps w:val="0"/>
          <w:sz w:val="24"/>
        </w:rPr>
        <w:t xml:space="preserve">Chicco, D., &amp; Jurman, G. (2020). The advantages of the Matthews correlation coefficient (MCC) over F1 score and accuracy in binary classification evaluation. </w:t>
      </w:r>
      <w:r>
        <w:rPr>
          <w:rFonts w:ascii="Times New Roman" w:hAnsi="Times New Roman" w:eastAsia="Times New Roman"/>
          <w:b w:val="0"/>
          <w:i/>
          <w:caps w:val="0"/>
          <w:sz w:val="24"/>
        </w:rPr>
        <w:t>BMC Genomics, 21</w:t>
      </w:r>
      <w:r>
        <w:rPr>
          <w:rFonts w:ascii="Times New Roman" w:hAnsi="Times New Roman" w:eastAsia="Times New Roman"/>
          <w:b w:val="0"/>
          <w:i w:val="0"/>
          <w:caps w:val="0"/>
          <w:sz w:val="24"/>
        </w:rPr>
        <w:t>(1), Artikulli 6. https://doi.org/10.1186/s12864-019-6413-7</w:t>
      </w:r>
    </w:p>
    <w:p>
      <w:pPr>
        <w:spacing w:line="360" w:lineRule="auto"/>
        <w:ind w:left="720" w:hanging="720"/>
        <w:jc w:val="left"/>
      </w:pPr>
      <w:r>
        <w:rPr>
          <w:rFonts w:ascii="Times New Roman" w:hAnsi="Times New Roman" w:eastAsia="Times New Roman"/>
          <w:b w:val="0"/>
          <w:i w:val="0"/>
          <w:caps w:val="0"/>
          <w:sz w:val="24"/>
        </w:rPr>
        <w:t xml:space="preserve">Chidamber, S. R., &amp; Kemerer, C. F. (1994). A metrics suite for object oriented design. </w:t>
      </w:r>
      <w:r>
        <w:rPr>
          <w:rFonts w:ascii="Times New Roman" w:hAnsi="Times New Roman" w:eastAsia="Times New Roman"/>
          <w:b w:val="0"/>
          <w:i/>
          <w:caps w:val="0"/>
          <w:sz w:val="24"/>
        </w:rPr>
        <w:t>IEEE Transactions on Software Engineering, 20</w:t>
      </w:r>
      <w:r>
        <w:rPr>
          <w:rFonts w:ascii="Times New Roman" w:hAnsi="Times New Roman" w:eastAsia="Times New Roman"/>
          <w:b w:val="0"/>
          <w:i w:val="0"/>
          <w:caps w:val="0"/>
          <w:sz w:val="24"/>
        </w:rPr>
        <w:t>(6), 476–493. https://doi.org/10.1109/32.295895</w:t>
      </w:r>
    </w:p>
    <w:p>
      <w:pPr>
        <w:spacing w:line="360" w:lineRule="auto"/>
        <w:ind w:left="720" w:hanging="720"/>
        <w:jc w:val="left"/>
      </w:pPr>
      <w:r>
        <w:rPr>
          <w:rFonts w:ascii="Times New Roman" w:hAnsi="Times New Roman" w:eastAsia="Times New Roman"/>
          <w:b w:val="0"/>
          <w:i w:val="0"/>
          <w:caps w:val="0"/>
          <w:sz w:val="24"/>
        </w:rPr>
        <w:t xml:space="preserve">Cohen, J. (1960). A coefficient of agreement for nominal scales. </w:t>
      </w:r>
      <w:r>
        <w:rPr>
          <w:rFonts w:ascii="Times New Roman" w:hAnsi="Times New Roman" w:eastAsia="Times New Roman"/>
          <w:b w:val="0"/>
          <w:i/>
          <w:caps w:val="0"/>
          <w:sz w:val="24"/>
        </w:rPr>
        <w:t>Educational and Psychological Measurement, 20</w:t>
      </w:r>
      <w:r>
        <w:rPr>
          <w:rFonts w:ascii="Times New Roman" w:hAnsi="Times New Roman" w:eastAsia="Times New Roman"/>
          <w:b w:val="0"/>
          <w:i w:val="0"/>
          <w:caps w:val="0"/>
          <w:sz w:val="24"/>
        </w:rPr>
        <w:t>(1), 37–46. https://doi.org/10.1177/001316446002000104</w:t>
      </w:r>
    </w:p>
    <w:p>
      <w:pPr>
        <w:spacing w:line="360" w:lineRule="auto"/>
        <w:ind w:left="720" w:hanging="720"/>
        <w:jc w:val="left"/>
      </w:pPr>
      <w:r>
        <w:rPr>
          <w:rFonts w:ascii="Times New Roman" w:hAnsi="Times New Roman" w:eastAsia="Times New Roman"/>
          <w:b w:val="0"/>
          <w:i w:val="0"/>
          <w:caps w:val="0"/>
          <w:sz w:val="24"/>
        </w:rPr>
        <w:t xml:space="preserve">Cunningham, W. (1992). The WyCash portfolio management system. Në </w:t>
      </w:r>
      <w:r>
        <w:rPr>
          <w:rFonts w:ascii="Times New Roman" w:hAnsi="Times New Roman" w:eastAsia="Times New Roman"/>
          <w:b w:val="0"/>
          <w:i/>
          <w:caps w:val="0"/>
          <w:sz w:val="24"/>
        </w:rPr>
        <w:t>Addendum to the Proceedings on Object-Oriented Programming Systems, Languages, and Applications (OOPSLA ’92)</w:t>
      </w:r>
      <w:r>
        <w:rPr>
          <w:rFonts w:ascii="Times New Roman" w:hAnsi="Times New Roman" w:eastAsia="Times New Roman"/>
          <w:b w:val="0"/>
          <w:i w:val="0"/>
          <w:caps w:val="0"/>
          <w:sz w:val="24"/>
        </w:rPr>
        <w:t xml:space="preserve"> (f. 29–30). ACM. https://doi.org/10.1145/157709.157715</w:t>
      </w:r>
    </w:p>
    <w:p>
      <w:pPr>
        <w:spacing w:line="360" w:lineRule="auto"/>
        <w:ind w:left="720" w:hanging="720"/>
        <w:jc w:val="left"/>
      </w:pPr>
      <w:r>
        <w:rPr>
          <w:rFonts w:ascii="Times New Roman" w:hAnsi="Times New Roman" w:eastAsia="Times New Roman"/>
          <w:b w:val="0"/>
          <w:i w:val="0"/>
          <w:caps w:val="0"/>
          <w:sz w:val="24"/>
        </w:rPr>
        <w:t xml:space="preserve">Di Nucci, D., Palomba, F., Tamburri, D. A., Serebrenik, A., &amp; De Lucia, A. (2018). Detecting code smells using machine learning techniques: Are we there yet? Në </w:t>
      </w:r>
      <w:r>
        <w:rPr>
          <w:rFonts w:ascii="Times New Roman" w:hAnsi="Times New Roman" w:eastAsia="Times New Roman"/>
          <w:b w:val="0"/>
          <w:i/>
          <w:caps w:val="0"/>
          <w:sz w:val="24"/>
        </w:rPr>
        <w:t>Proceedings of the 25th IEEE International Conference on Software Analysis, Evolution and Reengineering (SANER ’18)</w:t>
      </w:r>
      <w:r>
        <w:rPr>
          <w:rFonts w:ascii="Times New Roman" w:hAnsi="Times New Roman" w:eastAsia="Times New Roman"/>
          <w:b w:val="0"/>
          <w:i w:val="0"/>
          <w:caps w:val="0"/>
          <w:sz w:val="24"/>
        </w:rPr>
        <w:t xml:space="preserve"> (f. 612–621). IEEE. https://doi.org/10.1109/SANER.2018.8330266</w:t>
      </w:r>
    </w:p>
    <w:p>
      <w:pPr>
        <w:spacing w:line="360" w:lineRule="auto"/>
        <w:ind w:left="720" w:hanging="720"/>
        <w:jc w:val="left"/>
      </w:pPr>
      <w:r>
        <w:rPr>
          <w:rFonts w:ascii="Times New Roman" w:hAnsi="Times New Roman" w:eastAsia="Times New Roman"/>
          <w:b w:val="0"/>
          <w:i w:val="0"/>
          <w:caps w:val="0"/>
          <w:sz w:val="24"/>
        </w:rPr>
        <w:t xml:space="preserve">Efron, B., &amp; Tibshirani, R. J. (1993). </w:t>
      </w:r>
      <w:r>
        <w:rPr>
          <w:rFonts w:ascii="Times New Roman" w:hAnsi="Times New Roman" w:eastAsia="Times New Roman"/>
          <w:b w:val="0"/>
          <w:i/>
          <w:caps w:val="0"/>
          <w:sz w:val="24"/>
        </w:rPr>
        <w:t>An introduction to the bootstrap</w:t>
      </w:r>
      <w:r>
        <w:rPr>
          <w:rFonts w:ascii="Times New Roman" w:hAnsi="Times New Roman" w:eastAsia="Times New Roman"/>
          <w:b w:val="0"/>
          <w:i w:val="0"/>
          <w:caps w:val="0"/>
          <w:sz w:val="24"/>
        </w:rPr>
        <w:t>. Chapman &amp; Hall.</w:t>
      </w:r>
    </w:p>
    <w:p>
      <w:pPr>
        <w:spacing w:line="360" w:lineRule="auto"/>
        <w:ind w:left="720" w:hanging="720"/>
        <w:jc w:val="left"/>
      </w:pPr>
      <w:r>
        <w:rPr>
          <w:rFonts w:ascii="Times New Roman" w:hAnsi="Times New Roman" w:eastAsia="Times New Roman"/>
          <w:b w:val="0"/>
          <w:i w:val="0"/>
          <w:caps w:val="0"/>
          <w:sz w:val="24"/>
        </w:rPr>
        <w:t xml:space="preserve">Fowler, M. (2018). </w:t>
      </w:r>
      <w:r>
        <w:rPr>
          <w:rFonts w:ascii="Times New Roman" w:hAnsi="Times New Roman" w:eastAsia="Times New Roman"/>
          <w:b w:val="0"/>
          <w:i/>
          <w:caps w:val="0"/>
          <w:sz w:val="24"/>
        </w:rPr>
        <w:t>Refactoring: Improving the design of existing code</w:t>
      </w:r>
      <w:r>
        <w:rPr>
          <w:rFonts w:ascii="Times New Roman" w:hAnsi="Times New Roman" w:eastAsia="Times New Roman"/>
          <w:b w:val="0"/>
          <w:i w:val="0"/>
          <w:caps w:val="0"/>
          <w:sz w:val="24"/>
        </w:rPr>
        <w:t xml:space="preserve"> (bot. i 2-të). Addison-Wesley.</w:t>
      </w:r>
    </w:p>
    <w:p>
      <w:pPr>
        <w:spacing w:line="360" w:lineRule="auto"/>
        <w:ind w:left="720" w:hanging="720"/>
        <w:jc w:val="left"/>
      </w:pPr>
      <w:r>
        <w:rPr>
          <w:rFonts w:ascii="Times New Roman" w:hAnsi="Times New Roman" w:eastAsia="Times New Roman"/>
          <w:b w:val="0"/>
          <w:i w:val="0"/>
          <w:caps w:val="0"/>
          <w:sz w:val="24"/>
        </w:rPr>
        <w:t xml:space="preserve">Friedman, J. H. (2001). Greedy function approximation: A gradient boosting machine. </w:t>
      </w:r>
      <w:r>
        <w:rPr>
          <w:rFonts w:ascii="Times New Roman" w:hAnsi="Times New Roman" w:eastAsia="Times New Roman"/>
          <w:b w:val="0"/>
          <w:i/>
          <w:caps w:val="0"/>
          <w:sz w:val="24"/>
        </w:rPr>
        <w:t>The Annals of Statistics, 29</w:t>
      </w:r>
      <w:r>
        <w:rPr>
          <w:rFonts w:ascii="Times New Roman" w:hAnsi="Times New Roman" w:eastAsia="Times New Roman"/>
          <w:b w:val="0"/>
          <w:i w:val="0"/>
          <w:caps w:val="0"/>
          <w:sz w:val="24"/>
        </w:rPr>
        <w:t>(5), 1189–1232. https://doi.org/10.1214/aos/1013203451</w:t>
      </w:r>
    </w:p>
    <w:p>
      <w:pPr>
        <w:spacing w:line="360" w:lineRule="auto"/>
        <w:ind w:left="720" w:hanging="720"/>
        <w:jc w:val="left"/>
      </w:pPr>
      <w:r>
        <w:rPr>
          <w:rFonts w:ascii="Times New Roman" w:hAnsi="Times New Roman" w:eastAsia="Times New Roman"/>
          <w:b w:val="0"/>
          <w:i w:val="0"/>
          <w:caps w:val="0"/>
          <w:sz w:val="24"/>
        </w:rPr>
        <w:t xml:space="preserve">Henderson-Sellers, B. (1996). </w:t>
      </w:r>
      <w:r>
        <w:rPr>
          <w:rFonts w:ascii="Times New Roman" w:hAnsi="Times New Roman" w:eastAsia="Times New Roman"/>
          <w:b w:val="0"/>
          <w:i/>
          <w:caps w:val="0"/>
          <w:sz w:val="24"/>
        </w:rPr>
        <w:t>Object-oriented metrics: Measures of complexity</w:t>
      </w:r>
      <w:r>
        <w:rPr>
          <w:rFonts w:ascii="Times New Roman" w:hAnsi="Times New Roman" w:eastAsia="Times New Roman"/>
          <w:b w:val="0"/>
          <w:i w:val="0"/>
          <w:caps w:val="0"/>
          <w:sz w:val="24"/>
        </w:rPr>
        <w:t>. Prentice Hall.</w:t>
      </w:r>
    </w:p>
    <w:p>
      <w:pPr>
        <w:spacing w:line="360" w:lineRule="auto"/>
        <w:ind w:left="720" w:hanging="720"/>
        <w:jc w:val="left"/>
      </w:pPr>
      <w:r>
        <w:rPr>
          <w:rFonts w:ascii="Times New Roman" w:hAnsi="Times New Roman" w:eastAsia="Times New Roman"/>
          <w:b w:val="0"/>
          <w:i w:val="0"/>
          <w:caps w:val="0"/>
          <w:sz w:val="24"/>
        </w:rPr>
        <w:t xml:space="preserve">Kaufman, S., Rosset, S., Perlich, C., &amp; Stitelman, O. (2012). Leakage in data mining: Formulation, detection, and avoidance. </w:t>
      </w:r>
      <w:r>
        <w:rPr>
          <w:rFonts w:ascii="Times New Roman" w:hAnsi="Times New Roman" w:eastAsia="Times New Roman"/>
          <w:b w:val="0"/>
          <w:i/>
          <w:caps w:val="0"/>
          <w:sz w:val="24"/>
        </w:rPr>
        <w:t>ACM Transactions on Knowledge Discovery from Data, 6</w:t>
      </w:r>
      <w:r>
        <w:rPr>
          <w:rFonts w:ascii="Times New Roman" w:hAnsi="Times New Roman" w:eastAsia="Times New Roman"/>
          <w:b w:val="0"/>
          <w:i w:val="0"/>
          <w:caps w:val="0"/>
          <w:sz w:val="24"/>
        </w:rPr>
        <w:t>(4), Artikulli 15. https://doi.org/10.1145/2382577.2382579</w:t>
      </w:r>
    </w:p>
    <w:p>
      <w:pPr>
        <w:spacing w:line="360" w:lineRule="auto"/>
        <w:ind w:left="720" w:hanging="720"/>
        <w:jc w:val="left"/>
      </w:pPr>
      <w:r>
        <w:rPr>
          <w:rFonts w:ascii="Times New Roman" w:hAnsi="Times New Roman" w:eastAsia="Times New Roman"/>
          <w:b w:val="0"/>
          <w:i w:val="0"/>
          <w:caps w:val="0"/>
          <w:sz w:val="24"/>
        </w:rPr>
        <w:t xml:space="preserve">Khomh, F., Di Penta, M., Guéhéneuc, Y.-G., &amp; Antoniol, G. (2012). An exploratory study of the impact of antipatterns on class change- and fault-proneness. </w:t>
      </w:r>
      <w:r>
        <w:rPr>
          <w:rFonts w:ascii="Times New Roman" w:hAnsi="Times New Roman" w:eastAsia="Times New Roman"/>
          <w:b w:val="0"/>
          <w:i/>
          <w:caps w:val="0"/>
          <w:sz w:val="24"/>
        </w:rPr>
        <w:t>Empirical Software Engineering, 17</w:t>
      </w:r>
      <w:r>
        <w:rPr>
          <w:rFonts w:ascii="Times New Roman" w:hAnsi="Times New Roman" w:eastAsia="Times New Roman"/>
          <w:b w:val="0"/>
          <w:i w:val="0"/>
          <w:caps w:val="0"/>
          <w:sz w:val="24"/>
        </w:rPr>
        <w:t>(3), 243–275. https://doi.org/10.1007/s10664-011-9171-y</w:t>
      </w:r>
    </w:p>
    <w:p>
      <w:pPr>
        <w:spacing w:line="360" w:lineRule="auto"/>
        <w:ind w:left="720" w:hanging="720"/>
        <w:jc w:val="left"/>
      </w:pPr>
      <w:r>
        <w:rPr>
          <w:rFonts w:ascii="Times New Roman" w:hAnsi="Times New Roman" w:eastAsia="Times New Roman"/>
          <w:b w:val="0"/>
          <w:i w:val="0"/>
          <w:caps w:val="0"/>
          <w:sz w:val="24"/>
        </w:rPr>
        <w:t xml:space="preserve">Lanza, M., &amp; Marinescu, R. (2006). </w:t>
      </w:r>
      <w:r>
        <w:rPr>
          <w:rFonts w:ascii="Times New Roman" w:hAnsi="Times New Roman" w:eastAsia="Times New Roman"/>
          <w:b w:val="0"/>
          <w:i/>
          <w:caps w:val="0"/>
          <w:sz w:val="24"/>
        </w:rPr>
        <w:t>Object-oriented metrics in practice: Using software metrics to characterize, evaluate, and improve the design of object-oriented systems</w:t>
      </w:r>
      <w:r>
        <w:rPr>
          <w:rFonts w:ascii="Times New Roman" w:hAnsi="Times New Roman" w:eastAsia="Times New Roman"/>
          <w:b w:val="0"/>
          <w:i w:val="0"/>
          <w:caps w:val="0"/>
          <w:sz w:val="24"/>
        </w:rPr>
        <w:t>. Springer. https://doi.org/10.1007/3-540-39538-5</w:t>
      </w:r>
    </w:p>
    <w:p>
      <w:pPr>
        <w:spacing w:line="360" w:lineRule="auto"/>
        <w:ind w:left="720" w:hanging="720"/>
        <w:jc w:val="left"/>
      </w:pPr>
      <w:r>
        <w:rPr>
          <w:rFonts w:ascii="Times New Roman" w:hAnsi="Times New Roman" w:eastAsia="Times New Roman"/>
          <w:b w:val="0"/>
          <w:i w:val="0"/>
          <w:caps w:val="0"/>
          <w:sz w:val="24"/>
        </w:rPr>
        <w:t xml:space="preserve">Lehman, M. M. (1980). Programs, life cycles, and laws of software evolution. </w:t>
      </w:r>
      <w:r>
        <w:rPr>
          <w:rFonts w:ascii="Times New Roman" w:hAnsi="Times New Roman" w:eastAsia="Times New Roman"/>
          <w:b w:val="0"/>
          <w:i/>
          <w:caps w:val="0"/>
          <w:sz w:val="24"/>
        </w:rPr>
        <w:t>Proceedings of the IEEE, 68</w:t>
      </w:r>
      <w:r>
        <w:rPr>
          <w:rFonts w:ascii="Times New Roman" w:hAnsi="Times New Roman" w:eastAsia="Times New Roman"/>
          <w:b w:val="0"/>
          <w:i w:val="0"/>
          <w:caps w:val="0"/>
          <w:sz w:val="24"/>
        </w:rPr>
        <w:t>(9), 1060–1076. https://doi.org/10.1109/PROC.1980.11805</w:t>
      </w:r>
    </w:p>
    <w:p>
      <w:pPr>
        <w:spacing w:line="360" w:lineRule="auto"/>
        <w:ind w:left="720" w:hanging="720"/>
        <w:jc w:val="left"/>
      </w:pPr>
      <w:r>
        <w:rPr>
          <w:rFonts w:ascii="Times New Roman" w:hAnsi="Times New Roman" w:eastAsia="Times New Roman"/>
          <w:b w:val="0"/>
          <w:i w:val="0"/>
          <w:caps w:val="0"/>
          <w:sz w:val="24"/>
        </w:rPr>
        <w:t xml:space="preserve">Madeyski, L., &amp; Lewowski, T. (2020). MLCQ: Industry-relevant code smell data set. Në </w:t>
      </w:r>
      <w:r>
        <w:rPr>
          <w:rFonts w:ascii="Times New Roman" w:hAnsi="Times New Roman" w:eastAsia="Times New Roman"/>
          <w:b w:val="0"/>
          <w:i/>
          <w:caps w:val="0"/>
          <w:sz w:val="24"/>
        </w:rPr>
        <w:t>Proceedings of the 24th International Conference on Evaluation and Assessment in Software Engineering (EASE ’20)</w:t>
      </w:r>
      <w:r>
        <w:rPr>
          <w:rFonts w:ascii="Times New Roman" w:hAnsi="Times New Roman" w:eastAsia="Times New Roman"/>
          <w:b w:val="0"/>
          <w:i w:val="0"/>
          <w:caps w:val="0"/>
          <w:sz w:val="24"/>
        </w:rPr>
        <w:t xml:space="preserve"> (f. 342–347). ACM. https://doi.org/10.1145/3383219.3383264</w:t>
      </w:r>
    </w:p>
    <w:p>
      <w:pPr>
        <w:spacing w:line="360" w:lineRule="auto"/>
        <w:ind w:left="720" w:hanging="720"/>
        <w:jc w:val="left"/>
      </w:pPr>
      <w:r>
        <w:rPr>
          <w:rFonts w:ascii="Times New Roman" w:hAnsi="Times New Roman" w:eastAsia="Times New Roman"/>
          <w:b w:val="0"/>
          <w:i w:val="0"/>
          <w:caps w:val="0"/>
          <w:sz w:val="24"/>
        </w:rPr>
        <w:t xml:space="preserve">Madeyski, L., &amp; Lewowski, T. (2023). Detecting code smells using industry-relevant data. </w:t>
      </w:r>
      <w:r>
        <w:rPr>
          <w:rFonts w:ascii="Times New Roman" w:hAnsi="Times New Roman" w:eastAsia="Times New Roman"/>
          <w:b w:val="0"/>
          <w:i/>
          <w:caps w:val="0"/>
          <w:sz w:val="24"/>
        </w:rPr>
        <w:t>Information and Software Technology, 155</w:t>
      </w:r>
      <w:r>
        <w:rPr>
          <w:rFonts w:ascii="Times New Roman" w:hAnsi="Times New Roman" w:eastAsia="Times New Roman"/>
          <w:b w:val="0"/>
          <w:i w:val="0"/>
          <w:caps w:val="0"/>
          <w:sz w:val="24"/>
        </w:rPr>
        <w:t>, Artikulli 107112. https://doi.org/10.1016/j.infsof.2022.107112</w:t>
      </w:r>
    </w:p>
    <w:p>
      <w:pPr>
        <w:spacing w:line="360" w:lineRule="auto"/>
        <w:ind w:left="720" w:hanging="720"/>
        <w:jc w:val="left"/>
      </w:pPr>
      <w:r>
        <w:rPr>
          <w:rFonts w:ascii="Times New Roman" w:hAnsi="Times New Roman" w:eastAsia="Times New Roman"/>
          <w:b w:val="0"/>
          <w:i w:val="0"/>
          <w:caps w:val="0"/>
          <w:sz w:val="24"/>
        </w:rPr>
        <w:t xml:space="preserve">Mäntylä, M. V., &amp; Lassenius, C. (2006). Subjective evaluation of software evolvability using code smells: An empirical study. </w:t>
      </w:r>
      <w:r>
        <w:rPr>
          <w:rFonts w:ascii="Times New Roman" w:hAnsi="Times New Roman" w:eastAsia="Times New Roman"/>
          <w:b w:val="0"/>
          <w:i/>
          <w:caps w:val="0"/>
          <w:sz w:val="24"/>
        </w:rPr>
        <w:t>Empirical Software Engineering, 11</w:t>
      </w:r>
      <w:r>
        <w:rPr>
          <w:rFonts w:ascii="Times New Roman" w:hAnsi="Times New Roman" w:eastAsia="Times New Roman"/>
          <w:b w:val="0"/>
          <w:i w:val="0"/>
          <w:caps w:val="0"/>
          <w:sz w:val="24"/>
        </w:rPr>
        <w:t>(3), 395–431. https://doi.org/10.1007/s10664-006-9002-8</w:t>
      </w:r>
    </w:p>
    <w:p>
      <w:pPr>
        <w:spacing w:line="360" w:lineRule="auto"/>
        <w:ind w:left="720" w:hanging="720"/>
        <w:jc w:val="left"/>
      </w:pPr>
      <w:r>
        <w:rPr>
          <w:rFonts w:ascii="Times New Roman" w:hAnsi="Times New Roman" w:eastAsia="Times New Roman"/>
          <w:b w:val="0"/>
          <w:i w:val="0"/>
          <w:caps w:val="0"/>
          <w:sz w:val="24"/>
        </w:rPr>
        <w:t xml:space="preserve">Marinescu, R. (2004). Detection strategies: Metrics-based rules for detecting design flaws. Në </w:t>
      </w:r>
      <w:r>
        <w:rPr>
          <w:rFonts w:ascii="Times New Roman" w:hAnsi="Times New Roman" w:eastAsia="Times New Roman"/>
          <w:b w:val="0"/>
          <w:i/>
          <w:caps w:val="0"/>
          <w:sz w:val="24"/>
        </w:rPr>
        <w:t>Proceedings of the 20th IEEE International Conference on Software Maintenance (ICSM ’04)</w:t>
      </w:r>
      <w:r>
        <w:rPr>
          <w:rFonts w:ascii="Times New Roman" w:hAnsi="Times New Roman" w:eastAsia="Times New Roman"/>
          <w:b w:val="0"/>
          <w:i w:val="0"/>
          <w:caps w:val="0"/>
          <w:sz w:val="24"/>
        </w:rPr>
        <w:t xml:space="preserve"> (f. 350–359). IEEE. https://doi.org/10.1109/ICSM.2004.1357820</w:t>
      </w:r>
    </w:p>
    <w:p>
      <w:pPr>
        <w:spacing w:line="360" w:lineRule="auto"/>
        <w:ind w:left="720" w:hanging="720"/>
        <w:jc w:val="left"/>
      </w:pPr>
      <w:r>
        <w:rPr>
          <w:rFonts w:ascii="Times New Roman" w:hAnsi="Times New Roman" w:eastAsia="Times New Roman"/>
          <w:b w:val="0"/>
          <w:i w:val="0"/>
          <w:caps w:val="0"/>
          <w:sz w:val="24"/>
        </w:rPr>
        <w:t xml:space="preserve">Matthews, B. W. (1975). Comparison of the predicted and observed secondary structure of T4 phage lysozyme. </w:t>
      </w:r>
      <w:r>
        <w:rPr>
          <w:rFonts w:ascii="Times New Roman" w:hAnsi="Times New Roman" w:eastAsia="Times New Roman"/>
          <w:b w:val="0"/>
          <w:i/>
          <w:caps w:val="0"/>
          <w:sz w:val="24"/>
        </w:rPr>
        <w:t>Biochimica et Biophysica Acta (BBA) – Protein Structure, 405</w:t>
      </w:r>
      <w:r>
        <w:rPr>
          <w:rFonts w:ascii="Times New Roman" w:hAnsi="Times New Roman" w:eastAsia="Times New Roman"/>
          <w:b w:val="0"/>
          <w:i w:val="0"/>
          <w:caps w:val="0"/>
          <w:sz w:val="24"/>
        </w:rPr>
        <w:t>(2), 442–451. https://doi.org/10.1016/0005-2795(75)90109-9</w:t>
      </w:r>
    </w:p>
    <w:p>
      <w:pPr>
        <w:spacing w:line="360" w:lineRule="auto"/>
        <w:ind w:left="720" w:hanging="720"/>
        <w:jc w:val="left"/>
      </w:pPr>
      <w:r>
        <w:rPr>
          <w:rFonts w:ascii="Times New Roman" w:hAnsi="Times New Roman" w:eastAsia="Times New Roman"/>
          <w:b w:val="0"/>
          <w:i w:val="0"/>
          <w:caps w:val="0"/>
          <w:sz w:val="24"/>
        </w:rPr>
        <w:t xml:space="preserve">McCabe, T. J. (1976). A complexity measure. </w:t>
      </w:r>
      <w:r>
        <w:rPr>
          <w:rFonts w:ascii="Times New Roman" w:hAnsi="Times New Roman" w:eastAsia="Times New Roman"/>
          <w:b w:val="0"/>
          <w:i/>
          <w:caps w:val="0"/>
          <w:sz w:val="24"/>
        </w:rPr>
        <w:t>IEEE Transactions on Software Engineering, SE-2</w:t>
      </w:r>
      <w:r>
        <w:rPr>
          <w:rFonts w:ascii="Times New Roman" w:hAnsi="Times New Roman" w:eastAsia="Times New Roman"/>
          <w:b w:val="0"/>
          <w:i w:val="0"/>
          <w:caps w:val="0"/>
          <w:sz w:val="24"/>
        </w:rPr>
        <w:t>(4), 308–320. https://doi.org/10.1109/TSE.1976.233837</w:t>
      </w:r>
    </w:p>
    <w:p>
      <w:pPr>
        <w:spacing w:line="360" w:lineRule="auto"/>
        <w:ind w:left="720" w:hanging="720"/>
        <w:jc w:val="left"/>
      </w:pPr>
      <w:r>
        <w:rPr>
          <w:rFonts w:ascii="Times New Roman" w:hAnsi="Times New Roman" w:eastAsia="Times New Roman"/>
          <w:b w:val="0"/>
          <w:i w:val="0"/>
          <w:caps w:val="0"/>
          <w:sz w:val="24"/>
        </w:rPr>
        <w:t xml:space="preserve">Mens, T., &amp; Tourwé, T. (2004). A survey of software refactoring. </w:t>
      </w:r>
      <w:r>
        <w:rPr>
          <w:rFonts w:ascii="Times New Roman" w:hAnsi="Times New Roman" w:eastAsia="Times New Roman"/>
          <w:b w:val="0"/>
          <w:i/>
          <w:caps w:val="0"/>
          <w:sz w:val="24"/>
        </w:rPr>
        <w:t>IEEE Transactions on Software Engineering, 30</w:t>
      </w:r>
      <w:r>
        <w:rPr>
          <w:rFonts w:ascii="Times New Roman" w:hAnsi="Times New Roman" w:eastAsia="Times New Roman"/>
          <w:b w:val="0"/>
          <w:i w:val="0"/>
          <w:caps w:val="0"/>
          <w:sz w:val="24"/>
        </w:rPr>
        <w:t>(2), 126–139. https://doi.org/10.1109/TSE.2004.1265817</w:t>
      </w:r>
    </w:p>
    <w:p>
      <w:pPr>
        <w:spacing w:line="360" w:lineRule="auto"/>
        <w:ind w:left="720" w:hanging="720"/>
        <w:jc w:val="left"/>
      </w:pPr>
      <w:r>
        <w:rPr>
          <w:rFonts w:ascii="Times New Roman" w:hAnsi="Times New Roman" w:eastAsia="Times New Roman"/>
          <w:b w:val="0"/>
          <w:i w:val="0"/>
          <w:caps w:val="0"/>
          <w:sz w:val="24"/>
        </w:rPr>
        <w:t xml:space="preserve">Moha, N., Guéhéneuc, Y.-G., Duchien, L., &amp; Le Meur, A.-F. (2010). DECOR: A method for the specification and detection of code and design smells. </w:t>
      </w:r>
      <w:r>
        <w:rPr>
          <w:rFonts w:ascii="Times New Roman" w:hAnsi="Times New Roman" w:eastAsia="Times New Roman"/>
          <w:b w:val="0"/>
          <w:i/>
          <w:caps w:val="0"/>
          <w:sz w:val="24"/>
        </w:rPr>
        <w:t>IEEE Transactions on Software Engineering, 36</w:t>
      </w:r>
      <w:r>
        <w:rPr>
          <w:rFonts w:ascii="Times New Roman" w:hAnsi="Times New Roman" w:eastAsia="Times New Roman"/>
          <w:b w:val="0"/>
          <w:i w:val="0"/>
          <w:caps w:val="0"/>
          <w:sz w:val="24"/>
        </w:rPr>
        <w:t>(1), 20–36. https://doi.org/10.1109/TSE.2009.50</w:t>
      </w:r>
    </w:p>
    <w:p>
      <w:pPr>
        <w:spacing w:line="360" w:lineRule="auto"/>
        <w:ind w:left="720" w:hanging="720"/>
        <w:jc w:val="left"/>
      </w:pPr>
      <w:r>
        <w:rPr>
          <w:rFonts w:ascii="Times New Roman" w:hAnsi="Times New Roman" w:eastAsia="Times New Roman"/>
          <w:b w:val="0"/>
          <w:i w:val="0"/>
          <w:caps w:val="0"/>
          <w:sz w:val="24"/>
        </w:rPr>
        <w:t xml:space="preserve">Murphy-Hill, E., Parnin, C., &amp; Black, A. P. (2012). How we refactor, and how we know it. </w:t>
      </w:r>
      <w:r>
        <w:rPr>
          <w:rFonts w:ascii="Times New Roman" w:hAnsi="Times New Roman" w:eastAsia="Times New Roman"/>
          <w:b w:val="0"/>
          <w:i/>
          <w:caps w:val="0"/>
          <w:sz w:val="24"/>
        </w:rPr>
        <w:t>IEEE Transactions on Software Engineering, 38</w:t>
      </w:r>
      <w:r>
        <w:rPr>
          <w:rFonts w:ascii="Times New Roman" w:hAnsi="Times New Roman" w:eastAsia="Times New Roman"/>
          <w:b w:val="0"/>
          <w:i w:val="0"/>
          <w:caps w:val="0"/>
          <w:sz w:val="24"/>
        </w:rPr>
        <w:t>(1), 5–18. https://doi.org/10.1109/TSE.2011.41</w:t>
      </w:r>
    </w:p>
    <w:p>
      <w:pPr>
        <w:spacing w:line="360" w:lineRule="auto"/>
        <w:ind w:left="720" w:hanging="720"/>
        <w:jc w:val="left"/>
      </w:pPr>
      <w:r>
        <w:rPr>
          <w:rFonts w:ascii="Times New Roman" w:hAnsi="Times New Roman" w:eastAsia="Times New Roman"/>
          <w:b w:val="0"/>
          <w:i w:val="0"/>
          <w:caps w:val="0"/>
          <w:sz w:val="24"/>
        </w:rPr>
        <w:t xml:space="preserve">Opdyke, W. F. (1992). </w:t>
      </w:r>
      <w:r>
        <w:rPr>
          <w:rFonts w:ascii="Times New Roman" w:hAnsi="Times New Roman" w:eastAsia="Times New Roman"/>
          <w:b w:val="0"/>
          <w:i/>
          <w:caps w:val="0"/>
          <w:sz w:val="24"/>
        </w:rPr>
        <w:t>Refactoring object-oriented frameworks</w:t>
      </w:r>
      <w:r>
        <w:rPr>
          <w:rFonts w:ascii="Times New Roman" w:hAnsi="Times New Roman" w:eastAsia="Times New Roman"/>
          <w:b w:val="0"/>
          <w:i w:val="0"/>
          <w:caps w:val="0"/>
          <w:sz w:val="24"/>
        </w:rPr>
        <w:t xml:space="preserve"> [Disertacion doktorature, University of Illinois at Urbana-Champaign].</w:t>
      </w:r>
    </w:p>
    <w:p>
      <w:pPr>
        <w:spacing w:line="360" w:lineRule="auto"/>
        <w:ind w:left="720" w:hanging="720"/>
        <w:jc w:val="left"/>
      </w:pPr>
      <w:r>
        <w:rPr>
          <w:rFonts w:ascii="Times New Roman" w:hAnsi="Times New Roman" w:eastAsia="Times New Roman"/>
          <w:b w:val="0"/>
          <w:i w:val="0"/>
          <w:caps w:val="0"/>
          <w:sz w:val="24"/>
        </w:rPr>
        <w:t xml:space="preserve">Palomba, F., Bavota, G., Di Penta, M., Fasano, F., Oliveto, R., &amp; De Lucia, A. (2018). On the diffuseness and the impact on maintainability of code smells: A large scale empirical investigation. </w:t>
      </w:r>
      <w:r>
        <w:rPr>
          <w:rFonts w:ascii="Times New Roman" w:hAnsi="Times New Roman" w:eastAsia="Times New Roman"/>
          <w:b w:val="0"/>
          <w:i/>
          <w:caps w:val="0"/>
          <w:sz w:val="24"/>
        </w:rPr>
        <w:t>Empirical Software Engineering, 23</w:t>
      </w:r>
      <w:r>
        <w:rPr>
          <w:rFonts w:ascii="Times New Roman" w:hAnsi="Times New Roman" w:eastAsia="Times New Roman"/>
          <w:b w:val="0"/>
          <w:i w:val="0"/>
          <w:caps w:val="0"/>
          <w:sz w:val="24"/>
        </w:rPr>
        <w:t>(3), 1188–1221. https://doi.org/10.1007/s10664-017-9535-z</w:t>
      </w:r>
    </w:p>
    <w:p>
      <w:pPr>
        <w:spacing w:line="360" w:lineRule="auto"/>
        <w:ind w:left="720" w:hanging="720"/>
        <w:jc w:val="left"/>
      </w:pPr>
      <w:r>
        <w:rPr>
          <w:rFonts w:ascii="Times New Roman" w:hAnsi="Times New Roman" w:eastAsia="Times New Roman"/>
          <w:b w:val="0"/>
          <w:i w:val="0"/>
          <w:caps w:val="0"/>
          <w:sz w:val="24"/>
        </w:rPr>
        <w:t xml:space="preserve">Palomba, F., Bavota, G., Di Penta, M., Oliveto, R., Poshyvanyk, D., &amp; De Lucia, A. (2015). Mining version histories for detecting code smells. </w:t>
      </w:r>
      <w:r>
        <w:rPr>
          <w:rFonts w:ascii="Times New Roman" w:hAnsi="Times New Roman" w:eastAsia="Times New Roman"/>
          <w:b w:val="0"/>
          <w:i/>
          <w:caps w:val="0"/>
          <w:sz w:val="24"/>
        </w:rPr>
        <w:t>IEEE Transactions on Software Engineering, 41</w:t>
      </w:r>
      <w:r>
        <w:rPr>
          <w:rFonts w:ascii="Times New Roman" w:hAnsi="Times New Roman" w:eastAsia="Times New Roman"/>
          <w:b w:val="0"/>
          <w:i w:val="0"/>
          <w:caps w:val="0"/>
          <w:sz w:val="24"/>
        </w:rPr>
        <w:t>(5), 462–489. https://doi.org/10.1109/TSE.2014.2372760</w:t>
      </w:r>
    </w:p>
    <w:p>
      <w:pPr>
        <w:spacing w:line="360" w:lineRule="auto"/>
        <w:ind w:left="720" w:hanging="720"/>
        <w:jc w:val="left"/>
      </w:pPr>
      <w:r>
        <w:rPr>
          <w:rFonts w:ascii="Times New Roman" w:hAnsi="Times New Roman" w:eastAsia="Times New Roman"/>
          <w:b w:val="0"/>
          <w:i w:val="0"/>
          <w:caps w:val="0"/>
          <w:sz w:val="24"/>
        </w:rPr>
        <w:t xml:space="preserve">Park, R. E. (1992). </w:t>
      </w:r>
      <w:r>
        <w:rPr>
          <w:rFonts w:ascii="Times New Roman" w:hAnsi="Times New Roman" w:eastAsia="Times New Roman"/>
          <w:b w:val="0"/>
          <w:i/>
          <w:caps w:val="0"/>
          <w:sz w:val="24"/>
        </w:rPr>
        <w:t>Software size measurement: A framework for counting source statements</w:t>
      </w:r>
      <w:r>
        <w:rPr>
          <w:rFonts w:ascii="Times New Roman" w:hAnsi="Times New Roman" w:eastAsia="Times New Roman"/>
          <w:b w:val="0"/>
          <w:i w:val="0"/>
          <w:caps w:val="0"/>
          <w:sz w:val="24"/>
        </w:rPr>
        <w:t xml:space="preserve"> (Raport teknik CMU/SEI-92-TR-020). Software Engineering Institute, Carnegie Mellon University.</w:t>
      </w:r>
    </w:p>
    <w:p>
      <w:pPr>
        <w:spacing w:line="360" w:lineRule="auto"/>
        <w:ind w:left="720" w:hanging="720"/>
        <w:jc w:val="left"/>
      </w:pPr>
      <w:r>
        <w:rPr>
          <w:rFonts w:ascii="Times New Roman" w:hAnsi="Times New Roman" w:eastAsia="Times New Roman"/>
          <w:b w:val="0"/>
          <w:i w:val="0"/>
          <w:caps w:val="0"/>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eastAsia="Times New Roman"/>
          <w:b w:val="0"/>
          <w:i/>
          <w:caps w:val="0"/>
          <w:sz w:val="24"/>
        </w:rPr>
        <w:t>Journal of Machine Learning Research, 12</w:t>
      </w:r>
      <w:r>
        <w:rPr>
          <w:rFonts w:ascii="Times New Roman" w:hAnsi="Times New Roman" w:eastAsia="Times New Roman"/>
          <w:b w:val="0"/>
          <w:i w:val="0"/>
          <w:caps w:val="0"/>
          <w:sz w:val="24"/>
        </w:rPr>
        <w:t>(85), 2825–2830. https://jmlr.org/papers/v12/pedregosa11a.html</w:t>
      </w:r>
    </w:p>
    <w:p>
      <w:pPr>
        <w:spacing w:line="360" w:lineRule="auto"/>
        <w:ind w:left="720" w:hanging="720"/>
        <w:jc w:val="left"/>
      </w:pPr>
      <w:r>
        <w:rPr>
          <w:rFonts w:ascii="Times New Roman" w:hAnsi="Times New Roman" w:eastAsia="Times New Roman"/>
          <w:b w:val="0"/>
          <w:i w:val="0"/>
          <w:caps w:val="0"/>
          <w:sz w:val="24"/>
        </w:rPr>
        <w:t xml:space="preserve">PMD Team. (2026). </w:t>
      </w:r>
      <w:r>
        <w:rPr>
          <w:rFonts w:ascii="Times New Roman" w:hAnsi="Times New Roman" w:eastAsia="Times New Roman"/>
          <w:b w:val="0"/>
          <w:i/>
          <w:caps w:val="0"/>
          <w:sz w:val="24"/>
        </w:rPr>
        <w:t>PMD: An extensible cross-language static code analyzer</w:t>
      </w:r>
      <w:r>
        <w:rPr>
          <w:rFonts w:ascii="Times New Roman" w:hAnsi="Times New Roman" w:eastAsia="Times New Roman"/>
          <w:b w:val="0"/>
          <w:i w:val="0"/>
          <w:caps w:val="0"/>
          <w:sz w:val="24"/>
        </w:rPr>
        <w:t xml:space="preserve"> (Versioni 7.27.0) [Softuer]. https://pmd.github.io/</w:t>
      </w:r>
    </w:p>
    <w:p>
      <w:pPr>
        <w:spacing w:line="360" w:lineRule="auto"/>
        <w:ind w:left="720" w:hanging="720"/>
        <w:jc w:val="left"/>
      </w:pPr>
      <w:r>
        <w:rPr>
          <w:rFonts w:ascii="Times New Roman" w:hAnsi="Times New Roman" w:eastAsia="Times New Roman"/>
          <w:b w:val="0"/>
          <w:i w:val="0"/>
          <w:caps w:val="0"/>
          <w:sz w:val="24"/>
        </w:rPr>
        <w:t xml:space="preserve">Sharma, T., &amp; Spinellis, D. (2018). A survey on software smells. </w:t>
      </w:r>
      <w:r>
        <w:rPr>
          <w:rFonts w:ascii="Times New Roman" w:hAnsi="Times New Roman" w:eastAsia="Times New Roman"/>
          <w:b w:val="0"/>
          <w:i/>
          <w:caps w:val="0"/>
          <w:sz w:val="24"/>
        </w:rPr>
        <w:t>Journal of Systems and Software, 138</w:t>
      </w:r>
      <w:r>
        <w:rPr>
          <w:rFonts w:ascii="Times New Roman" w:hAnsi="Times New Roman" w:eastAsia="Times New Roman"/>
          <w:b w:val="0"/>
          <w:i w:val="0"/>
          <w:caps w:val="0"/>
          <w:sz w:val="24"/>
        </w:rPr>
        <w:t>, 158–173. https://doi.org/10.1016/j.jss.2017.12.034</w:t>
      </w:r>
    </w:p>
    <w:p>
      <w:pPr>
        <w:spacing w:line="360" w:lineRule="auto"/>
        <w:ind w:left="720" w:hanging="720"/>
        <w:jc w:val="left"/>
      </w:pPr>
      <w:r>
        <w:rPr>
          <w:rFonts w:ascii="Times New Roman" w:hAnsi="Times New Roman" w:eastAsia="Times New Roman"/>
          <w:b w:val="0"/>
          <w:i w:val="0"/>
          <w:caps w:val="0"/>
          <w:sz w:val="24"/>
        </w:rPr>
        <w:t xml:space="preserve">Silva, D., Tsantalis, N., &amp; Valente, M. T. (2016). Why we refactor? Confessions of GitHub contributors. Në </w:t>
      </w:r>
      <w:r>
        <w:rPr>
          <w:rFonts w:ascii="Times New Roman" w:hAnsi="Times New Roman" w:eastAsia="Times New Roman"/>
          <w:b w:val="0"/>
          <w:i/>
          <w:caps w:val="0"/>
          <w:sz w:val="24"/>
        </w:rPr>
        <w:t>Proceedings of the 24th ACM SIGSOFT International Symposium on Foundations of Software Engineering (FSE ’16)</w:t>
      </w:r>
      <w:r>
        <w:rPr>
          <w:rFonts w:ascii="Times New Roman" w:hAnsi="Times New Roman" w:eastAsia="Times New Roman"/>
          <w:b w:val="0"/>
          <w:i w:val="0"/>
          <w:caps w:val="0"/>
          <w:sz w:val="24"/>
        </w:rPr>
        <w:t xml:space="preserve"> (f. 858–870). ACM. https://doi.org/10.1145/2950290.2950305</w:t>
      </w:r>
    </w:p>
    <w:p>
      <w:pPr>
        <w:spacing w:line="360" w:lineRule="auto"/>
        <w:ind w:left="720" w:hanging="720"/>
        <w:jc w:val="left"/>
      </w:pPr>
      <w:r>
        <w:rPr>
          <w:rFonts w:ascii="Times New Roman" w:hAnsi="Times New Roman" w:eastAsia="Times New Roman"/>
          <w:b w:val="0"/>
          <w:i w:val="0"/>
          <w:caps w:val="0"/>
          <w:sz w:val="24"/>
        </w:rPr>
        <w:t xml:space="preserve">Sjøberg, D. I. K., Yamashita, A., Anda, B. C. D., Mockus, A., &amp; Dybå, T. (2013). Quantifying the effect of code smells on maintenance effort. </w:t>
      </w:r>
      <w:r>
        <w:rPr>
          <w:rFonts w:ascii="Times New Roman" w:hAnsi="Times New Roman" w:eastAsia="Times New Roman"/>
          <w:b w:val="0"/>
          <w:i/>
          <w:caps w:val="0"/>
          <w:sz w:val="24"/>
        </w:rPr>
        <w:t>IEEE Transactions on Software Engineering, 39</w:t>
      </w:r>
      <w:r>
        <w:rPr>
          <w:rFonts w:ascii="Times New Roman" w:hAnsi="Times New Roman" w:eastAsia="Times New Roman"/>
          <w:b w:val="0"/>
          <w:i w:val="0"/>
          <w:caps w:val="0"/>
          <w:sz w:val="24"/>
        </w:rPr>
        <w:t>(8), 1144–1156. https://doi.org/10.1109/TSE.2012.89</w:t>
      </w:r>
    </w:p>
    <w:p>
      <w:pPr>
        <w:spacing w:line="360" w:lineRule="auto"/>
        <w:ind w:left="720" w:hanging="720"/>
        <w:jc w:val="left"/>
      </w:pPr>
      <w:r>
        <w:rPr>
          <w:rFonts w:ascii="Times New Roman" w:hAnsi="Times New Roman" w:eastAsia="Times New Roman"/>
          <w:b w:val="0"/>
          <w:i w:val="0"/>
          <w:caps w:val="0"/>
          <w:sz w:val="24"/>
        </w:rPr>
        <w:t xml:space="preserve">Strobl, C., Boulesteix, A.-L., Zeileis, A., &amp; Hothorn, T. (2007). Bias in random forest variable importance measures: Illustrations, sources and a solution. </w:t>
      </w:r>
      <w:r>
        <w:rPr>
          <w:rFonts w:ascii="Times New Roman" w:hAnsi="Times New Roman" w:eastAsia="Times New Roman"/>
          <w:b w:val="0"/>
          <w:i/>
          <w:caps w:val="0"/>
          <w:sz w:val="24"/>
        </w:rPr>
        <w:t>BMC Bioinformatics, 8</w:t>
      </w:r>
      <w:r>
        <w:rPr>
          <w:rFonts w:ascii="Times New Roman" w:hAnsi="Times New Roman" w:eastAsia="Times New Roman"/>
          <w:b w:val="0"/>
          <w:i w:val="0"/>
          <w:caps w:val="0"/>
          <w:sz w:val="24"/>
        </w:rPr>
        <w:t>(1), Artikulli 25. https://doi.org/10.1186/1471-2105-8-25</w:t>
      </w:r>
    </w:p>
    <w:p>
      <w:pPr>
        <w:spacing w:line="360" w:lineRule="auto"/>
        <w:ind w:left="720" w:hanging="720"/>
        <w:jc w:val="left"/>
      </w:pPr>
      <w:r>
        <w:rPr>
          <w:rFonts w:ascii="Times New Roman" w:hAnsi="Times New Roman" w:eastAsia="Times New Roman"/>
          <w:b w:val="0"/>
          <w:i w:val="0"/>
          <w:caps w:val="0"/>
          <w:sz w:val="24"/>
        </w:rPr>
        <w:t xml:space="preserve">Tsantalis, N., &amp; Chatzigeorgiou, A. (2009). Identification of Move Method refactoring opportunities. </w:t>
      </w:r>
      <w:r>
        <w:rPr>
          <w:rFonts w:ascii="Times New Roman" w:hAnsi="Times New Roman" w:eastAsia="Times New Roman"/>
          <w:b w:val="0"/>
          <w:i/>
          <w:caps w:val="0"/>
          <w:sz w:val="24"/>
        </w:rPr>
        <w:t>IEEE Transactions on Software Engineering, 35</w:t>
      </w:r>
      <w:r>
        <w:rPr>
          <w:rFonts w:ascii="Times New Roman" w:hAnsi="Times New Roman" w:eastAsia="Times New Roman"/>
          <w:b w:val="0"/>
          <w:i w:val="0"/>
          <w:caps w:val="0"/>
          <w:sz w:val="24"/>
        </w:rPr>
        <w:t>(3), 347–367. https://doi.org/10.1109/TSE.2009.1</w:t>
      </w:r>
    </w:p>
    <w:p>
      <w:pPr>
        <w:spacing w:line="360" w:lineRule="auto"/>
        <w:ind w:left="720" w:hanging="720"/>
        <w:jc w:val="left"/>
      </w:pPr>
      <w:r>
        <w:rPr>
          <w:rFonts w:ascii="Times New Roman" w:hAnsi="Times New Roman" w:eastAsia="Times New Roman"/>
          <w:b w:val="0"/>
          <w:i w:val="0"/>
          <w:caps w:val="0"/>
          <w:sz w:val="24"/>
        </w:rPr>
        <w:t xml:space="preserve">Tufano, M., Palomba, F., Bavota, G., Oliveto, R., Di Penta, M., De Lucia, A., &amp; Poshyvanyk, D. (2015). When and why your code starts to smell bad. Në </w:t>
      </w:r>
      <w:r>
        <w:rPr>
          <w:rFonts w:ascii="Times New Roman" w:hAnsi="Times New Roman" w:eastAsia="Times New Roman"/>
          <w:b w:val="0"/>
          <w:i/>
          <w:caps w:val="0"/>
          <w:sz w:val="24"/>
        </w:rPr>
        <w:t>Proceedings of the 37th IEEE/ACM International Conference on Software Engineering (ICSE ’15)</w:t>
      </w:r>
      <w:r>
        <w:rPr>
          <w:rFonts w:ascii="Times New Roman" w:hAnsi="Times New Roman" w:eastAsia="Times New Roman"/>
          <w:b w:val="0"/>
          <w:i w:val="0"/>
          <w:caps w:val="0"/>
          <w:sz w:val="24"/>
        </w:rPr>
        <w:t xml:space="preserve"> (f. 403–414). IEEE. https://doi.org/10.1109/ICSE.2015.59</w:t>
      </w:r>
    </w:p>
    <w:p>
      <w:pPr>
        <w:spacing w:line="360" w:lineRule="auto"/>
        <w:ind w:left="720" w:hanging="720"/>
        <w:jc w:val="left"/>
      </w:pPr>
      <w:r>
        <w:rPr>
          <w:rFonts w:ascii="Times New Roman" w:hAnsi="Times New Roman" w:eastAsia="Times New Roman"/>
          <w:b w:val="0"/>
          <w:i w:val="0"/>
          <w:caps w:val="0"/>
          <w:sz w:val="24"/>
        </w:rPr>
        <w:t xml:space="preserve">Wilson, E. B. (1927). Probable inference, the law of succession, and statistical inference. </w:t>
      </w:r>
      <w:r>
        <w:rPr>
          <w:rFonts w:ascii="Times New Roman" w:hAnsi="Times New Roman" w:eastAsia="Times New Roman"/>
          <w:b w:val="0"/>
          <w:i/>
          <w:caps w:val="0"/>
          <w:sz w:val="24"/>
        </w:rPr>
        <w:t>Journal of the American Statistical Association, 22</w:t>
      </w:r>
      <w:r>
        <w:rPr>
          <w:rFonts w:ascii="Times New Roman" w:hAnsi="Times New Roman" w:eastAsia="Times New Roman"/>
          <w:b w:val="0"/>
          <w:i w:val="0"/>
          <w:caps w:val="0"/>
          <w:sz w:val="24"/>
        </w:rPr>
        <w:t>(158), 209–212. https://doi.org/10.1080/01621459.1927.10502953</w:t>
      </w:r>
    </w:p>
    <w:p>
      <w:pPr>
        <w:spacing w:line="360" w:lineRule="auto"/>
        <w:ind w:left="720" w:hanging="720"/>
        <w:jc w:val="left"/>
      </w:pPr>
      <w:r>
        <w:rPr>
          <w:rFonts w:ascii="Times New Roman" w:hAnsi="Times New Roman" w:eastAsia="Times New Roman"/>
          <w:b w:val="0"/>
          <w:i w:val="0"/>
          <w:caps w:val="0"/>
          <w:sz w:val="24"/>
        </w:rPr>
        <w:t xml:space="preserve">Wohlin, C., Runeson, P., Höst, M., Ohlsson, M. C., Regnell, B., &amp; Wesslén, A. (2012). </w:t>
      </w:r>
      <w:r>
        <w:rPr>
          <w:rFonts w:ascii="Times New Roman" w:hAnsi="Times New Roman" w:eastAsia="Times New Roman"/>
          <w:b w:val="0"/>
          <w:i/>
          <w:caps w:val="0"/>
          <w:sz w:val="24"/>
        </w:rPr>
        <w:t>Experimentation in software engineering</w:t>
      </w:r>
      <w:r>
        <w:rPr>
          <w:rFonts w:ascii="Times New Roman" w:hAnsi="Times New Roman" w:eastAsia="Times New Roman"/>
          <w:b w:val="0"/>
          <w:i w:val="0"/>
          <w:caps w:val="0"/>
          <w:sz w:val="24"/>
        </w:rPr>
        <w:t>. Springer. https://doi.org/10.1007/978-3-642-29044-2</w:t>
      </w:r>
    </w:p>
    <w:p>
      <w:pPr>
        <w:spacing w:line="360" w:lineRule="auto"/>
        <w:ind w:left="720" w:hanging="720"/>
        <w:jc w:val="left"/>
      </w:pPr>
      <w:r>
        <w:rPr>
          <w:rFonts w:ascii="Times New Roman" w:hAnsi="Times New Roman" w:eastAsia="Times New Roman"/>
          <w:b w:val="0"/>
          <w:i w:val="0"/>
          <w:caps w:val="0"/>
          <w:sz w:val="24"/>
        </w:rPr>
        <w:t xml:space="preserve">Yamashita, A., &amp; Moonen, L. (2013). Do developers care about code smells? An exploratory survey. Në </w:t>
      </w:r>
      <w:r>
        <w:rPr>
          <w:rFonts w:ascii="Times New Roman" w:hAnsi="Times New Roman" w:eastAsia="Times New Roman"/>
          <w:b w:val="0"/>
          <w:i/>
          <w:caps w:val="0"/>
          <w:sz w:val="24"/>
        </w:rPr>
        <w:t>Proceedings of the 20th Working Conference on Reverse Engineering (WCRE ’13)</w:t>
      </w:r>
      <w:r>
        <w:rPr>
          <w:rFonts w:ascii="Times New Roman" w:hAnsi="Times New Roman" w:eastAsia="Times New Roman"/>
          <w:b w:val="0"/>
          <w:i w:val="0"/>
          <w:caps w:val="0"/>
          <w:sz w:val="24"/>
        </w:rPr>
        <w:t xml:space="preserve"> (f. 242–251). IEEE. https://doi.org/10.1109/WCRE.2013.6671299</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31).</w:t>
      </w:r>
    </w:p>
    <w:p>
      <w:pPr>
        <w:keepNext/>
        <w:spacing w:line="240" w:lineRule="auto"/>
        <w:jc w:val="center"/>
      </w:pPr>
      <w:r>
        <w:rPr>
          <w:rFonts w:ascii="Times New Roman" w:hAnsi="Times New Roman" w:eastAsia="Times New Roman"/>
          <w:b w:val="0"/>
          <w:caps w:val="0"/>
          <w:sz w:val="22"/>
        </w:rPr>
        <w:t>Tabela 31.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dhe Marinescu (2006, f.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dhe Marinescu (2006, f.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dhe Marinescu (2006, f.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HIGH_METHOD_LOC/2  AND  CC &gt;= 4  AND  MAXNESTING &gt;= 3 AND  NOAV &gt; MANY</w:t>
            </w:r>
          </w:p>
        </w:tc>
        <w:tc>
          <w:tcPr>
            <w:tcW w:type="dxa" w:w="2209"/>
          </w:tcPr>
          <w:p>
            <w:pPr>
              <w:spacing w:line="240" w:lineRule="auto"/>
              <w:jc w:val="left"/>
            </w:pPr>
            <w:r>
              <w:rPr>
                <w:rFonts w:ascii="Times New Roman" w:hAnsi="Times New Roman" w:eastAsia="Times New Roman"/>
                <w:b w:val="0"/>
                <w:caps w:val="0"/>
                <w:sz w:val="22"/>
              </w:rPr>
              <w:t>Lanza dhe Marinescu (2006, f.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dhe Marinescu (2006),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(Tabela 32).</w:t>
      </w:r>
    </w:p>
    <w:p>
      <w:pPr>
        <w:keepNext/>
        <w:spacing w:line="240" w:lineRule="auto"/>
        <w:jc w:val="center"/>
      </w:pPr>
      <w:r>
        <w:rPr>
          <w:rFonts w:ascii="Times New Roman" w:hAnsi="Times New Roman" w:eastAsia="Times New Roman"/>
          <w:b w:val="0"/>
          <w:caps w:val="0"/>
          <w:sz w:val="22"/>
        </w:rPr>
        <w:t>Tabela 32.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33).</w:t>
      </w:r>
    </w:p>
    <w:p>
      <w:pPr>
        <w:keepNext/>
        <w:spacing w:line="240" w:lineRule="auto"/>
        <w:jc w:val="center"/>
      </w:pPr>
      <w:r>
        <w:rPr>
          <w:rFonts w:ascii="Times New Roman" w:hAnsi="Times New Roman" w:eastAsia="Times New Roman"/>
          <w:b w:val="0"/>
          <w:caps w:val="0"/>
          <w:sz w:val="22"/>
        </w:rPr>
        <w:t>Tabela 33.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kjo e bën të përgjigjshme pyetjen nëse ato zgjedhin metrikat e strategjive. Kuptimi i shkurtesave jepet te Fjalori i termave (Tabela 34).</w:t>
      </w:r>
    </w:p>
    <w:p>
      <w:pPr>
        <w:keepNext/>
        <w:spacing w:line="240" w:lineRule="auto"/>
        <w:jc w:val="center"/>
      </w:pPr>
      <w:r>
        <w:rPr>
          <w:rFonts w:ascii="Times New Roman" w:hAnsi="Times New Roman" w:eastAsia="Times New Roman"/>
          <w:b w:val="0"/>
          <w:caps w:val="0"/>
          <w:sz w:val="22"/>
        </w:rPr>
        <w:t>Tabela 34.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çfarë propozon sistemi nga çfarë aplikon. Dallimi nuk vjen nga koha e zhvillimit: transformimet e mbetura kërkojnë gjetjen e çdo reference në projekt, gjë që analiza sintaksore nuk e provon dot (Tabela 35).</w:t>
      </w:r>
    </w:p>
    <w:p>
      <w:pPr>
        <w:keepNext/>
        <w:spacing w:line="240" w:lineRule="auto"/>
        <w:jc w:val="center"/>
      </w:pPr>
      <w:r>
        <w:rPr>
          <w:rFonts w:ascii="Times New Roman" w:hAnsi="Times New Roman" w:eastAsia="Times New Roman"/>
          <w:b w:val="0"/>
          <w:caps w:val="0"/>
          <w:sz w:val="22"/>
        </w:rPr>
        <w:t>Tabela 35. Çfarë propozohet dhe çfarë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sipas Fowler (2018)</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 Class</w:t>
            </w:r>
          </w:p>
        </w:tc>
        <w:tc>
          <w:tcPr>
            <w:tcW w:type="dxa" w:w="2946"/>
          </w:tcPr>
          <w:p>
            <w:pPr>
              <w:spacing w:line="240" w:lineRule="auto"/>
              <w:jc w:val="left"/>
            </w:pPr>
            <w:r>
              <w:rPr>
                <w:rFonts w:ascii="Times New Roman" w:hAnsi="Times New Roman" w:eastAsia="Times New Roman"/>
                <w:b w:val="0"/>
                <w:caps w:val="0"/>
                <w:sz w:val="22"/>
              </w:rPr>
              <w:t>Extract Class, Move Method,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Encapsulate Field, Move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 Class</w:t>
            </w:r>
          </w:p>
        </w:tc>
        <w:tc>
          <w:tcPr>
            <w:tcW w:type="dxa" w:w="2946"/>
          </w:tcPr>
          <w:p>
            <w:pPr>
              <w:spacing w:line="240" w:lineRule="auto"/>
              <w:jc w:val="left"/>
            </w:pPr>
            <w:r>
              <w:rPr>
                <w:rFonts w:ascii="Times New Roman" w:hAnsi="Times New Roman" w:eastAsia="Times New Roman"/>
                <w:b w:val="0"/>
                <w:caps w:val="0"/>
                <w:sz w:val="22"/>
              </w:rPr>
              <w:t>Extract Class,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Move Method, Extract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 Method</w:t>
            </w:r>
          </w:p>
        </w:tc>
        <w:tc>
          <w:tcPr>
            <w:tcW w:type="dxa" w:w="2946"/>
          </w:tcPr>
          <w:p>
            <w:pPr>
              <w:spacing w:line="240" w:lineRule="auto"/>
              <w:jc w:val="left"/>
            </w:pPr>
            <w:r>
              <w:rPr>
                <w:rFonts w:ascii="Times New Roman" w:hAnsi="Times New Roman" w:eastAsia="Times New Roman"/>
                <w:b w:val="0"/>
                <w:caps w:val="0"/>
                <w:sz w:val="22"/>
              </w:rPr>
              <w:t>Extract Method, Replace Conditional with Polymorphism</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Extract Method, Decompose Conditional</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Parameter List</w:t>
            </w:r>
          </w:p>
        </w:tc>
        <w:tc>
          <w:tcPr>
            <w:tcW w:type="dxa" w:w="2946"/>
          </w:tcPr>
          <w:p>
            <w:pPr>
              <w:spacing w:line="240" w:lineRule="auto"/>
              <w:jc w:val="left"/>
            </w:pPr>
            <w:r>
              <w:rPr>
                <w:rFonts w:ascii="Times New Roman" w:hAnsi="Times New Roman" w:eastAsia="Times New Roman"/>
                <w:b w:val="0"/>
                <w:caps w:val="0"/>
                <w:sz w:val="22"/>
              </w:rPr>
              <w:t>Introduce Parameter Object, Preserve Whole Object</w:t>
            </w:r>
          </w:p>
        </w:tc>
        <w:tc>
          <w:tcPr>
            <w:tcW w:type="dxa" w:w="2946"/>
          </w:tcPr>
          <w:p>
            <w:pPr>
              <w:spacing w:line="240" w:lineRule="auto"/>
              <w:jc w:val="left"/>
            </w:pPr>
            <w:r>
              <w:rPr>
                <w:rFonts w:ascii="Times New Roman" w:hAnsi="Times New Roman" w:eastAsia="Times New Roman"/>
                <w:b w:val="0"/>
                <w:caps w:val="0"/>
                <w:sz w:val="22"/>
              </w:rPr>
              <w:t>aplikohet: Introduce Parameter Object</w:t>
            </w:r>
          </w:p>
        </w:tc>
      </w:tr>
      <w:tr>
        <w:tc>
          <w:tcPr>
            <w:tcW w:type="dxa" w:w="2946"/>
          </w:tcPr>
          <w:p>
            <w:pPr>
              <w:spacing w:line="240" w:lineRule="auto"/>
              <w:jc w:val="left"/>
            </w:pPr>
            <w:r>
              <w:rPr>
                <w:rFonts w:ascii="Times New Roman" w:hAnsi="Times New Roman" w:eastAsia="Times New Roman"/>
                <w:b w:val="0"/>
                <w:caps w:val="0"/>
                <w:sz w:val="22"/>
              </w:rPr>
              <w:t>Deep Nesting</w:t>
            </w:r>
          </w:p>
        </w:tc>
        <w:tc>
          <w:tcPr>
            <w:tcW w:type="dxa" w:w="2946"/>
          </w:tcPr>
          <w:p>
            <w:pPr>
              <w:spacing w:line="240" w:lineRule="auto"/>
              <w:jc w:val="left"/>
            </w:pPr>
            <w:r>
              <w:rPr>
                <w:rFonts w:ascii="Times New Roman" w:hAnsi="Times New Roman" w:eastAsia="Times New Roman"/>
                <w:b w:val="0"/>
                <w:caps w:val="0"/>
                <w:sz w:val="22"/>
              </w:rPr>
              <w:t>Replace Nested Conditional with Guard Clauses, Extract Method</w:t>
            </w:r>
          </w:p>
        </w:tc>
        <w:tc>
          <w:tcPr>
            <w:tcW w:type="dxa" w:w="2946"/>
          </w:tcPr>
          <w:p>
            <w:pPr>
              <w:spacing w:line="240" w:lineRule="auto"/>
              <w:jc w:val="left"/>
            </w:pPr>
            <w:r>
              <w:rPr>
                <w:rFonts w:ascii="Times New Roman" w:hAnsi="Times New Roman" w:eastAsia="Times New Roman"/>
                <w:b w:val="0"/>
                <w:caps w:val="0"/>
                <w:sz w:val="22"/>
              </w:rPr>
              <w:t>aplikohet: Replace Nested Conditional with Guard 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36).</w:t>
      </w:r>
    </w:p>
    <w:p>
      <w:pPr>
        <w:keepNext/>
        <w:spacing w:line="240" w:lineRule="auto"/>
        <w:jc w:val="center"/>
      </w:pPr>
      <w:r>
        <w:rPr>
          <w:rFonts w:ascii="Times New Roman" w:hAnsi="Times New Roman" w:eastAsia="Times New Roman"/>
          <w:b w:val="0"/>
          <w:caps w:val="0"/>
          <w:sz w:val="22"/>
        </w:rPr>
        <w:t>Tabela 36.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emër i pazgjidhur (unresolved 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efekt anësor i mundshëm (possible side 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mbingarkesë e paqartë (ambiguous 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më shumë se një vlerë dalëse (multiple 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rrjedha e kontrollit del nga blloku (control flow 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forma e kodit nuk përputhet (shape not 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editime që mbivendosen (edit 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vlerë e pacaktuar me siguri (not definitely 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kod që nuk parsohet (unparseable)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37).</w:t>
      </w:r>
    </w:p>
    <w:p>
      <w:pPr>
        <w:keepNext/>
        <w:spacing w:line="240" w:lineRule="auto"/>
        <w:jc w:val="center"/>
      </w:pPr>
      <w:r>
        <w:rPr>
          <w:rFonts w:ascii="Times New Roman" w:hAnsi="Times New Roman" w:eastAsia="Times New Roman"/>
          <w:b w:val="0"/>
          <w:caps w:val="0"/>
          <w:sz w:val="22"/>
        </w:rPr>
        <w:t>Tabela 37.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train_strategy_features.py</w:t>
            </w:r>
          </w:p>
        </w:tc>
        <w:tc>
          <w:tcPr>
            <w:tcW w:type="dxa" w:w="2209"/>
          </w:tcPr>
          <w:p>
            <w:pPr>
              <w:spacing w:line="240" w:lineRule="auto"/>
              <w:jc w:val="left"/>
            </w:pPr>
            <w:r>
              <w:rPr>
                <w:rFonts w:ascii="Times New Roman" w:hAnsi="Times New Roman" w:eastAsia="Times New Roman"/>
                <w:b w:val="0"/>
                <w:caps w:val="0"/>
                <w:sz w:val="22"/>
              </w:rPr>
              <w:t>Qasja B vetëm me metrikat e strategjisë</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Tri figura të Kapitullit 4 nuk janë rezultate dhe nuk hyjnë në këtë radhë: shembulli i kodit para dhe pas rishkrimit nxirret nga build_code_example.py, dhe dy pamjet e ndërfaqes nga capture_screens.cjs, të dyja te docs/thesis/. Çdo skript shkruan rezultatin si CSV ose JSON në data/results/, bashkë me commit-in, versionin e Python-it dhe platformën që e prodhuan. Rezultatet u prodhuan me Python 3.13.1 dhe 3.13.12, në platformat Linux-6.18.44-fc-v80-x86_64-with-glibc2.39 dhe Windows-11-10.0.26200-SP0, dhe secili skedar mban të shënuar atë që e prodhoi. Commit-i, përkundrazi, ndryshon nga skedari në skedar: eksperimentet u ekzekutuan njëri pas tjetrit, prandaj secili skedar mban commit-in e vet, dhe ai duhet përdorur për ta riprodhuar (Tabela 38).</w:t>
      </w:r>
    </w:p>
    <w:p>
      <w:pPr>
        <w:keepNext/>
        <w:spacing w:line="240" w:lineRule="auto"/>
        <w:jc w:val="center"/>
      </w:pPr>
      <w:r>
        <w:rPr>
          <w:rFonts w:ascii="Times New Roman" w:hAnsi="Times New Roman" w:eastAsia="Times New Roman"/>
          <w:b w:val="0"/>
          <w:caps w:val="0"/>
          <w:sz w:val="22"/>
        </w:rPr>
        <w:t>Tabela 38.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ml_strategy_features.json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79151a7043</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3530aced5c</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rewrite_quality.json</w:t>
            </w:r>
          </w:p>
        </w:tc>
        <w:tc>
          <w:tcPr>
            <w:tcW w:type="dxa" w:w="4419"/>
          </w:tcPr>
          <w:p>
            <w:pPr>
              <w:spacing w:line="240" w:lineRule="auto"/>
              <w:jc w:val="left"/>
            </w:pPr>
            <w:r>
              <w:rPr>
                <w:rFonts w:ascii="Times New Roman" w:hAnsi="Times New Roman" w:eastAsia="Times New Roman"/>
                <w:b w:val="0"/>
                <w:caps w:val="0"/>
                <w:sz w:val="22"/>
              </w:rPr>
              <w:t>adf4db30c2</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44edc463a6</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3f55abe160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që kishte atëherë tabela u riekzekutuan mbi të njëjtat hyrje, dhe të gjithë, me një përjashtim, dhanë skedarë identikë me të komituarit, veç commit-it dhe kohëzgjatjes që regjistrojnë. Tabela e veçorive e atëhershme doli bajt për bajt identike; po ashtu të katër modelet e trajnuara,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(po aq rishkrime, po aq verdikte «kompilon», asnjë përmbysje), por pesë kompilime që herën e parë e kaluan kufirin kohor, herën e dytë morën verdikt: ndarja mes «i kontrolluar» dhe «i pakontrolluar» varet nga ngarkesa e makinës. Ai riprodhim i përket mostrës së atëhershme prej 30 skedarësh; mostra u dyfishua më vonë në 60 skedarë, dhe Kapitulli 5 raporton matjen e saj më të fundit.</w:t>
      </w:r>
    </w:p>
    <w:p>
      <w:pPr>
        <w:spacing w:line="360" w:lineRule="auto"/>
        <w:ind w:firstLine="360"/>
        <w:jc w:val="both"/>
      </w:pPr>
      <w:r>
        <w:rPr>
          <w:rFonts w:ascii="Times New Roman" w:hAnsi="Times New Roman" w:eastAsia="Times New Roman"/>
          <w:b w:val="0"/>
          <w:caps w:val="0"/>
          <w:sz w:val="24"/>
        </w:rPr>
        <w:t>Hapi 7, motori mbi korpusin, u riekzekutua më vonë dhe dha të njëjtat totale: po aq vende, po aq rishkrime, po aq refuzime, e njëjta ndarje sipas transformimit dhe sipas arsyes. Krahasimi rresht për rresht nxori megjithatë 21 verdikte kompilimi të ndryshuara, dhe ato çuan te një defekt i vërtetë: një javac që dështon pa emërtuar gabim mbi burimin lexohej si kompilim i pastër, pra 19 rishkrime ishin regjistruar si «kompilon» mbi skedarë që nuk kompilojnë. Pas ndreqjes, kjo shtojcë dhe Kapitulli 5 raportojnë matjen e re. Vlera e riprodhimit qëndron pikërisht këtu: totalet përkonin, dhe defekti u pa vetëm sepse u krahasua çdo rresht.</w:t>
      </w:r>
    </w:p>
    <w:p>
      <w:pPr>
        <w:spacing w:line="360" w:lineRule="auto"/>
        <w:ind w:firstLine="360"/>
        <w:jc w:val="both"/>
      </w:pPr>
      <w:r>
        <w:rPr>
          <w:rFonts w:ascii="Times New Roman" w:hAnsi="Times New Roman" w:eastAsia="Times New Roman"/>
          <w:b w:val="0"/>
          <w:caps w:val="0"/>
          <w:sz w:val="24"/>
        </w:rPr>
        <w:t>Një defekt i dytë u gjet më 12 tetor 2026, gjatë verifikimit të referencave, dhe jo nga riprodhimi: lexuesi i MLCQ-së i grupoi rishikimet vetëm sipas identifikuesit të mostrës, ndërsa pothuajse çdo mostër është rishikuar për dy erëra. Rishikimet e dy erërave përziheshin në një etiketë, dhe gjysma e çifteve mostër-erë mbetej jashtë. Lexuesi grupon tani sipas mostrës dhe erës, një test me vlera të llogaritura me dorë e provon këtë, dhe çdo hap që lexon etiketat u riekzekutua. Riprodhimi i 3 shtatorit i përket tabelës së vjetër; Kapitujt 5 dhe 6 raportojnë vetëm matjen e re. Totalet e riprodhueshme nuk e kishin zbuluar këtë, sepse defekti ishte i qëndrueshëm: i njëjti kod jepte të njëjtin gabim çdo herë.</w:t>
      </w:r>
    </w:p>
    <w:p>
      <w:pPr>
        <w:spacing w:line="360" w:lineRule="auto"/>
        <w:ind w:firstLine="360"/>
        <w:jc w:val="both"/>
      </w:pPr>
      <w:r>
        <w:rPr>
          <w:rFonts w:ascii="Times New Roman" w:hAnsi="Times New Roman" w:eastAsia="Times New Roman"/>
          <w:b w:val="0"/>
          <w:caps w:val="0"/>
          <w:sz w:val="24"/>
        </w:rPr>
        <w:t>Hapi 1 mbetet i pariekzekutuar, sepse kërkon rishkarkimin e korpusit të plotë; për të riprodhimi mbetet pretendim i pakontrolluar, dhe thuhet këtu si i tillë.</w:t>
      </w:r>
    </w:p>
    <w:p>
      <w:pPr>
        <w:pStyle w:val="Heading2"/>
      </w:pPr>
      <w:r>
        <w:rPr>
          <w:rFonts w:ascii="Times New Roman" w:hAnsi="Times New Roman" w:eastAsia="Times New Roman"/>
          <w:b/>
          <w:caps w:val="0"/>
          <w:sz w:val="24"/>
        </w:rPr>
        <w:t>8.6 Pse nuk ndezin strategjitë</w:t>
      </w:r>
    </w:p>
    <w:p>
      <w:pPr>
        <w:spacing w:line="360" w:lineRule="auto"/>
        <w:ind w:firstLine="360"/>
        <w:jc w:val="both"/>
      </w:pPr>
      <w:r>
        <w:rPr>
          <w:rFonts w:ascii="Times New Roman" w:hAnsi="Times New Roman" w:eastAsia="Times New Roman"/>
          <w:b w:val="0"/>
          <w:caps w:val="0"/>
          <w:sz w:val="24"/>
        </w:rPr>
        <w:t>Një strategji e Lanza dhe Marinescu (2006) është konjunksion, ndaj çdo mospërputhje ka shkak të emërtueshëm: një klauzolë, ose dy, ose të tria nuk qëndruan. Matjet për ta thënë këtë ekzistojnë tashmë te tabela e veçorive, ndaj pyetja «pse nuk ndezi» ka përgjigje pa asnjë ekzekutim të ri (Tabela 39; Tabela 40).</w:t>
      </w:r>
    </w:p>
    <w:p>
      <w:pPr>
        <w:keepNext/>
        <w:spacing w:line="240" w:lineRule="auto"/>
        <w:jc w:val="center"/>
      </w:pPr>
      <w:r>
        <w:rPr>
          <w:rFonts w:ascii="Times New Roman" w:hAnsi="Times New Roman" w:eastAsia="Times New Roman"/>
          <w:b w:val="0"/>
          <w:caps w:val="0"/>
          <w:sz w:val="22"/>
        </w:rPr>
        <w:t>Tabela 39.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295</w:t>
            </w:r>
          </w:p>
        </w:tc>
        <w:tc>
          <w:tcPr>
            <w:tcW w:type="dxa" w:w="2946"/>
          </w:tcPr>
          <w:p>
            <w:pPr>
              <w:spacing w:line="240" w:lineRule="auto"/>
              <w:jc w:val="left"/>
            </w:pPr>
            <w:r>
              <w:rPr>
                <w:rFonts w:ascii="Times New Roman" w:hAnsi="Times New Roman" w:eastAsia="Times New Roman"/>
                <w:b w:val="0"/>
                <w:caps w:val="0"/>
                <w:sz w:val="22"/>
              </w:rPr>
              <w:t>87 me 1 klauzolë, 115 me 2 klauzola, 93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133</w:t>
            </w:r>
          </w:p>
        </w:tc>
        <w:tc>
          <w:tcPr>
            <w:tcW w:type="dxa" w:w="2946"/>
          </w:tcPr>
          <w:p>
            <w:pPr>
              <w:spacing w:line="240" w:lineRule="auto"/>
              <w:jc w:val="left"/>
            </w:pPr>
            <w:r>
              <w:rPr>
                <w:rFonts w:ascii="Times New Roman" w:hAnsi="Times New Roman" w:eastAsia="Times New Roman"/>
                <w:b w:val="0"/>
                <w:caps w:val="0"/>
                <w:sz w:val="22"/>
              </w:rPr>
              <w:t>49 me 1 klauzolë, 84 me 2 klauzola</w:t>
            </w:r>
          </w:p>
        </w:tc>
      </w:tr>
    </w:tbl>
    <w:p>
      <w:pPr>
        <w:spacing w:line="240" w:lineRule="auto" w:after="0"/>
      </w:pPr>
    </w:p>
    <w:p>
      <w:pPr>
        <w:keepNext/>
        <w:spacing w:line="240" w:lineRule="auto"/>
        <w:jc w:val="center"/>
      </w:pPr>
      <w:r>
        <w:rPr>
          <w:rFonts w:ascii="Times New Roman" w:hAnsi="Times New Roman" w:eastAsia="Times New Roman"/>
          <w:b w:val="0"/>
          <w:caps w:val="0"/>
          <w:sz w:val="22"/>
        </w:rPr>
        <w:t>Tabela 40.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34</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42</w:t>
            </w:r>
          </w:p>
        </w:tc>
        <w:tc>
          <w:tcPr>
            <w:tcW w:type="dxa" w:w="2209"/>
          </w:tcPr>
          <w:p>
            <w:pPr>
              <w:spacing w:line="240" w:lineRule="auto"/>
              <w:jc w:val="left"/>
            </w:pPr>
            <w:r>
              <w:rPr>
                <w:rFonts w:ascii="Times New Roman" w:hAnsi="Times New Roman" w:eastAsia="Times New Roman"/>
                <w:b w:val="0"/>
                <w:caps w:val="0"/>
                <w:sz w:val="22"/>
              </w:rPr>
              <w:t>0.54</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33</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208 nga 295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0.54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84 nga 133 ngecin te më shumë se një klauzolë; edhe këtu, shumica janë larg erës dhe jo pranë pragut. Me një bllokues të vetëm, rastet ndalen (në mesore) te 0.40–0.83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0.43), ndaj kalibrimi nuk duhet të ndihmojë shumë; te Feature Envy janë afër (0.65), ndaj duhet. Kalibrimi jashtë fold-it i Nënkapitullit 5.5, i matur veç dhe pa e parë këtë analizë, jep +0.001 MCC për të parin dhe -0.019 për të dytin. Parashikimi nuk konfirmohet: aty ku mospërputhjet janë më afër pragjeve, kalibrimi nuk ndihmoi. Afria e mesatarizuar mbi klauzola nuk mjafton pra për të thënë ku do të fitojë një prag i ri, dhe llogaria e klauzolave mbetet përshkrim i mospërputhjeve e jo parashikim.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8.7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Kjo pjesë e bën atë krahasim. Matja kufizohet te mostrat ku të dyja anët shohin një erë. Askund tjetër shkallët nuk janë të krahasueshme: një detektor që nuk ndez nuk cakton ashpërsi, dhe një pozitiv i rremë është pyetje precizioni, jo ashpërsie (Tabela 41).</w:t>
      </w:r>
    </w:p>
    <w:p>
      <w:pPr>
        <w:keepNext/>
        <w:spacing w:line="240" w:lineRule="auto"/>
        <w:jc w:val="center"/>
      </w:pPr>
      <w:r>
        <w:rPr>
          <w:rFonts w:ascii="Times New Roman" w:hAnsi="Times New Roman" w:eastAsia="Times New Roman"/>
          <w:b w:val="0"/>
          <w:caps w:val="0"/>
          <w:sz w:val="22"/>
        </w:rPr>
        <w:t>Tabela 41.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0.161</w:t>
            </w:r>
          </w:p>
        </w:tc>
        <w:tc>
          <w:tcPr>
            <w:tcW w:type="dxa" w:w="1768"/>
          </w:tcPr>
          <w:p>
            <w:pPr>
              <w:spacing w:line="240" w:lineRule="auto"/>
              <w:jc w:val="left"/>
            </w:pPr>
            <w:r>
              <w:rPr>
                <w:rFonts w:ascii="Times New Roman" w:hAnsi="Times New Roman" w:eastAsia="Times New Roman"/>
                <w:b w:val="0"/>
                <w:caps w:val="0"/>
                <w:sz w:val="22"/>
              </w:rPr>
              <w:t>0.629</w:t>
            </w:r>
          </w:p>
        </w:tc>
        <w:tc>
          <w:tcPr>
            <w:tcW w:type="dxa" w:w="1768"/>
          </w:tcPr>
          <w:p>
            <w:pPr>
              <w:spacing w:line="240" w:lineRule="auto"/>
              <w:jc w:val="left"/>
            </w:pPr>
            <w:r>
              <w:rPr>
                <w:rFonts w:ascii="Times New Roman" w:hAnsi="Times New Roman" w:eastAsia="Times New Roman"/>
                <w:b w:val="0"/>
                <w:caps w:val="0"/>
                <w:sz w:val="22"/>
              </w:rPr>
              <w:t>0.044</w:t>
            </w:r>
          </w:p>
        </w:tc>
        <w:tc>
          <w:tcPr>
            <w:tcW w:type="dxa" w:w="1768"/>
          </w:tcPr>
          <w:p>
            <w:pPr>
              <w:spacing w:line="240" w:lineRule="auto"/>
              <w:jc w:val="left"/>
            </w:pPr>
            <w:r>
              <w:rPr>
                <w:rFonts w:ascii="Times New Roman" w:hAnsi="Times New Roman" w:eastAsia="Times New Roman"/>
                <w:b w:val="0"/>
                <w:caps w:val="0"/>
                <w:sz w:val="22"/>
              </w:rPr>
              <w:t>62</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0.318</w:t>
            </w:r>
          </w:p>
        </w:tc>
        <w:tc>
          <w:tcPr>
            <w:tcW w:type="dxa" w:w="1768"/>
          </w:tcPr>
          <w:p>
            <w:pPr>
              <w:spacing w:line="240" w:lineRule="auto"/>
              <w:jc w:val="left"/>
            </w:pPr>
            <w:r>
              <w:rPr>
                <w:rFonts w:ascii="Times New Roman" w:hAnsi="Times New Roman" w:eastAsia="Times New Roman"/>
                <w:b w:val="0"/>
                <w:caps w:val="0"/>
                <w:sz w:val="22"/>
              </w:rPr>
              <w:t>0.784</w:t>
            </w:r>
          </w:p>
        </w:tc>
        <w:tc>
          <w:tcPr>
            <w:tcW w:type="dxa" w:w="1768"/>
          </w:tcPr>
          <w:p>
            <w:pPr>
              <w:spacing w:line="240" w:lineRule="auto"/>
              <w:jc w:val="left"/>
            </w:pPr>
            <w:r>
              <w:rPr>
                <w:rFonts w:ascii="Times New Roman" w:hAnsi="Times New Roman" w:eastAsia="Times New Roman"/>
                <w:b w:val="0"/>
                <w:caps w:val="0"/>
                <w:sz w:val="22"/>
              </w:rPr>
              <w:t>0.084</w:t>
            </w:r>
          </w:p>
        </w:tc>
        <w:tc>
          <w:tcPr>
            <w:tcW w:type="dxa" w:w="1768"/>
          </w:tcPr>
          <w:p>
            <w:pPr>
              <w:spacing w:line="240" w:lineRule="auto"/>
              <w:jc w:val="left"/>
            </w:pPr>
            <w:r>
              <w:rPr>
                <w:rFonts w:ascii="Times New Roman" w:hAnsi="Times New Roman" w:eastAsia="Times New Roman"/>
                <w:b w:val="0"/>
                <w:caps w:val="0"/>
                <w:sz w:val="22"/>
              </w:rPr>
              <w:t>148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0.364</w:t>
            </w:r>
          </w:p>
        </w:tc>
        <w:tc>
          <w:tcPr>
            <w:tcW w:type="dxa" w:w="1768"/>
          </w:tcPr>
          <w:p>
            <w:pPr>
              <w:spacing w:line="240" w:lineRule="auto"/>
              <w:jc w:val="left"/>
            </w:pPr>
            <w:r>
              <w:rPr>
                <w:rFonts w:ascii="Times New Roman" w:hAnsi="Times New Roman" w:eastAsia="Times New Roman"/>
                <w:b w:val="0"/>
                <w:caps w:val="0"/>
                <w:sz w:val="22"/>
              </w:rPr>
              <w:t>0.818</w:t>
            </w:r>
          </w:p>
        </w:tc>
        <w:tc>
          <w:tcPr>
            <w:tcW w:type="dxa" w:w="1768"/>
          </w:tcPr>
          <w:p>
            <w:pPr>
              <w:spacing w:line="240" w:lineRule="auto"/>
              <w:jc w:val="left"/>
            </w:pPr>
            <w:r>
              <w:rPr>
                <w:rFonts w:ascii="Times New Roman" w:hAnsi="Times New Roman" w:eastAsia="Times New Roman"/>
                <w:b w:val="0"/>
                <w:caps w:val="0"/>
                <w:sz w:val="22"/>
              </w:rPr>
              <w:t>0.110</w:t>
            </w:r>
          </w:p>
        </w:tc>
        <w:tc>
          <w:tcPr>
            <w:tcW w:type="dxa" w:w="1768"/>
          </w:tcPr>
          <w:p>
            <w:pPr>
              <w:spacing w:line="240" w:lineRule="auto"/>
              <w:jc w:val="left"/>
            </w:pPr>
            <w:r>
              <w:rPr>
                <w:rFonts w:ascii="Times New Roman" w:hAnsi="Times New Roman" w:eastAsia="Times New Roman"/>
                <w:b w:val="0"/>
                <w:caps w:val="0"/>
                <w:sz w:val="22"/>
              </w:rPr>
              <w:t>88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0.032</w:t>
            </w:r>
          </w:p>
        </w:tc>
        <w:tc>
          <w:tcPr>
            <w:tcW w:type="dxa" w:w="1768"/>
          </w:tcPr>
          <w:p>
            <w:pPr>
              <w:spacing w:line="240" w:lineRule="auto"/>
              <w:jc w:val="left"/>
            </w:pPr>
            <w:r>
              <w:rPr>
                <w:rFonts w:ascii="Times New Roman" w:hAnsi="Times New Roman" w:eastAsia="Times New Roman"/>
                <w:b w:val="0"/>
                <w:caps w:val="0"/>
                <w:sz w:val="22"/>
              </w:rPr>
              <w:t>0.645</w:t>
            </w:r>
          </w:p>
        </w:tc>
        <w:tc>
          <w:tcPr>
            <w:tcW w:type="dxa" w:w="1768"/>
          </w:tcPr>
          <w:p>
            <w:pPr>
              <w:spacing w:line="240" w:lineRule="auto"/>
              <w:jc w:val="left"/>
            </w:pPr>
            <w:r>
              <w:rPr>
                <w:rFonts w:ascii="Times New Roman" w:hAnsi="Times New Roman" w:eastAsia="Times New Roman"/>
                <w:b w:val="0"/>
                <w:caps w:val="0"/>
                <w:sz w:val="22"/>
              </w:rPr>
              <w:t>0.096</w:t>
            </w:r>
          </w:p>
        </w:tc>
        <w:tc>
          <w:tcPr>
            <w:tcW w:type="dxa" w:w="1768"/>
          </w:tcPr>
          <w:p>
            <w:pPr>
              <w:spacing w:line="240" w:lineRule="auto"/>
              <w:jc w:val="left"/>
            </w:pPr>
            <w:r>
              <w:rPr>
                <w:rFonts w:ascii="Times New Roman" w:hAnsi="Times New Roman" w:eastAsia="Times New Roman"/>
                <w:b w:val="0"/>
                <w:caps w:val="0"/>
                <w:sz w:val="22"/>
              </w:rPr>
              <w:t>31</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0.614</w:t>
            </w:r>
          </w:p>
        </w:tc>
        <w:tc>
          <w:tcPr>
            <w:tcW w:type="dxa" w:w="1768"/>
          </w:tcPr>
          <w:p>
            <w:pPr>
              <w:spacing w:line="240" w:lineRule="auto"/>
              <w:jc w:val="left"/>
            </w:pPr>
            <w:r>
              <w:rPr>
                <w:rFonts w:ascii="Times New Roman" w:hAnsi="Times New Roman" w:eastAsia="Times New Roman"/>
                <w:b w:val="0"/>
                <w:caps w:val="0"/>
                <w:sz w:val="22"/>
              </w:rPr>
              <w:t>1.000</w:t>
            </w:r>
          </w:p>
        </w:tc>
        <w:tc>
          <w:tcPr>
            <w:tcW w:type="dxa" w:w="1768"/>
          </w:tcPr>
          <w:p>
            <w:pPr>
              <w:spacing w:line="240" w:lineRule="auto"/>
              <w:jc w:val="left"/>
            </w:pPr>
            <w:r>
              <w:rPr>
                <w:rFonts w:ascii="Times New Roman" w:hAnsi="Times New Roman" w:eastAsia="Times New Roman"/>
                <w:b w:val="0"/>
                <w:caps w:val="0"/>
                <w:sz w:val="22"/>
              </w:rPr>
              <w:t>0.590</w:t>
            </w:r>
          </w:p>
        </w:tc>
        <w:tc>
          <w:tcPr>
            <w:tcW w:type="dxa" w:w="1768"/>
          </w:tcPr>
          <w:p>
            <w:pPr>
              <w:spacing w:line="240" w:lineRule="auto"/>
              <w:jc w:val="left"/>
            </w:pPr>
            <w:r>
              <w:rPr>
                <w:rFonts w:ascii="Times New Roman" w:hAnsi="Times New Roman" w:eastAsia="Times New Roman"/>
                <w:b w:val="0"/>
                <w:caps w:val="0"/>
                <w:sz w:val="22"/>
              </w:rPr>
              <w:t>127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 Matrica tregon edhe drejtimin e gabimit, i cili është i njëanshëm: nga 308 krahasime, 147 e vlerësojnë rastin më rëndë se rishikuesit dhe vetëm 40 më lehtë (48% kundrejt 13%). Sistemi nuk gabon rastësisht: ai e mbivlerëson ashpërsinë (Figura 15).</w:t>
      </w:r>
    </w:p>
    <w:p>
      <w:pPr>
        <w:keepNext/>
        <w:jc w:val="center"/>
      </w:pPr>
      <w:r>
        <w:drawing>
          <wp:inline xmlns:a="http://schemas.openxmlformats.org/drawingml/2006/main" xmlns:pic="http://schemas.openxmlformats.org/drawingml/2006/picture">
            <wp:extent cx="5120640" cy="2809061"/>
            <wp:docPr id="17" name="Picture 17"/>
            <wp:cNvGraphicFramePr>
              <a:graphicFrameLocks noChangeAspect="1"/>
            </wp:cNvGraphicFramePr>
            <a:graphic>
              <a:graphicData uri="http://schemas.openxmlformats.org/drawingml/2006/picture">
                <pic:pic>
                  <pic:nvPicPr>
                    <pic:cNvPr id="0" name="ashpersia_kundrejt_rishikuesve.png"/>
                    <pic:cNvPicPr/>
                  </pic:nvPicPr>
                  <pic:blipFill>
                    <a:blip r:embed="rId27"/>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15.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 Nuk është çështje kalibrimi: zhvendosja e pragjeve të ashpërsisë e ngre kappa-n te erërat me pajtim të ulët më së shumti deri në 0.198, pra atje pajtimi mbetet i dobët. Ashpërsia e derivuar mbetet renditje brenda mjetit, që tregon cili rast të shihet i pari,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8.8 Çfarë mbetet pa u kapur te Blob-i</w:t>
      </w:r>
    </w:p>
    <w:p>
      <w:pPr>
        <w:spacing w:line="360" w:lineRule="auto"/>
        <w:ind w:firstLine="360"/>
        <w:jc w:val="both"/>
      </w:pPr>
      <w:r>
        <w:rPr>
          <w:rFonts w:ascii="Times New Roman" w:hAnsi="Times New Roman" w:eastAsia="Times New Roman"/>
          <w:b w:val="0"/>
          <w:caps w:val="0"/>
          <w:sz w:val="24"/>
        </w:rPr>
        <w:t>Shtojca 8.6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42).</w:t>
      </w:r>
    </w:p>
    <w:p>
      <w:pPr>
        <w:keepNext/>
        <w:spacing w:line="240" w:lineRule="auto"/>
        <w:jc w:val="center"/>
      </w:pPr>
      <w:r>
        <w:rPr>
          <w:rFonts w:ascii="Times New Roman" w:hAnsi="Times New Roman" w:eastAsia="Times New Roman"/>
          <w:b w:val="0"/>
          <w:caps w:val="0"/>
          <w:sz w:val="22"/>
        </w:rPr>
        <w:t>Tabela 42.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264–323–736</w:t>
            </w:r>
          </w:p>
        </w:tc>
        <w:tc>
          <w:tcPr>
            <w:tcW w:type="dxa" w:w="1768"/>
          </w:tcPr>
          <w:p>
            <w:pPr>
              <w:spacing w:line="240" w:lineRule="auto"/>
              <w:jc w:val="left"/>
            </w:pPr>
            <w:r>
              <w:rPr>
                <w:rFonts w:ascii="Times New Roman" w:hAnsi="Times New Roman" w:eastAsia="Times New Roman"/>
                <w:b w:val="0"/>
                <w:caps w:val="0"/>
                <w:sz w:val="22"/>
              </w:rPr>
              <w:t>60–104–182</w:t>
            </w:r>
          </w:p>
        </w:tc>
        <w:tc>
          <w:tcPr>
            <w:tcW w:type="dxa" w:w="1768"/>
          </w:tcPr>
          <w:p>
            <w:pPr>
              <w:spacing w:line="240" w:lineRule="auto"/>
              <w:jc w:val="left"/>
            </w:pPr>
            <w:r>
              <w:rPr>
                <w:rFonts w:ascii="Times New Roman" w:hAnsi="Times New Roman" w:eastAsia="Times New Roman"/>
                <w:b w:val="0"/>
                <w:caps w:val="0"/>
                <w:sz w:val="22"/>
              </w:rPr>
              <w:t>10–21–42</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18–28–46</w:t>
            </w:r>
          </w:p>
        </w:tc>
        <w:tc>
          <w:tcPr>
            <w:tcW w:type="dxa" w:w="1768"/>
          </w:tcPr>
          <w:p>
            <w:pPr>
              <w:spacing w:line="240" w:lineRule="auto"/>
              <w:jc w:val="left"/>
            </w:pPr>
            <w:r>
              <w:rPr>
                <w:rFonts w:ascii="Times New Roman" w:hAnsi="Times New Roman" w:eastAsia="Times New Roman"/>
                <w:b w:val="0"/>
                <w:caps w:val="0"/>
                <w:sz w:val="22"/>
              </w:rPr>
              <w:t>4–9–17</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60–102–164</w:t>
            </w:r>
          </w:p>
        </w:tc>
        <w:tc>
          <w:tcPr>
            <w:tcW w:type="dxa" w:w="1768"/>
          </w:tcPr>
          <w:p>
            <w:pPr>
              <w:spacing w:line="240" w:lineRule="auto"/>
              <w:jc w:val="left"/>
            </w:pPr>
            <w:r>
              <w:rPr>
                <w:rFonts w:ascii="Times New Roman" w:hAnsi="Times New Roman" w:eastAsia="Times New Roman"/>
                <w:b w:val="0"/>
                <w:caps w:val="0"/>
                <w:sz w:val="22"/>
              </w:rPr>
              <w:t>14–26–41</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206–285–470</w:t>
            </w:r>
          </w:p>
        </w:tc>
        <w:tc>
          <w:tcPr>
            <w:tcW w:type="dxa" w:w="1768"/>
          </w:tcPr>
          <w:p>
            <w:pPr>
              <w:spacing w:line="240" w:lineRule="auto"/>
              <w:jc w:val="left"/>
            </w:pPr>
            <w:r>
              <w:rPr>
                <w:rFonts w:ascii="Times New Roman" w:hAnsi="Times New Roman" w:eastAsia="Times New Roman"/>
                <w:b w:val="0"/>
                <w:caps w:val="0"/>
                <w:sz w:val="22"/>
              </w:rPr>
              <w:t>52–81–122</w:t>
            </w:r>
          </w:p>
        </w:tc>
        <w:tc>
          <w:tcPr>
            <w:tcW w:type="dxa" w:w="1768"/>
          </w:tcPr>
          <w:p>
            <w:pPr>
              <w:spacing w:line="240" w:lineRule="auto"/>
              <w:jc w:val="left"/>
            </w:pPr>
            <w:r>
              <w:rPr>
                <w:rFonts w:ascii="Times New Roman" w:hAnsi="Times New Roman" w:eastAsia="Times New Roman"/>
                <w:b w:val="0"/>
                <w:caps w:val="0"/>
                <w:sz w:val="22"/>
              </w:rPr>
              <w:t>10–19–40</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16–24–37</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46–65–134</w:t>
            </w:r>
          </w:p>
        </w:tc>
        <w:tc>
          <w:tcPr>
            <w:tcW w:type="dxa" w:w="1768"/>
          </w:tcPr>
          <w:p>
            <w:pPr>
              <w:spacing w:line="240" w:lineRule="auto"/>
              <w:jc w:val="left"/>
            </w:pPr>
            <w:r>
              <w:rPr>
                <w:rFonts w:ascii="Times New Roman" w:hAnsi="Times New Roman" w:eastAsia="Times New Roman"/>
                <w:b w:val="0"/>
                <w:caps w:val="0"/>
                <w:sz w:val="22"/>
              </w:rPr>
              <w:t>12–19–27</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295 mospërputhje të strategjisë së botuar, 4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CLOC me 0.899,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(Figura e Nënkapitullit 5.2) ndajnë dy nga katër vendet e para me të: CLOC, MAXCC. As TCC-ja dhe as WMC-ja, kushtet e strategjisë së botuar, nuk hyjnë te asnjëra listë (Tabela 43).</w:t>
      </w:r>
    </w:p>
    <w:p>
      <w:pPr>
        <w:keepNext/>
        <w:spacing w:line="240" w:lineRule="auto"/>
        <w:jc w:val="center"/>
      </w:pPr>
      <w:r>
        <w:rPr>
          <w:rFonts w:ascii="Times New Roman" w:hAnsi="Times New Roman" w:eastAsia="Times New Roman"/>
          <w:b w:val="0"/>
          <w:caps w:val="0"/>
          <w:sz w:val="22"/>
        </w:rPr>
        <w:t>Tabela 43.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210</w:t>
            </w:r>
          </w:p>
        </w:tc>
        <w:tc>
          <w:tcPr>
            <w:tcW w:type="dxa" w:w="1768"/>
          </w:tcPr>
          <w:p>
            <w:pPr>
              <w:spacing w:line="240" w:lineRule="auto"/>
              <w:jc w:val="left"/>
            </w:pPr>
            <w:r>
              <w:rPr>
                <w:rFonts w:ascii="Times New Roman" w:hAnsi="Times New Roman" w:eastAsia="Times New Roman"/>
                <w:b w:val="0"/>
                <w:caps w:val="0"/>
                <w:sz w:val="22"/>
              </w:rPr>
              <w:t>3</w:t>
            </w:r>
          </w:p>
        </w:tc>
        <w:tc>
          <w:tcPr>
            <w:tcW w:type="dxa" w:w="1768"/>
          </w:tcPr>
          <w:p>
            <w:pPr>
              <w:spacing w:line="240" w:lineRule="auto"/>
              <w:jc w:val="left"/>
            </w:pPr>
            <w:r>
              <w:rPr>
                <w:rFonts w:ascii="Times New Roman" w:hAnsi="Times New Roman" w:eastAsia="Times New Roman"/>
                <w:b w:val="0"/>
                <w:caps w:val="0"/>
                <w:sz w:val="22"/>
              </w:rPr>
              <w:t>0.014</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161</w:t>
            </w:r>
          </w:p>
        </w:tc>
        <w:tc>
          <w:tcPr>
            <w:tcW w:type="dxa" w:w="1768"/>
          </w:tcPr>
          <w:p>
            <w:pPr>
              <w:spacing w:line="240" w:lineRule="auto"/>
              <w:jc w:val="left"/>
            </w:pPr>
            <w:r>
              <w:rPr>
                <w:rFonts w:ascii="Times New Roman" w:hAnsi="Times New Roman" w:eastAsia="Times New Roman"/>
                <w:b w:val="0"/>
                <w:caps w:val="0"/>
                <w:sz w:val="22"/>
              </w:rPr>
              <w:t>18</w:t>
            </w:r>
          </w:p>
        </w:tc>
        <w:tc>
          <w:tcPr>
            <w:tcW w:type="dxa" w:w="1768"/>
          </w:tcPr>
          <w:p>
            <w:pPr>
              <w:spacing w:line="240" w:lineRule="auto"/>
              <w:jc w:val="left"/>
            </w:pPr>
            <w:r>
              <w:rPr>
                <w:rFonts w:ascii="Times New Roman" w:hAnsi="Times New Roman" w:eastAsia="Times New Roman"/>
                <w:b w:val="0"/>
                <w:caps w:val="0"/>
                <w:sz w:val="22"/>
              </w:rPr>
              <w:t>0.112</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105</w:t>
            </w:r>
          </w:p>
        </w:tc>
        <w:tc>
          <w:tcPr>
            <w:tcW w:type="dxa" w:w="1768"/>
          </w:tcPr>
          <w:p>
            <w:pPr>
              <w:spacing w:line="240" w:lineRule="auto"/>
              <w:jc w:val="left"/>
            </w:pPr>
            <w:r>
              <w:rPr>
                <w:rFonts w:ascii="Times New Roman" w:hAnsi="Times New Roman" w:eastAsia="Times New Roman"/>
                <w:b w:val="0"/>
                <w:caps w:val="0"/>
                <w:sz w:val="22"/>
              </w:rPr>
              <w:t>41</w:t>
            </w:r>
          </w:p>
        </w:tc>
        <w:tc>
          <w:tcPr>
            <w:tcW w:type="dxa" w:w="1768"/>
          </w:tcPr>
          <w:p>
            <w:pPr>
              <w:spacing w:line="240" w:lineRule="auto"/>
              <w:jc w:val="left"/>
            </w:pPr>
            <w:r>
              <w:rPr>
                <w:rFonts w:ascii="Times New Roman" w:hAnsi="Times New Roman" w:eastAsia="Times New Roman"/>
                <w:b w:val="0"/>
                <w:caps w:val="0"/>
                <w:sz w:val="22"/>
              </w:rPr>
              <w:t>0.391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210</w:t>
            </w:r>
          </w:p>
        </w:tc>
        <w:tc>
          <w:tcPr>
            <w:tcW w:type="dxa" w:w="1768"/>
          </w:tcPr>
          <w:p>
            <w:pPr>
              <w:spacing w:line="240" w:lineRule="auto"/>
              <w:jc w:val="left"/>
            </w:pPr>
            <w:r>
              <w:rPr>
                <w:rFonts w:ascii="Times New Roman" w:hAnsi="Times New Roman" w:eastAsia="Times New Roman"/>
                <w:b w:val="0"/>
                <w:caps w:val="0"/>
                <w:sz w:val="22"/>
              </w:rPr>
              <w:t>19</w:t>
            </w:r>
          </w:p>
        </w:tc>
        <w:tc>
          <w:tcPr>
            <w:tcW w:type="dxa" w:w="1768"/>
          </w:tcPr>
          <w:p>
            <w:pPr>
              <w:spacing w:line="240" w:lineRule="auto"/>
              <w:jc w:val="left"/>
            </w:pPr>
            <w:r>
              <w:rPr>
                <w:rFonts w:ascii="Times New Roman" w:hAnsi="Times New Roman" w:eastAsia="Times New Roman"/>
                <w:b w:val="0"/>
                <w:caps w:val="0"/>
                <w:sz w:val="22"/>
              </w:rPr>
              <w:t>0.090</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161</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105</w:t>
            </w:r>
          </w:p>
        </w:tc>
        <w:tc>
          <w:tcPr>
            <w:tcW w:type="dxa" w:w="1768"/>
          </w:tcPr>
          <w:p>
            <w:pPr>
              <w:spacing w:line="240" w:lineRule="auto"/>
              <w:jc w:val="left"/>
            </w:pPr>
            <w:r>
              <w:rPr>
                <w:rFonts w:ascii="Times New Roman" w:hAnsi="Times New Roman" w:eastAsia="Times New Roman"/>
                <w:b w:val="0"/>
                <w:caps w:val="0"/>
                <w:sz w:val="22"/>
              </w:rPr>
              <w:t>84</w:t>
            </w:r>
          </w:p>
        </w:tc>
        <w:tc>
          <w:tcPr>
            <w:tcW w:type="dxa" w:w="1768"/>
          </w:tcPr>
          <w:p>
            <w:pPr>
              <w:spacing w:line="240" w:lineRule="auto"/>
              <w:jc w:val="left"/>
            </w:pPr>
            <w:r>
              <w:rPr>
                <w:rFonts w:ascii="Times New Roman" w:hAnsi="Times New Roman" w:eastAsia="Times New Roman"/>
                <w:b w:val="0"/>
                <w:caps w:val="0"/>
                <w:sz w:val="22"/>
              </w:rPr>
              <w:t>0.800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Kur një mostër ka më shumë se një rishikim, një votë «asnjë» përballë një vote të rëndë e ul mesataren për një shkallë të tërë. Nën mesatare pozitivët ndahen minor 265, major 82, critical 10, ndërsa nën MAX minor 210, major 161, critical 105: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0.014 te rastet që vetëm një rishikues i quajti të lehta, në 0.391 te ato që dikush i quajti kritike, pra rreth 27 herë më i lartë. Mospërputhja nuk është e rastësishme: strategjia nuk pajtohet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dhe Kang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44).</w:t>
      </w:r>
    </w:p>
    <w:p>
      <w:pPr>
        <w:keepNext/>
        <w:spacing w:line="240" w:lineRule="auto"/>
        <w:jc w:val="center"/>
      </w:pPr>
      <w:r>
        <w:rPr>
          <w:rFonts w:ascii="Times New Roman" w:hAnsi="Times New Roman" w:eastAsia="Times New Roman"/>
          <w:b w:val="0"/>
          <w:caps w:val="0"/>
          <w:sz w:val="22"/>
        </w:rPr>
        <w:t>Tabela 44.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PeriodFormatterData</w:t>
            </w:r>
          </w:p>
        </w:tc>
        <w:tc>
          <w:tcPr>
            <w:tcW w:type="dxa" w:w="1768"/>
          </w:tcPr>
          <w:p>
            <w:pPr>
              <w:spacing w:line="240" w:lineRule="auto"/>
              <w:jc w:val="left"/>
            </w:pPr>
            <w:r>
              <w:rPr>
                <w:rFonts w:ascii="Times New Roman" w:hAnsi="Times New Roman" w:eastAsia="Times New Roman"/>
                <w:b w:val="0"/>
                <w:caps w:val="0"/>
                <w:sz w:val="22"/>
              </w:rPr>
              <w:t>370</w:t>
            </w:r>
          </w:p>
        </w:tc>
        <w:tc>
          <w:tcPr>
            <w:tcW w:type="dxa" w:w="1768"/>
          </w:tcPr>
          <w:p>
            <w:pPr>
              <w:spacing w:line="240" w:lineRule="auto"/>
              <w:jc w:val="left"/>
            </w:pPr>
            <w:r>
              <w:rPr>
                <w:rFonts w:ascii="Times New Roman" w:hAnsi="Times New Roman" w:eastAsia="Times New Roman"/>
                <w:b w:val="0"/>
                <w:caps w:val="0"/>
                <w:sz w:val="22"/>
              </w:rPr>
              <w:t>14</w:t>
            </w:r>
          </w:p>
        </w:tc>
        <w:tc>
          <w:tcPr>
            <w:tcW w:type="dxa" w:w="1768"/>
          </w:tcPr>
          <w:p>
            <w:pPr>
              <w:spacing w:line="240" w:lineRule="auto"/>
              <w:jc w:val="left"/>
            </w:pPr>
            <w:r>
              <w:rPr>
                <w:rFonts w:ascii="Times New Roman" w:hAnsi="Times New Roman" w:eastAsia="Times New Roman"/>
                <w:b w:val="0"/>
                <w:caps w:val="0"/>
                <w:sz w:val="22"/>
              </w:rPr>
              <w:t>197</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Files</w:t>
            </w:r>
          </w:p>
        </w:tc>
        <w:tc>
          <w:tcPr>
            <w:tcW w:type="dxa" w:w="1768"/>
          </w:tcPr>
          <w:p>
            <w:pPr>
              <w:spacing w:line="240" w:lineRule="auto"/>
              <w:jc w:val="left"/>
            </w:pPr>
            <w:r>
              <w:rPr>
                <w:rFonts w:ascii="Times New Roman" w:hAnsi="Times New Roman" w:eastAsia="Times New Roman"/>
                <w:b w:val="0"/>
                <w:caps w:val="0"/>
                <w:sz w:val="22"/>
              </w:rPr>
              <w:t>627</w:t>
            </w:r>
          </w:p>
        </w:tc>
        <w:tc>
          <w:tcPr>
            <w:tcW w:type="dxa" w:w="1768"/>
          </w:tcPr>
          <w:p>
            <w:pPr>
              <w:spacing w:line="240" w:lineRule="auto"/>
              <w:jc w:val="left"/>
            </w:pPr>
            <w:r>
              <w:rPr>
                <w:rFonts w:ascii="Times New Roman" w:hAnsi="Times New Roman" w:eastAsia="Times New Roman"/>
                <w:b w:val="0"/>
                <w:caps w:val="0"/>
                <w:sz w:val="22"/>
              </w:rPr>
              <w:t>78</w:t>
            </w:r>
          </w:p>
        </w:tc>
        <w:tc>
          <w:tcPr>
            <w:tcW w:type="dxa" w:w="1768"/>
          </w:tcPr>
          <w:p>
            <w:pPr>
              <w:spacing w:line="240" w:lineRule="auto"/>
              <w:jc w:val="left"/>
            </w:pPr>
            <w:r>
              <w:rPr>
                <w:rFonts w:ascii="Times New Roman" w:hAnsi="Times New Roman" w:eastAsia="Times New Roman"/>
                <w:b w:val="0"/>
                <w:caps w:val="0"/>
                <w:sz w:val="22"/>
              </w:rPr>
              <w:t>174</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30 mospërputhje të tilla, që e kalojnë klauzolën e kompleksitetit dhe ndalen vetëm te kohezioni; 30 u riparsuan dhe 26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30 nga 295, ndaj nuk e shpjegon recall-in e ulët. Ndryshimi i TCC-së do ta shkëpuste përkufizimin nga burimi, për një fitim jo më të madh se 0.084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