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spacing w:line="360" w:lineRule="auto"/>
        <w:ind w:firstLine="360"/>
        <w:jc w:val="both"/>
      </w:pPr>
      <w:r>
        <w:rPr>
          <w:rFonts w:ascii="Times New Roman" w:hAnsi="Times New Roman" w:eastAsia="Times New Roman"/>
          <w:b w:val="0"/>
          <w:caps w:val="0"/>
          <w:sz w:val="24"/>
        </w:rPr>
        <w:t>Figura 9.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Krahasimi i MCC-së me Madeyski &amp; Lewowski (2023), mbi MLCQ</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spacing w:line="360" w:lineRule="auto"/>
        <w:ind w:firstLine="360"/>
        <w:jc w:val="both"/>
      </w:pPr>
      <w:r>
        <w:rPr>
          <w:rFonts w:ascii="Times New Roman" w:hAnsi="Times New Roman" w:eastAsia="Times New Roman"/>
          <w:b w:val="0"/>
          <w:caps w:val="0"/>
          <w:sz w:val="24"/>
        </w:rPr>
        <w:t>Tabela 32. Sa klauzola dështuan te secila mospërputhje</w:t>
      </w:r>
    </w:p>
    <w:p>
      <w:pPr>
        <w:spacing w:line="360" w:lineRule="auto"/>
        <w:ind w:firstLine="360"/>
        <w:jc w:val="both"/>
      </w:pPr>
      <w:r>
        <w:rPr>
          <w:rFonts w:ascii="Times New Roman" w:hAnsi="Times New Roman" w:eastAsia="Times New Roman"/>
          <w:b w:val="0"/>
          <w:caps w:val="0"/>
          <w:sz w:val="24"/>
        </w:rPr>
        <w:t>Tabela 33. Kur një klauzolë e vetme e ndal strategjinë</w:t>
      </w:r>
    </w:p>
    <w:p>
      <w:pPr>
        <w:spacing w:line="360" w:lineRule="auto"/>
        <w:ind w:firstLine="360"/>
        <w:jc w:val="both"/>
      </w:pPr>
      <w:r>
        <w:rPr>
          <w:rFonts w:ascii="Times New Roman" w:hAnsi="Times New Roman" w:eastAsia="Times New Roman"/>
          <w:b w:val="0"/>
          <w:caps w:val="0"/>
          <w:sz w:val="24"/>
        </w:rPr>
        <w:t>Tabela 34. Pajtimi i ashpërsisë me rishikuesit</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Erërat detektohen në dy mënyra, me strategji metrikash dhe me një klasifikues të trajnuar mbi të njëjtat metrika, dhe të dyja vlerësohen mbi të njëjtin dataset të etiketuar nga zhvillues profesionistë. Një motor i veçantë e rishkruan kodin vetëm kur mund ta provojë se transformimi është i sigurt. 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u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dhe kjo i bën pyetje të hapur për çdo korpus tjetër.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1 986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 Për ruajtjen e sjelljes nuk ka kriter, për arsyen që jepet te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4 770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mbulon vetëm gjysmën e përkufizimit të Fowler-it (2018), ruajtjen e sjelljes. Nëse struktura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negativet që shënon, FN pozitivet që i humbet dhe TN negativet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705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3460</w:t>
            </w:r>
          </w:p>
        </w:tc>
        <w:tc>
          <w:tcPr>
            <w:tcW w:type="dxa" w:w="2946"/>
          </w:tcPr>
          <w:p>
            <w:pPr>
              <w:spacing w:line="240" w:lineRule="auto"/>
              <w:jc w:val="left"/>
            </w:pPr>
            <w:r>
              <w:rPr>
                <w:rFonts w:ascii="Times New Roman" w:hAnsi="Times New Roman" w:eastAsia="Times New Roman"/>
                <w:b w:val="0"/>
                <w:caps w:val="0"/>
                <w:sz w:val="22"/>
              </w:rPr>
              <w:t>98.0%</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2</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5</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196</w:t>
            </w:r>
          </w:p>
        </w:tc>
        <w:tc>
          <w:tcPr>
            <w:tcW w:type="dxa" w:w="2946"/>
          </w:tcPr>
          <w:p>
            <w:pPr>
              <w:spacing w:line="240" w:lineRule="auto"/>
              <w:jc w:val="left"/>
            </w:pPr>
            <w:r>
              <w:rPr>
                <w:rFonts w:ascii="Times New Roman" w:hAnsi="Times New Roman" w:eastAsia="Times New Roman"/>
                <w:b w:val="0"/>
                <w:caps w:val="0"/>
                <w:sz w:val="22"/>
              </w:rPr>
              <w:t>110</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5 te 66 nga 201 rishkrime, pra nga 2.5% në 32.8%.</w:t>
      </w:r>
    </w:p>
    <w:p>
      <w:pPr>
        <w:spacing w:line="360" w:lineRule="auto"/>
        <w:ind w:firstLine="360"/>
        <w:jc w:val="both"/>
      </w:pPr>
      <w:r>
        <w:rPr>
          <w:rFonts w:ascii="Times New Roman" w:hAnsi="Times New Roman" w:eastAsia="Times New Roman"/>
          <w:b w:val="0"/>
          <w:caps w:val="0"/>
          <w:sz w:val="24"/>
        </w:rPr>
        <w:t>Dy rishkrime nga 201 nuk shtonin lloj të ri gabimi të izoluara, por shtojnë brenda projektit të vet. Rastet janë Extract Method mbi PlanModifierUtil.fixTopOBSchema(RelNode, Pair, List, boolean) në projektin «hive» dhe Extract Method mbi TypeHierarchyTests.testSupertypeHierarchyOnWorkingCopy() në projektin «eclipse.jdt.core». Skedari i matjes mban verdiktin e jo mesazhin e kompilatorit, ndaj shkaku i tyre nuk u veçua. Kufirin kohor e kaluan 23 kompilime,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17; Figura 7):</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(5 folde sipas depos, Nënkapitulli 4.9), rregullat arrijnë këto vlera; kolona e fundit jep pragun që zgjodhi secili fold dhe sa herë u zgjodh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20; Figura 8):</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 sa bie precizioni, çka sugjeron se rishikuesit e MLCQ-së e quajnë një metodë të gjatë më herët se 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196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23).</w:t>
      </w:r>
    </w:p>
    <w:p>
      <w:pPr>
        <w:keepNext/>
        <w:spacing w:line="240" w:lineRule="auto"/>
        <w:jc w:val="center"/>
      </w:pPr>
      <w:r>
        <w:rPr>
          <w:rFonts w:ascii="Times New Roman" w:hAnsi="Times New Roman" w:eastAsia="Times New Roman"/>
          <w:b w:val="0"/>
          <w:caps w:val="0"/>
          <w:sz w:val="22"/>
        </w:rPr>
        <w:t>Tabela 23.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24).</w:t>
      </w:r>
    </w:p>
    <w:p>
      <w:pPr>
        <w:keepNext/>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25).</w:t>
      </w:r>
    </w:p>
    <w:p>
      <w:pPr>
        <w:keepNext/>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26).</w:t>
      </w:r>
    </w:p>
    <w:p>
      <w:pPr>
        <w:keepNext/>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27).</w:t>
      </w:r>
    </w:p>
    <w:p>
      <w:pPr>
        <w:keepNext/>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28).</w:t>
      </w:r>
    </w:p>
    <w:p>
      <w:pPr>
        <w:keepNext/>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29).</w:t>
      </w:r>
    </w:p>
    <w:p>
      <w:pPr>
        <w:keepNext/>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30).</w:t>
      </w:r>
    </w:p>
    <w:p>
      <w:pPr>
        <w:keepNext/>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31).</w:t>
      </w:r>
    </w:p>
    <w:p>
      <w:pPr>
        <w:keepNext/>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b9db342476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32; Tabela 33).</w:t>
      </w:r>
    </w:p>
    <w:p>
      <w:pPr>
        <w:keepNext/>
        <w:spacing w:line="240" w:lineRule="auto"/>
        <w:jc w:val="center"/>
      </w:pPr>
      <w:r>
        <w:rPr>
          <w:rFonts w:ascii="Times New Roman" w:hAnsi="Times New Roman" w:eastAsia="Times New Roman"/>
          <w:b w:val="0"/>
          <w:caps w:val="0"/>
          <w:sz w:val="22"/>
        </w:rPr>
        <w:t>Tabela 32.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33.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34).</w:t>
      </w:r>
    </w:p>
    <w:p>
      <w:pPr>
        <w:keepNext/>
        <w:spacing w:line="240" w:lineRule="auto"/>
        <w:jc w:val="center"/>
      </w:pPr>
      <w:r>
        <w:rPr>
          <w:rFonts w:ascii="Times New Roman" w:hAnsi="Times New Roman" w:eastAsia="Times New Roman"/>
          <w:b w:val="0"/>
          <w:caps w:val="0"/>
          <w:sz w:val="22"/>
        </w:rPr>
        <w:t>Tabela 34.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9).</w:t>
      </w:r>
    </w:p>
    <w:p>
      <w:pPr>
        <w:keepNext/>
        <w:jc w:val="center"/>
      </w:pPr>
      <w:r>
        <w:drawing>
          <wp:inline xmlns:a="http://schemas.openxmlformats.org/drawingml/2006/main" xmlns:pic="http://schemas.openxmlformats.org/drawingml/2006/picture">
            <wp:extent cx="5120640" cy="2809061"/>
            <wp:docPr id="11" name="Picture 11"/>
            <wp:cNvGraphicFramePr>
              <a:graphicFrameLocks noChangeAspect="1"/>
            </wp:cNvGraphicFramePr>
            <a:graphic>
              <a:graphicData uri="http://schemas.openxmlformats.org/drawingml/2006/picture">
                <pic:pic>
                  <pic:nvPicPr>
                    <pic:cNvPr id="0" name="ashpersia_kundrejt_rishikuesve.png"/>
                    <pic:cNvPicPr/>
                  </pic:nvPicPr>
                  <pic:blipFill>
                    <a:blip r:embed="rId21"/>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