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Të dyja qasjet së bashku</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spacing w:line="360" w:lineRule="auto"/>
        <w:ind w:firstLine="360"/>
        <w:jc w:val="both"/>
      </w:pPr>
      <w:r>
        <w:rPr>
          <w:rFonts w:ascii="Times New Roman" w:hAnsi="Times New Roman" w:eastAsia="Times New Roman"/>
          <w:b w:val="0"/>
          <w:caps w:val="0"/>
          <w:sz w:val="24"/>
        </w:rPr>
        <w:t>Tabela 9. Sa lëviz MCC-ja kur zhvendoset një prag</w:t>
      </w:r>
    </w:p>
    <w:p>
      <w:pPr>
        <w:spacing w:line="360" w:lineRule="auto"/>
        <w:ind w:firstLine="360"/>
        <w:jc w:val="both"/>
      </w:pPr>
      <w:r>
        <w:rPr>
          <w:rFonts w:ascii="Times New Roman" w:hAnsi="Times New Roman" w:eastAsia="Times New Roman"/>
          <w:b w:val="0"/>
          <w:caps w:val="0"/>
          <w:sz w:val="24"/>
        </w:rPr>
        <w:t>Tabela 10.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11. Pajtimi i ashpërsisë me rishikuesit</w:t>
      </w:r>
    </w:p>
    <w:p>
      <w:pPr>
        <w:spacing w:line="360" w:lineRule="auto"/>
        <w:ind w:firstLine="360"/>
        <w:jc w:val="both"/>
      </w:pPr>
      <w:r>
        <w:rPr>
          <w:rFonts w:ascii="Times New Roman" w:hAnsi="Times New Roman" w:eastAsia="Times New Roman"/>
          <w:b w:val="0"/>
          <w:caps w:val="0"/>
          <w:sz w:val="24"/>
        </w:rPr>
        <w:t>Tabela 12. Intervale besimi 95% për MCC-në</w:t>
      </w:r>
    </w:p>
    <w:p>
      <w:pPr>
        <w:spacing w:line="360" w:lineRule="auto"/>
        <w:ind w:firstLine="360"/>
        <w:jc w:val="both"/>
      </w:pPr>
      <w:r>
        <w:rPr>
          <w:rFonts w:ascii="Times New Roman" w:hAnsi="Times New Roman" w:eastAsia="Times New Roman"/>
          <w:b w:val="0"/>
          <w:caps w:val="0"/>
          <w:sz w:val="24"/>
        </w:rPr>
        <w:t>Tabela 13. B − A kur rregullat marrin pragun e tyre më të mirë</w:t>
      </w:r>
    </w:p>
    <w:p>
      <w:pPr>
        <w:spacing w:line="360" w:lineRule="auto"/>
        <w:ind w:firstLine="360"/>
        <w:jc w:val="both"/>
      </w:pPr>
      <w:r>
        <w:rPr>
          <w:rFonts w:ascii="Times New Roman" w:hAnsi="Times New Roman" w:eastAsia="Times New Roman"/>
          <w:b w:val="0"/>
          <w:caps w:val="0"/>
          <w:sz w:val="24"/>
        </w:rPr>
        <w:t>Tabela 14. Sa pajtohen rishikuesit me njëri-tjetrin</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5.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9.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10.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11.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12.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13.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14.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