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360" w:lineRule="auto" w:after="0"/>
        <w:jc w:val="center"/>
      </w:pPr>
      <w:r>
        <w:rPr>
          <w:rFonts w:ascii="Times New Roman" w:hAnsi="Times New Roman" w:eastAsia="Times New Roman"/>
          <w:b w:val="0"/>
          <w:caps w:val="0"/>
          <w:sz w:val="24"/>
        </w:rPr>
        <w:t>Prishtinë</w:t>
      </w:r>
    </w:p>
    <w:p>
      <w:r>
        <w:br w:type="page"/>
      </w:r>
    </w:p>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2023 - 2024</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[PLOTËSO]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njëzet e gjashtë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 deri 0.87 me recall 0.10 deri 0.44. Të ndara sipas ashpërsisë, ato degradojnë me hijeshi, duke i kapur rastet e rënda shumë më mirë se ato të lehtat. Klasifikuesit i tejkaluan qartë, me MCC nga 0.488 te 0.713 kundrejt 0.232 deri 0.580, dhe i rizbuluan pjesërisht metrikat që përdorin vetë strategjitë. Motori i refaktorimit transformoi një pjesë të matur të rasteve të detektuara, ku shumica e refuzimeve vjen nga forma e kodit dhe nga rrjedha e kontrollit.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MCC për të dyja qasjet</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Mostrat e shënuara nga secila qasje</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Shpërndarja e mostrave sipas erës</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Sa lëviz MCC-ja kur zhvendoset një prag</w:t>
      </w:r>
    </w:p>
    <w:p>
      <w:pPr>
        <w:spacing w:line="360" w:lineRule="auto"/>
        <w:ind w:firstLine="360"/>
        <w:jc w:val="both"/>
      </w:pPr>
      <w:r>
        <w:rPr>
          <w:rFonts w:ascii="Times New Roman" w:hAnsi="Times New Roman" w:eastAsia="Times New Roman"/>
          <w:b w:val="0"/>
          <w:caps w:val="0"/>
          <w:sz w:val="24"/>
        </w:rPr>
        <w:t>Tabela 6. Rezultati i motorit të refaktorimit</w:t>
      </w:r>
    </w:p>
    <w:p>
      <w:pPr>
        <w:spacing w:line="360" w:lineRule="auto"/>
        <w:ind w:firstLine="360"/>
        <w:jc w:val="both"/>
      </w:pPr>
      <w:r>
        <w:rPr>
          <w:rFonts w:ascii="Times New Roman" w:hAnsi="Times New Roman" w:eastAsia="Times New Roman"/>
          <w:b w:val="0"/>
          <w:caps w:val="0"/>
          <w:sz w:val="24"/>
        </w:rPr>
        <w:t>Tabela 7. Pse u refuzuan</w:t>
      </w:r>
    </w:p>
    <w:p>
      <w:pPr>
        <w:spacing w:line="360" w:lineRule="auto"/>
        <w:ind w:firstLine="360"/>
        <w:jc w:val="both"/>
      </w:pPr>
      <w:r>
        <w:rPr>
          <w:rFonts w:ascii="Times New Roman" w:hAnsi="Times New Roman" w:eastAsia="Times New Roman"/>
          <w:b w:val="0"/>
          <w:caps w:val="0"/>
          <w:sz w:val="24"/>
        </w:rPr>
        <w:t>Tabela 8. Verifikimi i atyre që u aplikuan</w:t>
      </w:r>
    </w:p>
    <w:p>
      <w:pPr>
        <w:spacing w:line="360" w:lineRule="auto"/>
        <w:ind w:firstLine="360"/>
        <w:jc w:val="both"/>
      </w:pPr>
      <w:r>
        <w:rPr>
          <w:rFonts w:ascii="Times New Roman" w:hAnsi="Times New Roman" w:eastAsia="Times New Roman"/>
          <w:b w:val="0"/>
          <w:caps w:val="0"/>
          <w:sz w:val="24"/>
        </w:rPr>
        <w:t>Tabela 9. Strategjitë e detektimit dhe burimet e tyre</w:t>
      </w:r>
    </w:p>
    <w:p>
      <w:pPr>
        <w:spacing w:line="360" w:lineRule="auto"/>
        <w:ind w:firstLine="360"/>
        <w:jc w:val="both"/>
      </w:pPr>
      <w:r>
        <w:rPr>
          <w:rFonts w:ascii="Times New Roman" w:hAnsi="Times New Roman" w:eastAsia="Times New Roman"/>
          <w:b w:val="0"/>
          <w:caps w:val="0"/>
          <w:sz w:val="24"/>
        </w:rPr>
        <w:t>Tabela 10. Kuantifikuesit e përgjithshëm</w:t>
      </w:r>
    </w:p>
    <w:p>
      <w:pPr>
        <w:spacing w:line="360" w:lineRule="auto"/>
        <w:ind w:firstLine="360"/>
        <w:jc w:val="both"/>
      </w:pPr>
      <w:r>
        <w:rPr>
          <w:rFonts w:ascii="Times New Roman" w:hAnsi="Times New Roman" w:eastAsia="Times New Roman"/>
          <w:b w:val="0"/>
          <w:caps w:val="0"/>
          <w:sz w:val="24"/>
        </w:rPr>
        <w:t>Tabela 11. Pragjet e përdorura</w:t>
      </w:r>
    </w:p>
    <w:p>
      <w:pPr>
        <w:spacing w:line="360" w:lineRule="auto"/>
        <w:ind w:firstLine="360"/>
        <w:jc w:val="both"/>
      </w:pPr>
      <w:r>
        <w:rPr>
          <w:rFonts w:ascii="Times New Roman" w:hAnsi="Times New Roman" w:eastAsia="Times New Roman"/>
          <w:b w:val="0"/>
          <w:caps w:val="0"/>
          <w:sz w:val="24"/>
        </w:rPr>
        <w:t>Tabela 12. Metrikat sipas nivelit</w:t>
      </w:r>
    </w:p>
    <w:p>
      <w:pPr>
        <w:spacing w:line="360" w:lineRule="auto"/>
        <w:ind w:firstLine="360"/>
        <w:jc w:val="both"/>
      </w:pPr>
      <w:r>
        <w:rPr>
          <w:rFonts w:ascii="Times New Roman" w:hAnsi="Times New Roman" w:eastAsia="Times New Roman"/>
          <w:b w:val="0"/>
          <w:caps w:val="0"/>
          <w:sz w:val="24"/>
        </w:rPr>
        <w:t>Tabela 13. Çka propozohet dhe çka aplikohet</w:t>
      </w:r>
    </w:p>
    <w:p>
      <w:pPr>
        <w:spacing w:line="360" w:lineRule="auto"/>
        <w:ind w:firstLine="360"/>
        <w:jc w:val="both"/>
      </w:pPr>
      <w:r>
        <w:rPr>
          <w:rFonts w:ascii="Times New Roman" w:hAnsi="Times New Roman" w:eastAsia="Times New Roman"/>
          <w:b w:val="0"/>
          <w:caps w:val="0"/>
          <w:sz w:val="24"/>
        </w:rPr>
        <w:t>Tabela 14. Arsyet e refuzimit</w:t>
      </w:r>
    </w:p>
    <w:p>
      <w:pPr>
        <w:spacing w:line="360" w:lineRule="auto"/>
        <w:ind w:firstLine="360"/>
        <w:jc w:val="both"/>
      </w:pPr>
      <w:r>
        <w:rPr>
          <w:rFonts w:ascii="Times New Roman" w:hAnsi="Times New Roman" w:eastAsia="Times New Roman"/>
          <w:b w:val="0"/>
          <w:caps w:val="0"/>
          <w:sz w:val="24"/>
        </w:rPr>
        <w:t>Tabela 15.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0"/>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tri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1" name="Picture 1"/>
            <wp:cNvGraphicFramePr>
              <a:graphicFrameLocks noChangeAspect="1"/>
            </wp:cNvGraphicFramePr>
            <a:graphic>
              <a:graphicData uri="http://schemas.openxmlformats.org/drawingml/2006/picture">
                <pic:pic>
                  <pic:nvPicPr>
                    <pic:cNvPr id="0" name="figura_5_shperndarja_e_mostrave.png"/>
                    <pic:cNvPicPr/>
                  </pic:nvPicPr>
                  <pic:blipFill>
                    <a:blip r:embed="rId12"/>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2" name="Picture 2"/>
            <wp:cNvGraphicFramePr>
              <a:graphicFrameLocks noChangeAspect="1"/>
            </wp:cNvGraphicFramePr>
            <a:graphic>
              <a:graphicData uri="http://schemas.openxmlformats.org/drawingml/2006/picture">
                <pic:pic>
                  <pic:nvPicPr>
                    <pic:cNvPr id="0" name="figura_2_recall_sipas_ashpersise.png"/>
                    <pic:cNvPicPr/>
                  </pic:nvPicPr>
                  <pic:blipFill>
                    <a:blip r:embed="rId13"/>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3" name="Picture 3"/>
            <wp:cNvGraphicFramePr>
              <a:graphicFrameLocks noChangeAspect="1"/>
            </wp:cNvGraphicFramePr>
            <a:graphic>
              <a:graphicData uri="http://schemas.openxmlformats.org/drawingml/2006/picture">
                <pic:pic>
                  <pic:nvPicPr>
                    <pic:cNvPr id="0" name="figura_4_rendesia_e_vecorive.png"/>
                    <pic:cNvPicPr/>
                  </pic:nvPicPr>
                  <pic:blipFill>
                    <a:blip r:embed="rId14"/>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4" name="Picture 4"/>
            <wp:cNvGraphicFramePr>
              <a:graphicFrameLocks noChangeAspect="1"/>
            </wp:cNvGraphicFramePr>
            <a:graphic>
              <a:graphicData uri="http://schemas.openxmlformats.org/drawingml/2006/picture">
                <pic:pic>
                  <pic:nvPicPr>
                    <pic:cNvPr id="0" name="figura_1_mcc_a_vs_b.png"/>
                    <pic:cNvPicPr/>
                  </pic:nvPicPr>
                  <pic:blipFill>
                    <a:blip r:embed="rId15"/>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5" name="Picture 5"/>
            <wp:cNvGraphicFramePr>
              <a:graphicFrameLocks noChangeAspect="1"/>
            </wp:cNvGraphicFramePr>
            <a:graphic>
              <a:graphicData uri="http://schemas.openxmlformats.org/drawingml/2006/picture">
                <pic:pic>
                  <pic:nvPicPr>
                    <pic:cNvPr id="0" name="figura_3_pajtimi_a_b.png"/>
                    <pic:cNvPicPr/>
                  </pic:nvPicPr>
                  <pic:blipFill>
                    <a:blip r:embed="rId16"/>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3478 u transformuan.</w:t>
      </w:r>
    </w:p>
    <w:p>
      <w:pPr>
        <w:spacing w:line="240" w:lineRule="auto"/>
        <w:jc w:val="center"/>
      </w:pPr>
      <w:r>
        <w:rPr>
          <w:rFonts w:ascii="Times New Roman" w:hAnsi="Times New Roman" w:eastAsia="Times New Roman"/>
          <w:b w:val="0"/>
          <w:caps w:val="0"/>
          <w:sz w:val="22"/>
        </w:rPr>
        <w:t>Tabela 6.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3478</w:t>
            </w:r>
          </w:p>
        </w:tc>
        <w:tc>
          <w:tcPr>
            <w:tcW w:type="dxa" w:w="2880"/>
          </w:tcPr>
          <w:p>
            <w:pPr>
              <w:spacing w:line="240" w:lineRule="auto"/>
            </w:pPr>
            <w:r>
              <w:rPr>
                <w:rFonts w:ascii="Times New Roman" w:hAnsi="Times New Roman" w:eastAsia="Times New Roman"/>
                <w:b w:val="0"/>
                <w:caps w:val="0"/>
                <w:sz w:val="22"/>
              </w:rPr>
              <w:t>21.7%</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12496</w:t>
            </w:r>
          </w:p>
        </w:tc>
        <w:tc>
          <w:tcPr>
            <w:tcW w:type="dxa" w:w="2880"/>
          </w:tcPr>
          <w:p>
            <w:pPr>
              <w:spacing w:line="240" w:lineRule="auto"/>
            </w:pPr>
            <w:r>
              <w:rPr>
                <w:rFonts w:ascii="Times New Roman" w:hAnsi="Times New Roman" w:eastAsia="Times New Roman"/>
                <w:b w:val="0"/>
                <w:caps w:val="0"/>
                <w:sz w:val="22"/>
              </w:rPr>
              <w:t>78.1%</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7.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7315</w:t>
            </w:r>
          </w:p>
        </w:tc>
        <w:tc>
          <w:tcPr>
            <w:tcW w:type="dxa" w:w="2880"/>
          </w:tcPr>
          <w:p>
            <w:pPr>
              <w:spacing w:line="240" w:lineRule="auto"/>
            </w:pPr>
            <w:r>
              <w:rPr>
                <w:rFonts w:ascii="Times New Roman" w:hAnsi="Times New Roman" w:eastAsia="Times New Roman"/>
                <w:b w:val="0"/>
                <w:caps w:val="0"/>
                <w:sz w:val="22"/>
              </w:rPr>
              <w:t>45.7%</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8.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3409</w:t>
            </w:r>
          </w:p>
        </w:tc>
        <w:tc>
          <w:tcPr>
            <w:tcW w:type="dxa" w:w="2880"/>
          </w:tcPr>
          <w:p>
            <w:pPr>
              <w:spacing w:line="240" w:lineRule="auto"/>
            </w:pPr>
            <w:r>
              <w:rPr>
                <w:rFonts w:ascii="Times New Roman" w:hAnsi="Times New Roman" w:eastAsia="Times New Roman"/>
                <w:b w:val="0"/>
                <w:caps w:val="0"/>
                <w:sz w:val="22"/>
              </w:rPr>
              <w:t>98.0%</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56</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3478 rishkrime, 56 futën një gabim që nuk ishte aty më parë (1.61%).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6" name="Picture 6"/>
            <wp:cNvGraphicFramePr>
              <a:graphicFrameLocks noChangeAspect="1"/>
            </wp:cNvGraphicFramePr>
            <a:graphic>
              <a:graphicData uri="http://schemas.openxmlformats.org/drawingml/2006/picture">
                <pic:pic>
                  <pic:nvPicPr>
                    <pic:cNvPr id="0" name="figura_6_ndjeshmeria_e_pragjeve.png"/>
                    <pic:cNvPicPr/>
                  </pic:nvPicPr>
                  <pic:blipFill>
                    <a:blip r:embed="rId17"/>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tri nga pesë transformimet e planifikuara nuk automatizohen. Kjo nuk është mangësi implementimi por pasojë e drejtpërdrejtë e një zgjedhjeje arkitekturore të deklaruar.</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Analizë e ndjeshmërisë mbi pragje, e cila tashmë është e mundur në sekonda falë tabelës së veçorive.</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[PLOTËSO].</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9.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10.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11.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12.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13.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është në Tabelën 7.</w:t>
      </w:r>
    </w:p>
    <w:p>
      <w:pPr>
        <w:spacing w:line="240" w:lineRule="auto"/>
        <w:jc w:val="center"/>
      </w:pPr>
      <w:r>
        <w:rPr>
          <w:rFonts w:ascii="Times New Roman" w:hAnsi="Times New Roman" w:eastAsia="Times New Roman"/>
          <w:b w:val="0"/>
          <w:caps w:val="0"/>
          <w:sz w:val="22"/>
        </w:rPr>
        <w:t>Tabela 14.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15.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e47911ef9f,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1"/>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