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[PLOTËSO]: Ky paragraf përshkruan çka u ndërtua dhe si u vlerësua. Shkruhet pasi të përfundojnë eksperimentet, sepse duhet të përmbajë rezultate konkrete.</w:t>
      </w:r>
    </w:p>
    <w:p>
      <w:pPr>
        <w:spacing w:line="360" w:lineRule="auto"/>
        <w:ind w:firstLine="360"/>
        <w:jc w:val="both"/>
      </w:pPr>
      <w:r>
        <w:rPr>
          <w:rFonts w:ascii="Times New Roman" w:hAnsi="Times New Roman" w:eastAsia="Times New Roman"/>
          <w:b w:val="0"/>
          <w:caps w:val="0"/>
          <w:sz w:val="24"/>
        </w:rPr>
        <w:t>[PLOTËSO]: Ky paragraf përmbledh gjetjet kryesore dhe përfundimin.</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MCC për të dyja qasjet</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Mostrat e shënuara nga secila qasje</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Shpërndarja e mostrave sipas erës</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Sa lëviz MCC-ja kur zhvendoset një prag</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dhe regjistron vetëm fakte sintaksore. Mbi këtë model maten shtatëmbëdhjetë metrika klase dhe nëntë metrika metode, me një kalim të vetëm për klasë.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1" name="Picture 1"/>
            <wp:cNvGraphicFramePr>
              <a:graphicFrameLocks noChangeAspect="1"/>
            </wp:cNvGraphicFramePr>
            <a:graphic>
              <a:graphicData uri="http://schemas.openxmlformats.org/drawingml/2006/picture">
                <pic:pic>
                  <pic:nvPicPr>
                    <pic:cNvPr id="0" name="figura_5_shperndarja_e_mostrave.png"/>
                    <pic:cNvPicPr/>
                  </pic:nvPicPr>
                  <pic:blipFill>
                    <a:blip r:embed="rId12"/>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2" name="Picture 2"/>
            <wp:cNvGraphicFramePr>
              <a:graphicFrameLocks noChangeAspect="1"/>
            </wp:cNvGraphicFramePr>
            <a:graphic>
              <a:graphicData uri="http://schemas.openxmlformats.org/drawingml/2006/picture">
                <pic:pic>
                  <pic:nvPicPr>
                    <pic:cNvPr id="0" name="figura_2_recall_sipas_ashpersise.png"/>
                    <pic:cNvPicPr/>
                  </pic:nvPicPr>
                  <pic:blipFill>
                    <a:blip r:embed="rId13"/>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3" name="Picture 3"/>
            <wp:cNvGraphicFramePr>
              <a:graphicFrameLocks noChangeAspect="1"/>
            </wp:cNvGraphicFramePr>
            <a:graphic>
              <a:graphicData uri="http://schemas.openxmlformats.org/drawingml/2006/picture">
                <pic:pic>
                  <pic:nvPicPr>
                    <pic:cNvPr id="0" name="figura_4_rendesia_e_vecorive.png"/>
                    <pic:cNvPicPr/>
                  </pic:nvPicPr>
                  <pic:blipFill>
                    <a:blip r:embed="rId14"/>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4" name="Picture 4"/>
            <wp:cNvGraphicFramePr>
              <a:graphicFrameLocks noChangeAspect="1"/>
            </wp:cNvGraphicFramePr>
            <a:graphic>
              <a:graphicData uri="http://schemas.openxmlformats.org/drawingml/2006/picture">
                <pic:pic>
                  <pic:nvPicPr>
                    <pic:cNvPr id="0" name="figura_1_mcc_a_vs_b.png"/>
                    <pic:cNvPicPr/>
                  </pic:nvPicPr>
                  <pic:blipFill>
                    <a:blip r:embed="rId15"/>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kappa-n e Cohen-it.</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5" name="Picture 5"/>
            <wp:cNvGraphicFramePr>
              <a:graphicFrameLocks noChangeAspect="1"/>
            </wp:cNvGraphicFramePr>
            <a:graphic>
              <a:graphicData uri="http://schemas.openxmlformats.org/drawingml/2006/picture">
                <pic:pic>
                  <pic:nvPicPr>
                    <pic:cNvPr id="0" name="figura_3_pajtimi_a_b.png"/>
                    <pic:cNvPicPr/>
                  </pic:nvPicPr>
                  <pic:blipFill>
                    <a:blip r:embed="rId16"/>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[PLOTËSO: tabela përfundimtare pritet nga ekzekutimi mbi korpusin e plotë; ekzekutimi i pjesshëm mbi 150 skedarë dha 477 vende të detektuara dhe 127 të transformuara, me refuzimet e ndara në formë kodi (218), rrjedhë kontrolli që del nga blloku (112) dhe më shumë se një vlerë dalëse (20).]</w:t>
      </w:r>
    </w:p>
    <w:p>
      <w:pPr>
        <w:spacing w:line="360" w:lineRule="auto"/>
        <w:ind w:firstLine="360"/>
        <w:jc w:val="both"/>
      </w:pPr>
      <w:r>
        <w:rPr>
          <w:rFonts w:ascii="Times New Roman" w:hAnsi="Times New Roman" w:eastAsia="Times New Roman"/>
          <w:b w:val="0"/>
          <w:caps w:val="0"/>
          <w:sz w:val="24"/>
        </w:rPr>
        <w:t>Verifikimi tregoi vlerën e vet menjëherë: ekzekutimi i parë shënoi njëmbëdhjetë rishkrime si prishëse, prej të cilave dhjetë ishin defekte të vërteta në motor. Ato u rregulluan dhe u mbuluan me teste regresioni; asnjëri prej tyre nuk ishte kapur nga testet e shkruara me dorë.</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6" name="Picture 6"/>
            <wp:cNvGraphicFramePr>
              <a:graphicFrameLocks noChangeAspect="1"/>
            </wp:cNvGraphicFramePr>
            <a:graphic>
              <a:graphicData uri="http://schemas.openxmlformats.org/drawingml/2006/picture">
                <pic:pic>
                  <pic:nvPicPr>
                    <pic:cNvPr id="0" name="figura_6_ndjeshmeria_e_pragjeve.png"/>
                    <pic:cNvPicPr/>
                  </pic:nvPicPr>
                  <pic:blipFill>
                    <a:blip r:embed="rId17"/>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[PLOTËSO].</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spacing w:line="360" w:lineRule="auto"/>
        <w:ind w:firstLine="360"/>
        <w:jc w:val="both"/>
      </w:pPr>
      <w:r>
        <w:rPr>
          <w:rFonts w:ascii="Times New Roman" w:hAnsi="Times New Roman" w:eastAsia="Times New Roman"/>
          <w:b w:val="0"/>
          <w:caps w:val="0"/>
          <w:sz w:val="24"/>
        </w:rPr>
        <w:t>[PLOTËSO]</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