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21.7%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Sa lëviz MCC-ja kur zhvendoset një prag</w:t>
      </w:r>
    </w:p>
    <w:p>
      <w:pPr>
        <w:spacing w:line="360" w:lineRule="auto"/>
        <w:ind w:firstLine="360"/>
        <w:jc w:val="both"/>
      </w:pPr>
      <w:r>
        <w:rPr>
          <w:rFonts w:ascii="Times New Roman" w:hAnsi="Times New Roman" w:eastAsia="Times New Roman"/>
          <w:b w:val="0"/>
          <w:caps w:val="0"/>
          <w:sz w:val="24"/>
        </w:rPr>
        <w:t>Tabela 11.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12. Pajtimi i ashpërsisë me rishikuesit</w:t>
      </w:r>
    </w:p>
    <w:p>
      <w:pPr>
        <w:spacing w:line="360" w:lineRule="auto"/>
        <w:ind w:firstLine="360"/>
        <w:jc w:val="both"/>
      </w:pPr>
      <w:r>
        <w:rPr>
          <w:rFonts w:ascii="Times New Roman" w:hAnsi="Times New Roman" w:eastAsia="Times New Roman"/>
          <w:b w:val="0"/>
          <w:caps w:val="0"/>
          <w:sz w:val="24"/>
        </w:rPr>
        <w:t>Tabela 13. Intervale besimi 95% për MCC-në</w:t>
      </w:r>
    </w:p>
    <w:p>
      <w:pPr>
        <w:spacing w:line="360" w:lineRule="auto"/>
        <w:ind w:firstLine="360"/>
        <w:jc w:val="both"/>
      </w:pPr>
      <w:r>
        <w:rPr>
          <w:rFonts w:ascii="Times New Roman" w:hAnsi="Times New Roman" w:eastAsia="Times New Roman"/>
          <w:b w:val="0"/>
          <w:caps w:val="0"/>
          <w:sz w:val="24"/>
        </w:rPr>
        <w:t>Tabela 14. B − A kur rregullat marrin pragun e tyre më të mirë</w:t>
      </w:r>
    </w:p>
    <w:p>
      <w:pPr>
        <w:spacing w:line="360" w:lineRule="auto"/>
        <w:ind w:firstLine="360"/>
        <w:jc w:val="both"/>
      </w:pPr>
      <w:r>
        <w:rPr>
          <w:rFonts w:ascii="Times New Roman" w:hAnsi="Times New Roman" w:eastAsia="Times New Roman"/>
          <w:b w:val="0"/>
          <w:caps w:val="0"/>
          <w:sz w:val="24"/>
        </w:rPr>
        <w:t>Tabela 15. Sa pajtohen rishikuesit me njëri-tjetrin</w:t>
      </w:r>
    </w:p>
    <w:p>
      <w:pPr>
        <w:spacing w:line="360" w:lineRule="auto"/>
        <w:ind w:firstLine="360"/>
        <w:jc w:val="both"/>
      </w:pPr>
      <w:r>
        <w:rPr>
          <w:rFonts w:ascii="Times New Roman" w:hAnsi="Times New Roman" w:eastAsia="Times New Roman"/>
          <w:b w:val="0"/>
          <w:caps w:val="0"/>
          <w:sz w:val="24"/>
        </w:rPr>
        <w:t>Tabela 16. Strategjitë e detektimit dhe burimet e tyre</w:t>
      </w:r>
    </w:p>
    <w:p>
      <w:pPr>
        <w:spacing w:line="360" w:lineRule="auto"/>
        <w:ind w:firstLine="360"/>
        <w:jc w:val="both"/>
      </w:pPr>
      <w:r>
        <w:rPr>
          <w:rFonts w:ascii="Times New Roman" w:hAnsi="Times New Roman" w:eastAsia="Times New Roman"/>
          <w:b w:val="0"/>
          <w:caps w:val="0"/>
          <w:sz w:val="24"/>
        </w:rPr>
        <w:t>Tabela 17. Kuantifikuesit e përgjithshëm</w:t>
      </w:r>
    </w:p>
    <w:p>
      <w:pPr>
        <w:spacing w:line="360" w:lineRule="auto"/>
        <w:ind w:firstLine="360"/>
        <w:jc w:val="both"/>
      </w:pPr>
      <w:r>
        <w:rPr>
          <w:rFonts w:ascii="Times New Roman" w:hAnsi="Times New Roman" w:eastAsia="Times New Roman"/>
          <w:b w:val="0"/>
          <w:caps w:val="0"/>
          <w:sz w:val="24"/>
        </w:rPr>
        <w:t>Tabela 18. Pragjet e përdorura</w:t>
      </w:r>
    </w:p>
    <w:p>
      <w:pPr>
        <w:spacing w:line="360" w:lineRule="auto"/>
        <w:ind w:firstLine="360"/>
        <w:jc w:val="both"/>
      </w:pPr>
      <w:r>
        <w:rPr>
          <w:rFonts w:ascii="Times New Roman" w:hAnsi="Times New Roman" w:eastAsia="Times New Roman"/>
          <w:b w:val="0"/>
          <w:caps w:val="0"/>
          <w:sz w:val="24"/>
        </w:rPr>
        <w:t>Tabela 19. Metrikat sipas nivelit</w:t>
      </w:r>
    </w:p>
    <w:p>
      <w:pPr>
        <w:spacing w:line="360" w:lineRule="auto"/>
        <w:ind w:firstLine="360"/>
        <w:jc w:val="both"/>
      </w:pPr>
      <w:r>
        <w:rPr>
          <w:rFonts w:ascii="Times New Roman" w:hAnsi="Times New Roman" w:eastAsia="Times New Roman"/>
          <w:b w:val="0"/>
          <w:caps w:val="0"/>
          <w:sz w:val="24"/>
        </w:rPr>
        <w:t>Tabela 20. Çka propozohet dhe çka aplikohet</w:t>
      </w:r>
    </w:p>
    <w:p>
      <w:pPr>
        <w:spacing w:line="360" w:lineRule="auto"/>
        <w:ind w:firstLine="360"/>
        <w:jc w:val="both"/>
      </w:pPr>
      <w:r>
        <w:rPr>
          <w:rFonts w:ascii="Times New Roman" w:hAnsi="Times New Roman" w:eastAsia="Times New Roman"/>
          <w:b w:val="0"/>
          <w:caps w:val="0"/>
          <w:sz w:val="24"/>
        </w:rPr>
        <w:t>Tabela 21. Arsyet e refuzimit</w:t>
      </w:r>
    </w:p>
    <w:p>
      <w:pPr>
        <w:spacing w:line="360" w:lineRule="auto"/>
        <w:ind w:firstLine="360"/>
        <w:jc w:val="both"/>
      </w:pPr>
      <w:r>
        <w:rPr>
          <w:rFonts w:ascii="Times New Roman" w:hAnsi="Times New Roman" w:eastAsia="Times New Roman"/>
          <w:b w:val="0"/>
          <w:caps w:val="0"/>
          <w:sz w:val="24"/>
        </w:rPr>
        <w:t>Tabela 22.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Të shënuara</w:t>
            </w:r>
          </w:p>
        </w:tc>
        <w:tc>
          <w:tcPr>
            <w:tcW w:type="dxa" w:w="2160"/>
          </w:tcPr>
          <w:p>
            <w:pPr>
              <w:spacing w:line="240" w:lineRule="auto"/>
            </w:pPr>
            <w:r>
              <w:rPr>
                <w:rFonts w:ascii="Times New Roman" w:hAnsi="Times New Roman" w:eastAsia="Times New Roman"/>
                <w:b/>
                <w:caps w:val="0"/>
                <w:sz w:val="22"/>
              </w:rPr>
              <w:t>Me shpjegim</w:t>
            </w:r>
          </w:p>
        </w:tc>
        <w:tc>
          <w:tcPr>
            <w:tcW w:type="dxa" w:w="2160"/>
          </w:tcPr>
          <w:p>
            <w:pPr>
              <w:spacing w:line="240" w:lineRule="auto"/>
            </w:pPr>
            <w:r>
              <w:rPr>
                <w:rFonts w:ascii="Times New Roman" w:hAnsi="Times New Roman" w:eastAsia="Times New Roman"/>
                <w:b/>
                <w:caps w:val="0"/>
                <w:sz w:val="22"/>
              </w:rPr>
              <w:t>Matjet vendimtare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368</w:t>
            </w:r>
          </w:p>
        </w:tc>
        <w:tc>
          <w:tcPr>
            <w:tcW w:type="dxa" w:w="2160"/>
          </w:tcPr>
          <w:p>
            <w:pPr>
              <w:spacing w:line="240" w:lineRule="auto"/>
            </w:pPr>
            <w:r>
              <w:rPr>
                <w:rFonts w:ascii="Times New Roman" w:hAnsi="Times New Roman" w:eastAsia="Times New Roman"/>
                <w:b w:val="0"/>
                <w:caps w:val="0"/>
                <w:sz w:val="22"/>
              </w:rPr>
              <w:t>73.1%</w:t>
            </w:r>
          </w:p>
        </w:tc>
        <w:tc>
          <w:tcPr>
            <w:tcW w:type="dxa" w:w="2160"/>
          </w:tcPr>
          <w:p>
            <w:pPr>
              <w:spacing w:line="240" w:lineRule="auto"/>
            </w:pPr>
            <w:r>
              <w:rPr>
                <w:rFonts w:ascii="Times New Roman" w:hAnsi="Times New Roman" w:eastAsia="Times New Roman"/>
                <w:b w:val="0"/>
                <w:caps w:val="0"/>
                <w:sz w:val="22"/>
              </w:rPr>
              <w:t>c_CLOC (86), c_NOAM (83), c_CBO (41)</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175</w:t>
            </w:r>
          </w:p>
        </w:tc>
        <w:tc>
          <w:tcPr>
            <w:tcW w:type="dxa" w:w="2160"/>
          </w:tcPr>
          <w:p>
            <w:pPr>
              <w:spacing w:line="240" w:lineRule="auto"/>
            </w:pPr>
            <w:r>
              <w:rPr>
                <w:rFonts w:ascii="Times New Roman" w:hAnsi="Times New Roman" w:eastAsia="Times New Roman"/>
                <w:b w:val="0"/>
                <w:caps w:val="0"/>
                <w:sz w:val="22"/>
              </w:rPr>
              <w:t>69.1%</w:t>
            </w:r>
          </w:p>
        </w:tc>
        <w:tc>
          <w:tcPr>
            <w:tcW w:type="dxa" w:w="2160"/>
          </w:tcPr>
          <w:p>
            <w:pPr>
              <w:spacing w:line="240" w:lineRule="auto"/>
            </w:pPr>
            <w:r>
              <w:rPr>
                <w:rFonts w:ascii="Times New Roman" w:hAnsi="Times New Roman" w:eastAsia="Times New Roman"/>
                <w:b w:val="0"/>
                <w:caps w:val="0"/>
                <w:sz w:val="22"/>
              </w:rPr>
              <w:t>c_CLOC (48), c_WOC (21), c_CBO (20)</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66</w:t>
            </w:r>
          </w:p>
        </w:tc>
        <w:tc>
          <w:tcPr>
            <w:tcW w:type="dxa" w:w="2160"/>
          </w:tcPr>
          <w:p>
            <w:pPr>
              <w:spacing w:line="240" w:lineRule="auto"/>
            </w:pPr>
            <w:r>
              <w:rPr>
                <w:rFonts w:ascii="Times New Roman" w:hAnsi="Times New Roman" w:eastAsia="Times New Roman"/>
                <w:b w:val="0"/>
                <w:caps w:val="0"/>
                <w:sz w:val="22"/>
              </w:rPr>
              <w:t>89.4%</w:t>
            </w:r>
          </w:p>
        </w:tc>
        <w:tc>
          <w:tcPr>
            <w:tcW w:type="dxa" w:w="2160"/>
          </w:tcPr>
          <w:p>
            <w:pPr>
              <w:spacing w:line="240" w:lineRule="auto"/>
            </w:pPr>
            <w:r>
              <w:rPr>
                <w:rFonts w:ascii="Times New Roman" w:hAnsi="Times New Roman" w:eastAsia="Times New Roman"/>
                <w:b w:val="0"/>
                <w:caps w:val="0"/>
                <w:sz w:val="22"/>
              </w:rPr>
              <w:t>m_MLOC (53), m_NOAV (5), m_MAXNESTING (1)</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231</w:t>
            </w:r>
          </w:p>
        </w:tc>
        <w:tc>
          <w:tcPr>
            <w:tcW w:type="dxa" w:w="2160"/>
          </w:tcPr>
          <w:p>
            <w:pPr>
              <w:spacing w:line="240" w:lineRule="auto"/>
            </w:pPr>
            <w:r>
              <w:rPr>
                <w:rFonts w:ascii="Times New Roman" w:hAnsi="Times New Roman" w:eastAsia="Times New Roman"/>
                <w:b w:val="0"/>
                <w:caps w:val="0"/>
                <w:sz w:val="22"/>
              </w:rPr>
              <w:t>96.1%</w:t>
            </w:r>
          </w:p>
        </w:tc>
        <w:tc>
          <w:tcPr>
            <w:tcW w:type="dxa" w:w="2160"/>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B: modeli</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 recall</w:t>
            </w:r>
          </w:p>
        </w:tc>
        <w:tc>
          <w:tcPr>
            <w:tcW w:type="dxa" w:w="1440"/>
          </w:tcPr>
          <w:p>
            <w:pPr>
              <w:spacing w:line="240" w:lineRule="auto"/>
            </w:pPr>
            <w:r>
              <w:rPr>
                <w:rFonts w:ascii="Times New Roman" w:hAnsi="Times New Roman" w:eastAsia="Times New Roman"/>
                <w:b/>
                <w:caps w:val="0"/>
                <w:sz w:val="22"/>
              </w:rPr>
              <w:t>A∩B: precizion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0.488</w:t>
            </w:r>
          </w:p>
        </w:tc>
        <w:tc>
          <w:tcPr>
            <w:tcW w:type="dxa" w:w="1440"/>
          </w:tcPr>
          <w:p>
            <w:pPr>
              <w:spacing w:line="240" w:lineRule="auto"/>
            </w:pPr>
            <w:r>
              <w:rPr>
                <w:rFonts w:ascii="Times New Roman" w:hAnsi="Times New Roman" w:eastAsia="Times New Roman"/>
                <w:b w:val="0"/>
                <w:caps w:val="0"/>
                <w:sz w:val="22"/>
              </w:rPr>
              <w:t>0.494</w:t>
            </w:r>
          </w:p>
        </w:tc>
        <w:tc>
          <w:tcPr>
            <w:tcW w:type="dxa" w:w="1440"/>
          </w:tcPr>
          <w:p>
            <w:pPr>
              <w:spacing w:line="240" w:lineRule="auto"/>
            </w:pPr>
            <w:r>
              <w:rPr>
                <w:rFonts w:ascii="Times New Roman" w:hAnsi="Times New Roman" w:eastAsia="Times New Roman"/>
                <w:b w:val="0"/>
                <w:caps w:val="0"/>
                <w:sz w:val="22"/>
              </w:rPr>
              <w:t>0.223</w:t>
            </w:r>
          </w:p>
        </w:tc>
        <w:tc>
          <w:tcPr>
            <w:tcW w:type="dxa" w:w="1440"/>
          </w:tcPr>
          <w:p>
            <w:pPr>
              <w:spacing w:line="240" w:lineRule="auto"/>
            </w:pPr>
            <w:r>
              <w:rPr>
                <w:rFonts w:ascii="Times New Roman" w:hAnsi="Times New Roman" w:eastAsia="Times New Roman"/>
                <w:b w:val="0"/>
                <w:caps w:val="0"/>
                <w:sz w:val="22"/>
              </w:rPr>
              <w:t>0.643</w:t>
            </w:r>
          </w:p>
        </w:tc>
        <w:tc>
          <w:tcPr>
            <w:tcW w:type="dxa" w:w="1440"/>
          </w:tcPr>
          <w:p>
            <w:pPr>
              <w:spacing w:line="240" w:lineRule="auto"/>
            </w:pPr>
            <w:r>
              <w:rPr>
                <w:rFonts w:ascii="Times New Roman" w:hAnsi="Times New Roman" w:eastAsia="Times New Roman"/>
                <w:b w:val="0"/>
                <w:caps w:val="0"/>
                <w:sz w:val="22"/>
              </w:rPr>
              <w:t>0.821</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0.500</w:t>
            </w:r>
          </w:p>
        </w:tc>
        <w:tc>
          <w:tcPr>
            <w:tcW w:type="dxa" w:w="1440"/>
          </w:tcPr>
          <w:p>
            <w:pPr>
              <w:spacing w:line="240" w:lineRule="auto"/>
            </w:pPr>
            <w:r>
              <w:rPr>
                <w:rFonts w:ascii="Times New Roman" w:hAnsi="Times New Roman" w:eastAsia="Times New Roman"/>
                <w:b w:val="0"/>
                <w:caps w:val="0"/>
                <w:sz w:val="22"/>
              </w:rPr>
              <w:t>0.510</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0.613</w:t>
            </w:r>
          </w:p>
        </w:tc>
        <w:tc>
          <w:tcPr>
            <w:tcW w:type="dxa" w:w="1440"/>
          </w:tcPr>
          <w:p>
            <w:pPr>
              <w:spacing w:line="240" w:lineRule="auto"/>
            </w:pPr>
            <w:r>
              <w:rPr>
                <w:rFonts w:ascii="Times New Roman" w:hAnsi="Times New Roman" w:eastAsia="Times New Roman"/>
                <w:b w:val="0"/>
                <w:caps w:val="0"/>
                <w:sz w:val="22"/>
              </w:rPr>
              <w:t>0.800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0.669</w:t>
            </w:r>
          </w:p>
        </w:tc>
        <w:tc>
          <w:tcPr>
            <w:tcW w:type="dxa" w:w="1440"/>
          </w:tcPr>
          <w:p>
            <w:pPr>
              <w:spacing w:line="240" w:lineRule="auto"/>
            </w:pPr>
            <w:r>
              <w:rPr>
                <w:rFonts w:ascii="Times New Roman" w:hAnsi="Times New Roman" w:eastAsia="Times New Roman"/>
                <w:b w:val="0"/>
                <w:caps w:val="0"/>
                <w:sz w:val="22"/>
              </w:rPr>
              <w:t>0.644</w:t>
            </w:r>
          </w:p>
        </w:tc>
        <w:tc>
          <w:tcPr>
            <w:tcW w:type="dxa" w:w="1440"/>
          </w:tcPr>
          <w:p>
            <w:pPr>
              <w:spacing w:line="240" w:lineRule="auto"/>
            </w:pPr>
            <w:r>
              <w:rPr>
                <w:rFonts w:ascii="Times New Roman" w:hAnsi="Times New Roman" w:eastAsia="Times New Roman"/>
                <w:b w:val="0"/>
                <w:caps w:val="0"/>
                <w:sz w:val="22"/>
              </w:rPr>
              <w:t>0.321</w:t>
            </w:r>
          </w:p>
        </w:tc>
        <w:tc>
          <w:tcPr>
            <w:tcW w:type="dxa" w:w="1440"/>
          </w:tcPr>
          <w:p>
            <w:pPr>
              <w:spacing w:line="240" w:lineRule="auto"/>
            </w:pPr>
            <w:r>
              <w:rPr>
                <w:rFonts w:ascii="Times New Roman" w:hAnsi="Times New Roman" w:eastAsia="Times New Roman"/>
                <w:b w:val="0"/>
                <w:caps w:val="0"/>
                <w:sz w:val="22"/>
              </w:rPr>
              <w:t>0.708</w:t>
            </w:r>
          </w:p>
        </w:tc>
        <w:tc>
          <w:tcPr>
            <w:tcW w:type="dxa" w:w="1440"/>
          </w:tcPr>
          <w:p>
            <w:pPr>
              <w:spacing w:line="240" w:lineRule="auto"/>
            </w:pPr>
            <w:r>
              <w:rPr>
                <w:rFonts w:ascii="Times New Roman" w:hAnsi="Times New Roman" w:eastAsia="Times New Roman"/>
                <w:b w:val="0"/>
                <w:caps w:val="0"/>
                <w:sz w:val="22"/>
              </w:rPr>
              <w:t>0.833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0.713</w:t>
            </w:r>
          </w:p>
        </w:tc>
        <w:tc>
          <w:tcPr>
            <w:tcW w:type="dxa" w:w="1440"/>
          </w:tcPr>
          <w:p>
            <w:pPr>
              <w:spacing w:line="240" w:lineRule="auto"/>
            </w:pPr>
            <w:r>
              <w:rPr>
                <w:rFonts w:ascii="Times New Roman" w:hAnsi="Times New Roman" w:eastAsia="Times New Roman"/>
                <w:b w:val="0"/>
                <w:caps w:val="0"/>
                <w:sz w:val="22"/>
              </w:rPr>
              <w:t>0.706</w:t>
            </w:r>
          </w:p>
        </w:tc>
        <w:tc>
          <w:tcPr>
            <w:tcW w:type="dxa" w:w="1440"/>
          </w:tcPr>
          <w:p>
            <w:pPr>
              <w:spacing w:line="240" w:lineRule="auto"/>
            </w:pPr>
            <w:r>
              <w:rPr>
                <w:rFonts w:ascii="Times New Roman" w:hAnsi="Times New Roman" w:eastAsia="Times New Roman"/>
                <w:b w:val="0"/>
                <w:caps w:val="0"/>
                <w:sz w:val="22"/>
              </w:rPr>
              <w:t>0.594</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Përgjigjja është jo. Bashkimi e ngre recall-in ndjeshëm, por çmimi në precizion e fshin fitimin: MCC-ja mezi lëviz te Blob dhe Data Class, dhe **bie**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15991 vende ku motori ka një transformim; prej tyre 3478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15991</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3478</w:t>
            </w:r>
          </w:p>
        </w:tc>
        <w:tc>
          <w:tcPr>
            <w:tcW w:type="dxa" w:w="2880"/>
          </w:tcPr>
          <w:p>
            <w:pPr>
              <w:spacing w:line="240" w:lineRule="auto"/>
            </w:pPr>
            <w:r>
              <w:rPr>
                <w:rFonts w:ascii="Times New Roman" w:hAnsi="Times New Roman" w:eastAsia="Times New Roman"/>
                <w:b w:val="0"/>
                <w:caps w:val="0"/>
                <w:sz w:val="22"/>
              </w:rPr>
              <w:t>21.7%</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12496</w:t>
            </w:r>
          </w:p>
        </w:tc>
        <w:tc>
          <w:tcPr>
            <w:tcW w:type="dxa" w:w="2880"/>
          </w:tcPr>
          <w:p>
            <w:pPr>
              <w:spacing w:line="240" w:lineRule="auto"/>
            </w:pPr>
            <w:r>
              <w:rPr>
                <w:rFonts w:ascii="Times New Roman" w:hAnsi="Times New Roman" w:eastAsia="Times New Roman"/>
                <w:b w:val="0"/>
                <w:caps w:val="0"/>
                <w:sz w:val="22"/>
              </w:rPr>
              <w:t>78.1%</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7315</w:t>
            </w:r>
          </w:p>
        </w:tc>
        <w:tc>
          <w:tcPr>
            <w:tcW w:type="dxa" w:w="2880"/>
          </w:tcPr>
          <w:p>
            <w:pPr>
              <w:spacing w:line="240" w:lineRule="auto"/>
            </w:pPr>
            <w:r>
              <w:rPr>
                <w:rFonts w:ascii="Times New Roman" w:hAnsi="Times New Roman" w:eastAsia="Times New Roman"/>
                <w:b w:val="0"/>
                <w:caps w:val="0"/>
                <w:sz w:val="22"/>
              </w:rPr>
              <w:t>45.7%</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26.2%</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3.9%</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2.3%</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3409</w:t>
            </w:r>
          </w:p>
        </w:tc>
        <w:tc>
          <w:tcPr>
            <w:tcW w:type="dxa" w:w="2880"/>
          </w:tcPr>
          <w:p>
            <w:pPr>
              <w:spacing w:line="240" w:lineRule="auto"/>
            </w:pPr>
            <w:r>
              <w:rPr>
                <w:rFonts w:ascii="Times New Roman" w:hAnsi="Times New Roman" w:eastAsia="Times New Roman"/>
                <w:b w:val="0"/>
                <w:caps w:val="0"/>
                <w:sz w:val="22"/>
              </w:rPr>
              <w:t>98.0%</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56</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3478 rishkrime, 56 futën një gabim që nuk ishte aty më parë (1.61%).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10.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11. Rregullat me pragje të kalibruara, të pikëzuara jashtë fold-it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E botuar</w:t>
            </w:r>
          </w:p>
        </w:tc>
        <w:tc>
          <w:tcPr>
            <w:tcW w:type="dxa" w:w="1440"/>
          </w:tcPr>
          <w:p>
            <w:pPr>
              <w:spacing w:line="240" w:lineRule="auto"/>
            </w:pPr>
            <w:r>
              <w:rPr>
                <w:rFonts w:ascii="Times New Roman" w:hAnsi="Times New Roman" w:eastAsia="Times New Roman"/>
                <w:b/>
                <w:caps w:val="0"/>
                <w:sz w:val="22"/>
              </w:rPr>
              <w:t>E kalibruar</w:t>
            </w:r>
          </w:p>
        </w:tc>
        <w:tc>
          <w:tcPr>
            <w:tcW w:type="dxa" w:w="1440"/>
          </w:tcPr>
          <w:p>
            <w:pPr>
              <w:spacing w:line="240" w:lineRule="auto"/>
            </w:pPr>
            <w:r>
              <w:rPr>
                <w:rFonts w:ascii="Times New Roman" w:hAnsi="Times New Roman" w:eastAsia="Times New Roman"/>
                <w:b/>
                <w:caps w:val="0"/>
                <w:sz w:val="22"/>
              </w:rPr>
              <w:t>Recall</w:t>
            </w:r>
          </w:p>
        </w:tc>
        <w:tc>
          <w:tcPr>
            <w:tcW w:type="dxa" w:w="1440"/>
          </w:tcPr>
          <w:p>
            <w:pPr>
              <w:spacing w:line="240" w:lineRule="auto"/>
            </w:pPr>
            <w:r>
              <w:rPr>
                <w:rFonts w:ascii="Times New Roman" w:hAnsi="Times New Roman" w:eastAsia="Times New Roman"/>
                <w:b/>
                <w:caps w:val="0"/>
                <w:sz w:val="22"/>
              </w:rPr>
              <w:t>Precizion</w:t>
            </w:r>
          </w:p>
        </w:tc>
        <w:tc>
          <w:tcPr>
            <w:tcW w:type="dxa" w:w="1440"/>
          </w:tcPr>
          <w:p>
            <w:pPr>
              <w:spacing w:line="240" w:lineRule="auto"/>
            </w:pPr>
            <w:r>
              <w:rPr>
                <w:rFonts w:ascii="Times New Roman" w:hAnsi="Times New Roman" w:eastAsia="Times New Roman"/>
                <w:b/>
                <w:caps w:val="0"/>
                <w:sz w:val="22"/>
              </w:rPr>
              <w:t>Vlerat e zgjedhura</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0.253</w:t>
            </w:r>
          </w:p>
        </w:tc>
        <w:tc>
          <w:tcPr>
            <w:tcW w:type="dxa" w:w="1440"/>
          </w:tcPr>
          <w:p>
            <w:pPr>
              <w:spacing w:line="240" w:lineRule="auto"/>
            </w:pPr>
            <w:r>
              <w:rPr>
                <w:rFonts w:ascii="Times New Roman" w:hAnsi="Times New Roman" w:eastAsia="Times New Roman"/>
                <w:b w:val="0"/>
                <w:caps w:val="0"/>
                <w:sz w:val="22"/>
              </w:rPr>
              <w:t>0.100 → 0.131</w:t>
            </w:r>
          </w:p>
        </w:tc>
        <w:tc>
          <w:tcPr>
            <w:tcW w:type="dxa" w:w="1440"/>
          </w:tcPr>
          <w:p>
            <w:pPr>
              <w:spacing w:line="240" w:lineRule="auto"/>
            </w:pPr>
            <w:r>
              <w:rPr>
                <w:rFonts w:ascii="Times New Roman" w:hAnsi="Times New Roman" w:eastAsia="Times New Roman"/>
                <w:b w:val="0"/>
                <w:caps w:val="0"/>
                <w:sz w:val="22"/>
              </w:rPr>
              <w:t>0.814 → 0.767</w:t>
            </w:r>
          </w:p>
        </w:tc>
        <w:tc>
          <w:tcPr>
            <w:tcW w:type="dxa" w:w="1440"/>
          </w:tcPr>
          <w:p>
            <w:pPr>
              <w:spacing w:line="240" w:lineRule="auto"/>
            </w:pPr>
            <w:r>
              <w:rPr>
                <w:rFonts w:ascii="Times New Roman" w:hAnsi="Times New Roman" w:eastAsia="Times New Roman"/>
                <w:b w:val="0"/>
                <w:caps w:val="0"/>
                <w:sz w:val="22"/>
              </w:rPr>
              <w:t>god_class_wmc = 23.5 (3×), 35.25 (2×)</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0.150 → 0.172</w:t>
            </w:r>
          </w:p>
        </w:tc>
        <w:tc>
          <w:tcPr>
            <w:tcW w:type="dxa" w:w="1440"/>
          </w:tcPr>
          <w:p>
            <w:pPr>
              <w:spacing w:line="240" w:lineRule="auto"/>
            </w:pPr>
            <w:r>
              <w:rPr>
                <w:rFonts w:ascii="Times New Roman" w:hAnsi="Times New Roman" w:eastAsia="Times New Roman"/>
                <w:b w:val="0"/>
                <w:caps w:val="0"/>
                <w:sz w:val="22"/>
              </w:rPr>
              <w:t>0.757 → 0.681</w:t>
            </w:r>
          </w:p>
        </w:tc>
        <w:tc>
          <w:tcPr>
            <w:tcW w:type="dxa" w:w="1440"/>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0.411</w:t>
            </w:r>
          </w:p>
        </w:tc>
        <w:tc>
          <w:tcPr>
            <w:tcW w:type="dxa" w:w="1440"/>
          </w:tcPr>
          <w:p>
            <w:pPr>
              <w:spacing w:line="240" w:lineRule="auto"/>
            </w:pPr>
            <w:r>
              <w:rPr>
                <w:rFonts w:ascii="Times New Roman" w:hAnsi="Times New Roman" w:eastAsia="Times New Roman"/>
                <w:b w:val="0"/>
                <w:caps w:val="0"/>
                <w:sz w:val="22"/>
              </w:rPr>
              <w:t>0.181 → 0.306</w:t>
            </w:r>
          </w:p>
        </w:tc>
        <w:tc>
          <w:tcPr>
            <w:tcW w:type="dxa" w:w="1440"/>
          </w:tcPr>
          <w:p>
            <w:pPr>
              <w:spacing w:line="240" w:lineRule="auto"/>
            </w:pPr>
            <w:r>
              <w:rPr>
                <w:rFonts w:ascii="Times New Roman" w:hAnsi="Times New Roman" w:eastAsia="Times New Roman"/>
                <w:b w:val="0"/>
                <w:caps w:val="0"/>
                <w:sz w:val="22"/>
              </w:rPr>
              <w:t>0.520 → 0.647</w:t>
            </w:r>
          </w:p>
        </w:tc>
        <w:tc>
          <w:tcPr>
            <w:tcW w:type="dxa" w:w="1440"/>
          </w:tcPr>
          <w:p>
            <w:pPr>
              <w:spacing w:line="240" w:lineRule="auto"/>
            </w:pPr>
            <w:r>
              <w:rPr>
                <w:rFonts w:ascii="Times New Roman" w:hAnsi="Times New Roman" w:eastAsia="Times New Roman"/>
                <w:b w:val="0"/>
                <w:caps w:val="0"/>
                <w:sz w:val="22"/>
              </w:rPr>
              <w:t>feature_envy_fdp = 10.0 (5×)</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0.666</w:t>
            </w:r>
          </w:p>
        </w:tc>
        <w:tc>
          <w:tcPr>
            <w:tcW w:type="dxa" w:w="1440"/>
          </w:tcPr>
          <w:p>
            <w:pPr>
              <w:spacing w:line="240" w:lineRule="auto"/>
            </w:pPr>
            <w:r>
              <w:rPr>
                <w:rFonts w:ascii="Times New Roman" w:hAnsi="Times New Roman" w:eastAsia="Times New Roman"/>
                <w:b w:val="0"/>
                <w:caps w:val="0"/>
                <w:sz w:val="22"/>
              </w:rPr>
              <w:t>0.440 → 0.759</w:t>
            </w:r>
          </w:p>
        </w:tc>
        <w:tc>
          <w:tcPr>
            <w:tcW w:type="dxa" w:w="1440"/>
          </w:tcPr>
          <w:p>
            <w:pPr>
              <w:spacing w:line="240" w:lineRule="auto"/>
            </w:pPr>
            <w:r>
              <w:rPr>
                <w:rFonts w:ascii="Times New Roman" w:hAnsi="Times New Roman" w:eastAsia="Times New Roman"/>
                <w:b w:val="0"/>
                <w:caps w:val="0"/>
                <w:sz w:val="22"/>
              </w:rPr>
              <w:t>0.872 → 0.678</w:t>
            </w:r>
          </w:p>
        </w:tc>
        <w:tc>
          <w:tcPr>
            <w:tcW w:type="dxa" w:w="1440"/>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ndahet në dy pjesë. Për Feature Envy kalibrimi jep fitimin më të madh dhe më të besueshmin: **të pesë foldet zgjodhën të njëjtën vlerë**,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12.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Çdo shifër e mësipërme është një vlerësim i vetëm mbi një korpus të caktuar. Për të matur sa varet ajo nga korpusi, çdo tregues u riprodhua me bootstrap mbi 2000 rimostrime, duke rimostruar **depo**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13.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14.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15.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16.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17.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18.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19.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20.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21.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22.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calibrate_thresholds.py</w:t>
            </w:r>
          </w:p>
        </w:tc>
        <w:tc>
          <w:tcPr>
            <w:tcW w:type="dxa" w:w="2160"/>
          </w:tcPr>
          <w:p>
            <w:pPr>
              <w:spacing w:line="240" w:lineRule="auto"/>
            </w:pPr>
            <w:r>
              <w:rPr>
                <w:rFonts w:ascii="Times New Roman" w:hAnsi="Times New Roman" w:eastAsia="Times New Roman"/>
                <w:b w:val="0"/>
                <w:caps w:val="0"/>
                <w:sz w:val="22"/>
              </w:rPr>
              <w:t>pragjet e kalibruara jashtë fold-it</w:t>
            </w:r>
          </w:p>
        </w:tc>
        <w:tc>
          <w:tcPr>
            <w:tcW w:type="dxa" w:w="2160"/>
          </w:tcPr>
          <w:p>
            <w:pPr>
              <w:spacing w:line="240" w:lineRule="auto"/>
            </w:pPr>
            <w:r>
              <w:rPr>
                <w:rFonts w:ascii="Times New Roman" w:hAnsi="Times New Roman" w:eastAsia="Times New Roman"/>
                <w:b w:val="0"/>
                <w:caps w:val="0"/>
                <w:sz w:val="22"/>
              </w:rPr>
              <w:t>~1 min</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11</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1ee9f0ecd9,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