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127</w:t>
            </w:r>
          </w:p>
        </w:tc>
      </w:tr>
      <w:tr>
        <w:tc>
          <w:tcPr>
            <w:tcW w:type="dxa" w:w="2880"/>
          </w:tcPr>
          <w:p>
            <w:pPr>
              <w:spacing w:line="240" w:lineRule="auto"/>
            </w:pPr>
            <w:r>
              <w:rPr>
                <w:rFonts w:ascii="Times New Roman" w:hAnsi="Times New Roman" w:eastAsia="Times New Roman"/>
                <w:b w:val="0"/>
                <w:caps w:val="0"/>
                <w:sz w:val="22"/>
              </w:rPr>
              <w:t>not checked</w:t>
            </w:r>
          </w:p>
        </w:tc>
        <w:tc>
          <w:tcPr>
            <w:tcW w:type="dxa" w:w="2880"/>
          </w:tcPr>
          <w:p>
            <w:pPr>
              <w:spacing w:line="240" w:lineRule="auto"/>
            </w:pPr>
            <w:r>
              <w:rPr>
                <w:rFonts w:ascii="Times New Roman" w:hAnsi="Times New Roman" w:eastAsia="Times New Roman"/>
                <w:b w:val="0"/>
                <w:caps w:val="0"/>
                <w:sz w:val="22"/>
              </w:rPr>
              <w:t>0</w:t>
            </w:r>
          </w:p>
        </w:tc>
        <w:tc>
          <w:tcPr>
            <w:tcW w:type="dxa" w:w="2880"/>
          </w:tcPr>
          <w:p>
            <w:pPr>
              <w:spacing w:line="240" w:lineRule="auto"/>
            </w:pPr>
            <w:r>
              <w:rPr>
                <w:rFonts w:ascii="Times New Roman" w:hAnsi="Times New Roman" w:eastAsia="Times New Roman"/>
                <w:b w:val="0"/>
                <w:caps w:val="0"/>
                <w:sz w:val="22"/>
              </w:rPr>
              <w:t>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 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kompilimi në kontekst zgjat rreth gjashtë minuta për skedar, sepse detyron kompilimin e tërë mbylljes së varësive të tij.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