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Të dyja qasjet së bashku</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spacing w:line="360" w:lineRule="auto"/>
        <w:ind w:firstLine="360"/>
        <w:jc w:val="both"/>
      </w:pPr>
      <w:r>
        <w:rPr>
          <w:rFonts w:ascii="Times New Roman" w:hAnsi="Times New Roman" w:eastAsia="Times New Roman"/>
          <w:b w:val="0"/>
          <w:caps w:val="0"/>
          <w:sz w:val="24"/>
        </w:rPr>
        <w:t>Tabela 9. Sa lëviz MCC-ja kur zhvendoset një prag</w:t>
      </w:r>
    </w:p>
    <w:p>
      <w:pPr>
        <w:spacing w:line="360" w:lineRule="auto"/>
        <w:ind w:firstLine="360"/>
        <w:jc w:val="both"/>
      </w:pPr>
      <w:r>
        <w:rPr>
          <w:rFonts w:ascii="Times New Roman" w:hAnsi="Times New Roman" w:eastAsia="Times New Roman"/>
          <w:b w:val="0"/>
          <w:caps w:val="0"/>
          <w:sz w:val="24"/>
        </w:rPr>
        <w:t>Tabela 10. Pajtimi i ashpërsisë me rishikuesit</w:t>
      </w:r>
    </w:p>
    <w:p>
      <w:pPr>
        <w:spacing w:line="360" w:lineRule="auto"/>
        <w:ind w:firstLine="360"/>
        <w:jc w:val="both"/>
      </w:pPr>
      <w:r>
        <w:rPr>
          <w:rFonts w:ascii="Times New Roman" w:hAnsi="Times New Roman" w:eastAsia="Times New Roman"/>
          <w:b w:val="0"/>
          <w:caps w:val="0"/>
          <w:sz w:val="24"/>
        </w:rPr>
        <w:t>Tabela 11. Intervale besimi 95% për MCC-në</w:t>
      </w:r>
    </w:p>
    <w:p>
      <w:pPr>
        <w:spacing w:line="360" w:lineRule="auto"/>
        <w:ind w:firstLine="360"/>
        <w:jc w:val="both"/>
      </w:pPr>
      <w:r>
        <w:rPr>
          <w:rFonts w:ascii="Times New Roman" w:hAnsi="Times New Roman" w:eastAsia="Times New Roman"/>
          <w:b w:val="0"/>
          <w:caps w:val="0"/>
          <w:sz w:val="24"/>
        </w:rPr>
        <w:t>Tabela 12. B − A kur rregullat marrin pragun e tyre më të mirë</w:t>
      </w:r>
    </w:p>
    <w:p>
      <w:pPr>
        <w:spacing w:line="360" w:lineRule="auto"/>
        <w:ind w:firstLine="360"/>
        <w:jc w:val="both"/>
      </w:pPr>
      <w:r>
        <w:rPr>
          <w:rFonts w:ascii="Times New Roman" w:hAnsi="Times New Roman" w:eastAsia="Times New Roman"/>
          <w:b w:val="0"/>
          <w:caps w:val="0"/>
          <w:sz w:val="24"/>
        </w:rPr>
        <w:t>Tabela 13. Sa pajtohen rishikuesit me njëri-tjetrin</w:t>
      </w:r>
    </w:p>
    <w:p>
      <w:pPr>
        <w:spacing w:line="360" w:lineRule="auto"/>
        <w:ind w:firstLine="360"/>
        <w:jc w:val="both"/>
      </w:pPr>
      <w:r>
        <w:rPr>
          <w:rFonts w:ascii="Times New Roman" w:hAnsi="Times New Roman" w:eastAsia="Times New Roman"/>
          <w:b w:val="0"/>
          <w:caps w:val="0"/>
          <w:sz w:val="24"/>
        </w:rPr>
        <w:t>Tabela 14. Strategjitë e detektimit dhe burimet e tyre</w:t>
      </w:r>
    </w:p>
    <w:p>
      <w:pPr>
        <w:spacing w:line="360" w:lineRule="auto"/>
        <w:ind w:firstLine="360"/>
        <w:jc w:val="both"/>
      </w:pPr>
      <w:r>
        <w:rPr>
          <w:rFonts w:ascii="Times New Roman" w:hAnsi="Times New Roman" w:eastAsia="Times New Roman"/>
          <w:b w:val="0"/>
          <w:caps w:val="0"/>
          <w:sz w:val="24"/>
        </w:rPr>
        <w:t>Tabela 15. Kuantifikuesit e përgjithshëm</w:t>
      </w:r>
    </w:p>
    <w:p>
      <w:pPr>
        <w:spacing w:line="360" w:lineRule="auto"/>
        <w:ind w:firstLine="360"/>
        <w:jc w:val="both"/>
      </w:pPr>
      <w:r>
        <w:rPr>
          <w:rFonts w:ascii="Times New Roman" w:hAnsi="Times New Roman" w:eastAsia="Times New Roman"/>
          <w:b w:val="0"/>
          <w:caps w:val="0"/>
          <w:sz w:val="24"/>
        </w:rPr>
        <w:t>Tabela 16. Pragjet e përdorura</w:t>
      </w:r>
    </w:p>
    <w:p>
      <w:pPr>
        <w:spacing w:line="360" w:lineRule="auto"/>
        <w:ind w:firstLine="360"/>
        <w:jc w:val="both"/>
      </w:pPr>
      <w:r>
        <w:rPr>
          <w:rFonts w:ascii="Times New Roman" w:hAnsi="Times New Roman" w:eastAsia="Times New Roman"/>
          <w:b w:val="0"/>
          <w:caps w:val="0"/>
          <w:sz w:val="24"/>
        </w:rPr>
        <w:t>Tabela 17. Metrikat sipas nivelit</w:t>
      </w:r>
    </w:p>
    <w:p>
      <w:pPr>
        <w:spacing w:line="360" w:lineRule="auto"/>
        <w:ind w:firstLine="360"/>
        <w:jc w:val="both"/>
      </w:pPr>
      <w:r>
        <w:rPr>
          <w:rFonts w:ascii="Times New Roman" w:hAnsi="Times New Roman" w:eastAsia="Times New Roman"/>
          <w:b w:val="0"/>
          <w:caps w:val="0"/>
          <w:sz w:val="24"/>
        </w:rPr>
        <w:t>Tabela 18. Çka propozohet dhe çka aplikohet</w:t>
      </w:r>
    </w:p>
    <w:p>
      <w:pPr>
        <w:spacing w:line="360" w:lineRule="auto"/>
        <w:ind w:firstLine="360"/>
        <w:jc w:val="both"/>
      </w:pPr>
      <w:r>
        <w:rPr>
          <w:rFonts w:ascii="Times New Roman" w:hAnsi="Times New Roman" w:eastAsia="Times New Roman"/>
          <w:b w:val="0"/>
          <w:caps w:val="0"/>
          <w:sz w:val="24"/>
        </w:rPr>
        <w:t>Tabela 19. Arsyet e refuzimit</w:t>
      </w:r>
    </w:p>
    <w:p>
      <w:pPr>
        <w:spacing w:line="360" w:lineRule="auto"/>
        <w:ind w:firstLine="360"/>
        <w:jc w:val="both"/>
      </w:pPr>
      <w:r>
        <w:rPr>
          <w:rFonts w:ascii="Times New Roman" w:hAnsi="Times New Roman" w:eastAsia="Times New Roman"/>
          <w:b w:val="0"/>
          <w:caps w:val="0"/>
          <w:sz w:val="24"/>
        </w:rPr>
        <w:t>Tabela 20.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5.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9.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10.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11.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12.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13.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14.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15.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16.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17.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18.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19.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20.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