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duke refuzuar ku nuk provon dot. Nga 60 rishkrime të lexuara, të ripeshuara, 62.9% janë të pranueshme për një zhvillues: Guard Clauses gjithmonë, Introduce Parameter Object asnjëherë.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Nga vendet e detektuara te erërat e hequra</w:t>
      </w:r>
    </w:p>
    <w:p>
      <w:pPr>
        <w:spacing w:line="360" w:lineRule="auto"/>
        <w:ind w:firstLine="360"/>
        <w:jc w:val="both"/>
      </w:pPr>
      <w:r>
        <w:rPr>
          <w:rFonts w:ascii="Times New Roman" w:hAnsi="Times New Roman" w:eastAsia="Times New Roman"/>
          <w:b w:val="0"/>
          <w:caps w:val="0"/>
          <w:sz w:val="24"/>
        </w:rPr>
        <w:t>Figura 8. Pranueshmëria e rishkrimeve sipas transformimit</w:t>
      </w:r>
    </w:p>
    <w:p>
      <w:pPr>
        <w:spacing w:line="360" w:lineRule="auto"/>
        <w:ind w:firstLine="360"/>
        <w:jc w:val="both"/>
      </w:pPr>
      <w:r>
        <w:rPr>
          <w:rFonts w:ascii="Times New Roman" w:hAnsi="Times New Roman" w:eastAsia="Times New Roman"/>
          <w:b w:val="0"/>
          <w:caps w:val="0"/>
          <w:sz w:val="24"/>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10. Ndjeshmëria e MCC-së ndaj zhvendosjes së pragjeve</w:t>
      </w:r>
    </w:p>
    <w:p>
      <w:pPr>
        <w:spacing w:line="360" w:lineRule="auto"/>
        <w:ind w:firstLine="360"/>
        <w:jc w:val="both"/>
      </w:pPr>
      <w:r>
        <w:rPr>
          <w:rFonts w:ascii="Times New Roman" w:hAnsi="Times New Roman" w:eastAsia="Times New Roman"/>
          <w:b w:val="0"/>
          <w:caps w:val="0"/>
          <w:sz w:val="24"/>
        </w:rPr>
        <w:t>Figura 11. MCC me interval besimi 95% për të dyja qasjet</w:t>
      </w:r>
    </w:p>
    <w:p>
      <w:pPr>
        <w:spacing w:line="360" w:lineRule="auto"/>
        <w:ind w:firstLine="360"/>
        <w:jc w:val="both"/>
      </w:pPr>
      <w:r>
        <w:rPr>
          <w:rFonts w:ascii="Times New Roman" w:hAnsi="Times New Roman" w:eastAsia="Times New Roman"/>
          <w:b w:val="0"/>
          <w:caps w:val="0"/>
          <w:sz w:val="24"/>
        </w:rPr>
        <w:t>Figura 12.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Pranueshmëria e rishkrimeve sipas rishikuesit</w:t>
      </w:r>
    </w:p>
    <w:p>
      <w:pPr>
        <w:spacing w:line="360" w:lineRule="auto"/>
        <w:ind w:firstLine="360"/>
        <w:jc w:val="both"/>
      </w:pPr>
      <w:r>
        <w:rPr>
          <w:rFonts w:ascii="Times New Roman" w:hAnsi="Times New Roman" w:eastAsia="Times New Roman"/>
          <w:b w:val="0"/>
          <w:caps w:val="0"/>
          <w:sz w:val="24"/>
        </w:rPr>
        <w:t>Tabela 16. Norma e transformimit sipas erës dhe ashpërsisë</w:t>
      </w:r>
    </w:p>
    <w:p>
      <w:pPr>
        <w:spacing w:line="360" w:lineRule="auto"/>
        <w:ind w:firstLine="360"/>
        <w:jc w:val="both"/>
      </w:pPr>
      <w:r>
        <w:rPr>
          <w:rFonts w:ascii="Times New Roman" w:hAnsi="Times New Roman" w:eastAsia="Times New Roman"/>
          <w:b w:val="0"/>
          <w:caps w:val="0"/>
          <w:sz w:val="24"/>
        </w:rPr>
        <w:t>Tabela 17. Përbërja e arsyeve të refuzimit brenda çdo niveli</w:t>
      </w:r>
    </w:p>
    <w:p>
      <w:pPr>
        <w:spacing w:line="360" w:lineRule="auto"/>
        <w:ind w:firstLine="360"/>
        <w:jc w:val="both"/>
      </w:pPr>
      <w:r>
        <w:rPr>
          <w:rFonts w:ascii="Times New Roman" w:hAnsi="Times New Roman" w:eastAsia="Times New Roman"/>
          <w:b w:val="0"/>
          <w:caps w:val="0"/>
          <w:sz w:val="24"/>
        </w:rPr>
        <w:t>Tabela 18. Sa lëviz MCC-ja kur zhvendoset një prag</w:t>
      </w:r>
    </w:p>
    <w:p>
      <w:pPr>
        <w:spacing w:line="360" w:lineRule="auto"/>
        <w:ind w:firstLine="360"/>
        <w:jc w:val="both"/>
      </w:pPr>
      <w:r>
        <w:rPr>
          <w:rFonts w:ascii="Times New Roman" w:hAnsi="Times New Roman" w:eastAsia="Times New Roman"/>
          <w:b w:val="0"/>
          <w:caps w:val="0"/>
          <w:sz w:val="24"/>
        </w:rPr>
        <w:t>Tabela 19.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20.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Shifrat kryesore sipas pyetjes kërkimore</w:t>
      </w:r>
    </w:p>
    <w:p>
      <w:pPr>
        <w:spacing w:line="360" w:lineRule="auto"/>
        <w:ind w:firstLine="360"/>
        <w:jc w:val="both"/>
      </w:pPr>
      <w:r>
        <w:rPr>
          <w:rFonts w:ascii="Times New Roman" w:hAnsi="Times New Roman" w:eastAsia="Times New Roman"/>
          <w:b w:val="0"/>
          <w:caps w:val="0"/>
          <w:sz w:val="24"/>
        </w:rPr>
        <w:t>Tabela 25. Krahasimi i MCC-së me Madeyski &amp; Lewowski (2023), mbi MLCQ</w:t>
      </w:r>
    </w:p>
    <w:p>
      <w:pPr>
        <w:spacing w:line="360" w:lineRule="auto"/>
        <w:ind w:firstLine="360"/>
        <w:jc w:val="both"/>
      </w:pPr>
      <w:r>
        <w:rPr>
          <w:rFonts w:ascii="Times New Roman" w:hAnsi="Times New Roman" w:eastAsia="Times New Roman"/>
          <w:b w:val="0"/>
          <w:caps w:val="0"/>
          <w:sz w:val="24"/>
        </w:rPr>
        <w:t>Tabela 26. Gjetjet e punimit përballë literaturës</w:t>
      </w:r>
    </w:p>
    <w:p>
      <w:pPr>
        <w:spacing w:line="360" w:lineRule="auto"/>
        <w:ind w:firstLine="360"/>
        <w:jc w:val="both"/>
      </w:pPr>
      <w:r>
        <w:rPr>
          <w:rFonts w:ascii="Times New Roman" w:hAnsi="Times New Roman" w:eastAsia="Times New Roman"/>
          <w:b w:val="0"/>
          <w:caps w:val="0"/>
          <w:sz w:val="24"/>
        </w:rPr>
        <w:t>Tabela 27. Përgjigjet e shkurtra ndaj pyetjeve kërkimore</w:t>
      </w:r>
    </w:p>
    <w:p>
      <w:pPr>
        <w:spacing w:line="360" w:lineRule="auto"/>
        <w:ind w:firstLine="360"/>
        <w:jc w:val="both"/>
      </w:pPr>
      <w:r>
        <w:rPr>
          <w:rFonts w:ascii="Times New Roman" w:hAnsi="Times New Roman" w:eastAsia="Times New Roman"/>
          <w:b w:val="0"/>
          <w:caps w:val="0"/>
          <w:sz w:val="24"/>
        </w:rPr>
        <w:t>Tabela 28. Strategjitë e detektimit dhe burimet e tyre</w:t>
      </w:r>
    </w:p>
    <w:p>
      <w:pPr>
        <w:spacing w:line="360" w:lineRule="auto"/>
        <w:ind w:firstLine="360"/>
        <w:jc w:val="both"/>
      </w:pPr>
      <w:r>
        <w:rPr>
          <w:rFonts w:ascii="Times New Roman" w:hAnsi="Times New Roman" w:eastAsia="Times New Roman"/>
          <w:b w:val="0"/>
          <w:caps w:val="0"/>
          <w:sz w:val="24"/>
        </w:rPr>
        <w:t>Tabela 29. Kuantifikuesit e përgjithshëm</w:t>
      </w:r>
    </w:p>
    <w:p>
      <w:pPr>
        <w:spacing w:line="360" w:lineRule="auto"/>
        <w:ind w:firstLine="360"/>
        <w:jc w:val="both"/>
      </w:pPr>
      <w:r>
        <w:rPr>
          <w:rFonts w:ascii="Times New Roman" w:hAnsi="Times New Roman" w:eastAsia="Times New Roman"/>
          <w:b w:val="0"/>
          <w:caps w:val="0"/>
          <w:sz w:val="24"/>
        </w:rPr>
        <w:t>Tabela 30. Pragjet e përdorura</w:t>
      </w:r>
    </w:p>
    <w:p>
      <w:pPr>
        <w:spacing w:line="360" w:lineRule="auto"/>
        <w:ind w:firstLine="360"/>
        <w:jc w:val="both"/>
      </w:pPr>
      <w:r>
        <w:rPr>
          <w:rFonts w:ascii="Times New Roman" w:hAnsi="Times New Roman" w:eastAsia="Times New Roman"/>
          <w:b w:val="0"/>
          <w:caps w:val="0"/>
          <w:sz w:val="24"/>
        </w:rPr>
        <w:t>Tabela 31. Metrikat sipas nivelit</w:t>
      </w:r>
    </w:p>
    <w:p>
      <w:pPr>
        <w:spacing w:line="360" w:lineRule="auto"/>
        <w:ind w:firstLine="360"/>
        <w:jc w:val="both"/>
      </w:pPr>
      <w:r>
        <w:rPr>
          <w:rFonts w:ascii="Times New Roman" w:hAnsi="Times New Roman" w:eastAsia="Times New Roman"/>
          <w:b w:val="0"/>
          <w:caps w:val="0"/>
          <w:sz w:val="24"/>
        </w:rPr>
        <w:t>Tabela 32. Çka propozohet dhe çka aplikohet</w:t>
      </w:r>
    </w:p>
    <w:p>
      <w:pPr>
        <w:spacing w:line="360" w:lineRule="auto"/>
        <w:ind w:firstLine="360"/>
        <w:jc w:val="both"/>
      </w:pPr>
      <w:r>
        <w:rPr>
          <w:rFonts w:ascii="Times New Roman" w:hAnsi="Times New Roman" w:eastAsia="Times New Roman"/>
          <w:b w:val="0"/>
          <w:caps w:val="0"/>
          <w:sz w:val="24"/>
        </w:rPr>
        <w:t>Tabela 33. Arsyet e refuzimit</w:t>
      </w:r>
    </w:p>
    <w:p>
      <w:pPr>
        <w:spacing w:line="360" w:lineRule="auto"/>
        <w:ind w:firstLine="360"/>
        <w:jc w:val="both"/>
      </w:pPr>
      <w:r>
        <w:rPr>
          <w:rFonts w:ascii="Times New Roman" w:hAnsi="Times New Roman" w:eastAsia="Times New Roman"/>
          <w:b w:val="0"/>
          <w:caps w:val="0"/>
          <w:sz w:val="24"/>
        </w:rPr>
        <w:t>Tabela 34. Radha e ekzekutimit</w:t>
      </w:r>
    </w:p>
    <w:p>
      <w:pPr>
        <w:spacing w:line="360" w:lineRule="auto"/>
        <w:ind w:firstLine="360"/>
        <w:jc w:val="both"/>
      </w:pPr>
      <w:r>
        <w:rPr>
          <w:rFonts w:ascii="Times New Roman" w:hAnsi="Times New Roman" w:eastAsia="Times New Roman"/>
          <w:b w:val="0"/>
          <w:caps w:val="0"/>
          <w:sz w:val="24"/>
        </w:rPr>
        <w:t>Tabela 35. Commit-i që prodhoi çdo skedar rezultati</w:t>
      </w:r>
    </w:p>
    <w:p>
      <w:pPr>
        <w:spacing w:line="360" w:lineRule="auto"/>
        <w:ind w:firstLine="360"/>
        <w:jc w:val="both"/>
      </w:pPr>
      <w:r>
        <w:rPr>
          <w:rFonts w:ascii="Times New Roman" w:hAnsi="Times New Roman" w:eastAsia="Times New Roman"/>
          <w:b w:val="0"/>
          <w:caps w:val="0"/>
          <w:sz w:val="24"/>
        </w:rPr>
        <w:t>Tabela 36. Sa klauzola dështuan te secila mospërputhje</w:t>
      </w:r>
    </w:p>
    <w:p>
      <w:pPr>
        <w:spacing w:line="360" w:lineRule="auto"/>
        <w:ind w:firstLine="360"/>
        <w:jc w:val="both"/>
      </w:pPr>
      <w:r>
        <w:rPr>
          <w:rFonts w:ascii="Times New Roman" w:hAnsi="Times New Roman" w:eastAsia="Times New Roman"/>
          <w:b w:val="0"/>
          <w:caps w:val="0"/>
          <w:sz w:val="24"/>
        </w:rPr>
        <w:t>Tabela 37. Kur një klauzolë e vetme e ndal strategjinë</w:t>
      </w:r>
    </w:p>
    <w:p>
      <w:pPr>
        <w:spacing w:line="360" w:lineRule="auto"/>
        <w:ind w:firstLine="360"/>
        <w:jc w:val="both"/>
      </w:pPr>
      <w:r>
        <w:rPr>
          <w:rFonts w:ascii="Times New Roman" w:hAnsi="Times New Roman" w:eastAsia="Times New Roman"/>
          <w:b w:val="0"/>
          <w:caps w:val="0"/>
          <w:sz w:val="24"/>
        </w:rPr>
        <w:t>Tabela 38. Pajtimi i ashpërsisë me rishikuesit</w:t>
      </w:r>
    </w:p>
    <w:p>
      <w:pPr>
        <w:spacing w:line="360" w:lineRule="auto"/>
        <w:ind w:firstLine="360"/>
        <w:jc w:val="both"/>
      </w:pPr>
      <w:r>
        <w:rPr>
          <w:rFonts w:ascii="Times New Roman" w:hAnsi="Times New Roman" w:eastAsia="Times New Roman"/>
          <w:b w:val="0"/>
          <w:caps w:val="0"/>
          <w:sz w:val="24"/>
        </w:rPr>
        <w:t>Tabela 39.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40.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41.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«Rreshtat e kodit të metodës: 77 (problem kur është mbi 35)».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8 tetor 2026, kaluan 797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ndaj mund të nisë me një komandë të vetme pa instaluar asgjë tjetër.</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Ky nënkapitull paraqet sa pajtohen strategjitë e publikuara, të zbatuara me pragjet e Nënkapitullit 4.5, me gjykimin e rishikuesve të MLCQ-së. Treguesit janë ata të Nënkapitullit 4.9, dhe secili llogaritet mbi të gjitha mostrat e erës përkatëse.</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MCC-ja më e lartë është te Long Method (0.580) dhe më e ulëta te Blob (0.232). Varianti i Blob-it që shton kushtin e madhësisë (Nënkapitulli 4.5) e ngre recall-in nga 0.100 në 0.257 dhe MCC-në nga 0.232 në 0.340, ndërsa precizioni zbret nga 0.814 në 0.720.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spacing w:line="360" w:lineRule="auto"/>
        <w:ind w:firstLine="360"/>
        <w:jc w:val="both"/>
      </w:pPr>
      <w:r>
        <w:rPr>
          <w:rFonts w:ascii="Times New Roman" w:hAnsi="Times New Roman" w:eastAsia="Times New Roman"/>
          <w:b w:val="0"/>
          <w:caps w:val="0"/>
          <w:sz w:val="24"/>
        </w:rPr>
        <w:t>Dy tabelat e këtij nënkapitulli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Ky nënkapitull paraqet rezultatet e Qasjes B, të katër algoritmeve të Nënkapitullit 4.6, të trajnuar mbi të njëjtat mostra dhe të vlerësuar me ndarjen e grupuar sipas depos, që asnjë depo të mos dalë njëkohësisht në trajnim dhe në vlerësim.</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Blob dhe Feature Envy; random forest te Data Class dhe Long Method. Ndryshe nga Qasja A, precizioni dhe recall-i i modelit janë pranë njëri-tjetrit te çdo erë: dallimi mes tyre nuk e kalon 0.051.</w:t>
      </w: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Veçoria me rëndësinë më të lartë është CLOC te Blob (0.129), CLOC te Data Class (0.087), MLOC te Feature Envy (0.477)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Ky nënkapitull i vë dy qasjet përballë mbi saktësisht të njëjtat mostra dhe me të njëjtën etiketë, siç e kërkon kriteri i PK2 te Nënkapitulli 3.3. Krahasohen MCC-ja, pajtimi mes tyre dhe dy mënyra për t'i bashkuar (Figura 5).</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Long Method, 0.144 pikë MCC, dhe më i madhi te Feature Envy, 0.425 pikë. Pajtimi mes tyre matet me koeficientin kappa dhe me numrin e mostrave që shënon secila qasje, vetëm ose bashkë me tjetrën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spacing w:line="360" w:lineRule="auto"/>
        <w:ind w:firstLine="360"/>
        <w:jc w:val="both"/>
      </w:pPr>
      <w:r>
        <w:rPr>
          <w:rFonts w:ascii="Times New Roman" w:hAnsi="Times New Roman" w:eastAsia="Times New Roman"/>
          <w:b w:val="0"/>
          <w:caps w:val="0"/>
          <w:sz w:val="24"/>
        </w:rPr>
        <w:t>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Ky nënkapitull paraqet çfarë bëri motori i Nënkapitullit 4.7 kur u ekzekutua mbi tërë korpusin: sa vende transformoi, pse refuzoi të tjerat, nëse rishkrimet kompilojnë dhe nëse era u hoq. Rendi i tabelave ndjek rendin e pyetjeve që shtron PK3.</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w:t>
      </w: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E gjithë rrjedha, nga vendi i detektuar te era e hequr, jepet në një figurë, ku çdo shirit shprehet si pjesë e vendeve të detektuara (Figura 7):</w:t>
      </w:r>
    </w:p>
    <w:p>
      <w:pPr>
        <w:keepNext/>
        <w:jc w:val="center"/>
      </w:pPr>
      <w:r>
        <w:drawing>
          <wp:inline xmlns:a="http://schemas.openxmlformats.org/drawingml/2006/main" xmlns:pic="http://schemas.openxmlformats.org/drawingml/2006/picture">
            <wp:extent cx="5120640" cy="2137703"/>
            <wp:docPr id="9" name="Picture 9"/>
            <wp:cNvGraphicFramePr>
              <a:graphicFrameLocks noChangeAspect="1"/>
            </wp:cNvGraphicFramePr>
            <a:graphic>
              <a:graphicData uri="http://schemas.openxmlformats.org/drawingml/2006/picture">
                <pic:pic>
                  <pic:nvPicPr>
                    <pic:cNvPr id="0" name="rrjedha_e_refaktorimit.png"/>
                    <pic:cNvPicPr/>
                  </pic:nvPicPr>
                  <pic:blipFill>
                    <a:blip r:embed="rId19"/>
                    <a:stretch>
                      <a:fillRect/>
                    </a:stretch>
                  </pic:blipFill>
                  <pic:spPr>
                    <a:xfrm>
                      <a:off x="0" y="0"/>
                      <a:ext cx="5120640" cy="2137703"/>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mbjellë prej 60 rishkrimesh, 20 për çdo transformim (Tabela 15; Figura 8).</w:t>
      </w:r>
    </w:p>
    <w:p>
      <w:pPr>
        <w:keepNext/>
        <w:spacing w:line="240" w:lineRule="auto"/>
        <w:jc w:val="center"/>
      </w:pPr>
      <w:r>
        <w:rPr>
          <w:rFonts w:ascii="Times New Roman" w:hAnsi="Times New Roman" w:eastAsia="Times New Roman"/>
          <w:b w:val="0"/>
          <w:caps w:val="0"/>
          <w:sz w:val="22"/>
        </w:rPr>
        <w:t>Tabela 15.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4610"/>
            <wp:docPr id="10" name="Picture 10"/>
            <wp:cNvGraphicFramePr>
              <a:graphicFrameLocks noChangeAspect="1"/>
            </wp:cNvGraphicFramePr>
            <a:graphic>
              <a:graphicData uri="http://schemas.openxmlformats.org/drawingml/2006/picture">
                <pic:pic>
                  <pic:nvPicPr>
                    <pic:cNvPr id="0" name="pranueshmeria_e_rishkrimeve.png"/>
                    <pic:cNvPicPr/>
                  </pic:nvPicPr>
                  <pic:blipFill>
                    <a:blip r:embed="rId20"/>
                    <a:stretch>
                      <a:fillRect/>
                    </a:stretch>
                  </pic:blipFill>
                  <pic:spPr>
                    <a:xfrm>
                      <a:off x="0" y="0"/>
                      <a:ext cx="5120640" cy="2254610"/>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Pranueshmëria e rishkrimeve sipas transformimit</w:t>
      </w:r>
    </w:p>
    <w:p>
      <w:pPr>
        <w:spacing w:line="360" w:lineRule="auto"/>
        <w:ind w:firstLine="360"/>
        <w:jc w:val="both"/>
      </w:pPr>
      <w:r>
        <w:rPr>
          <w:rFonts w:ascii="Times New Roman" w:hAnsi="Times New Roman" w:eastAsia="Times New Roman"/>
          <w:b w:val="0"/>
          <w:caps w:val="0"/>
          <w:sz w:val="24"/>
        </w:rPr>
        <w:t>Rishkrimet e pranueshme janë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w:t>
      </w:r>
    </w:p>
    <w:p>
      <w:pPr>
        <w:spacing w:line="360" w:lineRule="auto"/>
        <w:ind w:firstLine="360"/>
        <w:jc w:val="both"/>
      </w:pPr>
      <w:r>
        <w:rPr>
          <w:rFonts w:ascii="Times New Roman" w:hAnsi="Times New Roman" w:eastAsia="Times New Roman"/>
          <w:b w:val="0"/>
          <w:caps w:val="0"/>
          <w:sz w:val="24"/>
        </w:rPr>
        <w:t>Një rishkrim u gjykua se e ndryshon sjelljen, çka është dështim i parakushteve dhe raportohet si i tillë. Të gjitha rishkrimet e mostrës, përfshirë këtë, e kishin kaluar kontrollin e kompilatorit.</w:t>
      </w:r>
    </w:p>
    <w:p>
      <w:pPr>
        <w:spacing w:line="360" w:lineRule="auto"/>
        <w:ind w:firstLine="360"/>
        <w:jc w:val="both"/>
      </w:pPr>
      <w:r>
        <w:rPr>
          <w:rFonts w:ascii="Times New Roman" w:hAnsi="Times New Roman" w:eastAsia="Times New Roman"/>
          <w:b w:val="0"/>
          <w:caps w:val="0"/>
          <w:sz w:val="24"/>
        </w:rPr>
        <w:t>26 rishkrime nga 60 u gjykuan pa përfitim strukturor.</w:t>
      </w:r>
    </w:p>
    <w:p>
      <w:pPr>
        <w:spacing w:line="360" w:lineRule="auto"/>
        <w:ind w:firstLine="360"/>
        <w:jc w:val="both"/>
      </w:pPr>
      <w:r>
        <w:rPr>
          <w:rFonts w:ascii="Times New Roman" w:hAnsi="Times New Roman" w:eastAsia="Times New Roman"/>
          <w:b w:val="0"/>
          <w:caps w:val="0"/>
          <w:sz w:val="24"/>
        </w:rPr>
        <w:t>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27 rishkrime që kaluan kontrollin e kompilatorit u refuzuan nga rishikuesi.</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16):</w:t>
      </w:r>
    </w:p>
    <w:p>
      <w:pPr>
        <w:keepNext/>
        <w:spacing w:line="240" w:lineRule="auto"/>
        <w:jc w:val="center"/>
      </w:pPr>
      <w:r>
        <w:rPr>
          <w:rFonts w:ascii="Times New Roman" w:hAnsi="Times New Roman" w:eastAsia="Times New Roman"/>
          <w:b w:val="0"/>
          <w:caps w:val="0"/>
          <w:sz w:val="22"/>
        </w:rPr>
        <w:t>Tabela 16.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17; Figura 9):</w:t>
      </w:r>
    </w:p>
    <w:p>
      <w:pPr>
        <w:keepNext/>
        <w:spacing w:line="240" w:lineRule="auto"/>
        <w:jc w:val="center"/>
      </w:pPr>
      <w:r>
        <w:rPr>
          <w:rFonts w:ascii="Times New Roman" w:hAnsi="Times New Roman" w:eastAsia="Times New Roman"/>
          <w:b w:val="0"/>
          <w:caps w:val="0"/>
          <w:sz w:val="22"/>
        </w:rPr>
        <w:t>Tabela 17.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2306"/>
            <wp:docPr id="11" name="Picture 11"/>
            <wp:cNvGraphicFramePr>
              <a:graphicFrameLocks noChangeAspect="1"/>
            </wp:cNvGraphicFramePr>
            <a:graphic>
              <a:graphicData uri="http://schemas.openxmlformats.org/drawingml/2006/picture">
                <pic:pic>
                  <pic:nvPicPr>
                    <pic:cNvPr id="0" name="refuzimet_sipas_ashpersise.png"/>
                    <pic:cNvPicPr/>
                  </pic:nvPicPr>
                  <pic:blipFill>
                    <a:blip r:embed="rId21"/>
                    <a:stretch>
                      <a:fillRect/>
                    </a:stretch>
                  </pic:blipFill>
                  <pic:spPr>
                    <a:xfrm>
                      <a:off x="0" y="0"/>
                      <a:ext cx="5120640" cy="27023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spacing w:line="360" w:lineRule="auto"/>
        <w:ind w:firstLine="360"/>
        <w:jc w:val="both"/>
      </w:pPr>
      <w:r>
        <w:rPr>
          <w:rFonts w:ascii="Times New Roman" w:hAnsi="Times New Roman" w:eastAsia="Times New Roman"/>
          <w:b w:val="0"/>
          <w:caps w:val="0"/>
          <w:sz w:val="24"/>
        </w:rPr>
        <w:t>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Ky është i pari nga vëzhgimet dytësore. Ai nuk i përgjigjet drejtpërdrejt një pyetjeje, por tregon sa varen shifrat e Nënkapitullit 5.1 nga pragjet e zgjedhura.</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18; Figura 10):</w:t>
      </w:r>
    </w:p>
    <w:p>
      <w:pPr>
        <w:keepNext/>
        <w:spacing w:line="240" w:lineRule="auto"/>
        <w:jc w:val="center"/>
      </w:pPr>
      <w:r>
        <w:rPr>
          <w:rFonts w:ascii="Times New Roman" w:hAnsi="Times New Roman" w:eastAsia="Times New Roman"/>
          <w:b w:val="0"/>
          <w:caps w:val="0"/>
          <w:sz w:val="22"/>
        </w:rPr>
        <w:t>Tabela 18.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2" name="Picture 12"/>
            <wp:cNvGraphicFramePr>
              <a:graphicFrameLocks noChangeAspect="1"/>
            </wp:cNvGraphicFramePr>
            <a:graphic>
              <a:graphicData uri="http://schemas.openxmlformats.org/drawingml/2006/picture">
                <pic:pic>
                  <pic:nvPicPr>
                    <pic:cNvPr id="0" name="ndjeshmeria_e_pragjeve.png"/>
                    <pic:cNvPicPr/>
                  </pic:nvPicPr>
                  <pic:blipFill>
                    <a:blip r:embed="rId22"/>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19):</w:t>
      </w:r>
    </w:p>
    <w:p>
      <w:pPr>
        <w:keepNext/>
        <w:spacing w:line="240" w:lineRule="auto"/>
        <w:jc w:val="center"/>
      </w:pPr>
      <w:r>
        <w:rPr>
          <w:rFonts w:ascii="Times New Roman" w:hAnsi="Times New Roman" w:eastAsia="Times New Roman"/>
          <w:b w:val="0"/>
          <w:caps w:val="0"/>
          <w:sz w:val="22"/>
        </w:rPr>
        <w:t>Tabela 19.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Ky nënkapitull i vë detektorët e Qasjes A përballë PMD-së, një mjeti të lirë e të përhapur që zbaton rregulla të ngjashme, mbi të njëjtat mostra dhe me të njëjtin pikëzim.</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20).</w:t>
      </w:r>
    </w:p>
    <w:p>
      <w:pPr>
        <w:keepNext/>
        <w:spacing w:line="240" w:lineRule="auto"/>
        <w:jc w:val="center"/>
      </w:pPr>
      <w:r>
        <w:rPr>
          <w:rFonts w:ascii="Times New Roman" w:hAnsi="Times New Roman" w:eastAsia="Times New Roman"/>
          <w:b w:val="0"/>
          <w:caps w:val="0"/>
          <w:sz w:val="22"/>
        </w:rPr>
        <w:t>Tabela 20.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21; Figura 11):</w:t>
      </w:r>
    </w:p>
    <w:p>
      <w:pPr>
        <w:keepNext/>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3" name="Picture 13"/>
            <wp:cNvGraphicFramePr>
              <a:graphicFrameLocks noChangeAspect="1"/>
            </wp:cNvGraphicFramePr>
            <a:graphic>
              <a:graphicData uri="http://schemas.openxmlformats.org/drawingml/2006/picture">
                <pic:pic>
                  <pic:nvPicPr>
                    <pic:cNvPr id="0" name="intervalet_e_besimit.png"/>
                    <pic:cNvPicPr/>
                  </pic:nvPicPr>
                  <pic:blipFill>
                    <a:blip r:embed="rId23"/>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22):</w:t>
      </w:r>
    </w:p>
    <w:p>
      <w:pPr>
        <w:keepNext/>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23):</w:t>
      </w:r>
    </w:p>
    <w:p>
      <w:pPr>
        <w:keepNext/>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spacing w:line="360" w:lineRule="auto"/>
        <w:ind w:firstLine="360"/>
        <w:jc w:val="both"/>
      </w:pPr>
      <w:r>
        <w:rPr>
          <w:rFonts w:ascii="Times New Roman" w:hAnsi="Times New Roman" w:eastAsia="Times New Roman"/>
          <w:b w:val="0"/>
          <w:caps w:val="0"/>
          <w:sz w:val="24"/>
        </w:rPr>
        <w:t>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24).</w:t>
      </w:r>
    </w:p>
    <w:p>
      <w:pPr>
        <w:keepNext/>
        <w:spacing w:line="240" w:lineRule="auto"/>
        <w:jc w:val="center"/>
      </w:pPr>
      <w:r>
        <w:rPr>
          <w:rFonts w:ascii="Times New Roman" w:hAnsi="Times New Roman" w:eastAsia="Times New Roman"/>
          <w:b w:val="0"/>
          <w:caps w:val="0"/>
          <w:sz w:val="22"/>
        </w:rPr>
        <w:t>Tabela 24.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0.232 – 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0.520 – 0.872</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0.100 – 0.440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0.488 – 0.724</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0.144 – 0.425</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4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09"/>
          </w:tcPr>
          <w:p>
            <w:pPr>
              <w:spacing w:line="240" w:lineRule="auto"/>
              <w:jc w:val="left"/>
            </w:pPr>
            <w:r>
              <w:rPr>
                <w:rFonts w:ascii="Times New Roman" w:hAnsi="Times New Roman" w:eastAsia="Times New Roman"/>
                <w:b w:val="0"/>
                <w:caps w:val="0"/>
                <w:sz w:val="22"/>
              </w:rPr>
              <w:t>62.9%</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Fowler-i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çdo erë, dhe shumica e verdikteve të tij, nga 56% deri në 97%, u shpjeguan me një matje të vetme, ndaj fitimi nuk erdhi në kurriz të shpjegueshmërisë. Kur dy qasjet pajtohen, precizioni nuk bie nën 0.78,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25).</w:t>
      </w:r>
    </w:p>
    <w:p>
      <w:pPr>
        <w:keepNext/>
        <w:spacing w:line="240" w:lineRule="auto"/>
        <w:jc w:val="center"/>
      </w:pPr>
      <w:r>
        <w:rPr>
          <w:rFonts w:ascii="Times New Roman" w:hAnsi="Times New Roman" w:eastAsia="Times New Roman"/>
          <w:b w:val="0"/>
          <w:caps w:val="0"/>
          <w:sz w:val="22"/>
        </w:rPr>
        <w:t>Tabela 25.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26).</w:t>
      </w:r>
    </w:p>
    <w:p>
      <w:pPr>
        <w:keepNext/>
        <w:spacing w:line="240" w:lineRule="auto"/>
        <w:jc w:val="center"/>
      </w:pPr>
      <w:r>
        <w:rPr>
          <w:rFonts w:ascii="Times New Roman" w:hAnsi="Times New Roman" w:eastAsia="Times New Roman"/>
          <w:b w:val="0"/>
          <w:caps w:val="0"/>
          <w:sz w:val="22"/>
        </w:rPr>
        <w:t>Tabela 26.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&amp;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0.52–0.87, recall 0.10–0.44</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0.61–0.77</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0.61–0.77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&amp;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0.49–0.72; 0.70 te Feature Envy</w:t>
            </w:r>
          </w:p>
        </w:tc>
        <w:tc>
          <w:tcPr>
            <w:tcW w:type="dxa" w:w="2209"/>
          </w:tcPr>
          <w:p>
            <w:pPr>
              <w:spacing w:line="240" w:lineRule="auto"/>
              <w:jc w:val="left"/>
            </w:pPr>
            <w:r>
              <w:rPr>
                <w:rFonts w:ascii="Times New Roman" w:hAnsi="Times New Roman" w:eastAsia="Times New Roman"/>
                <w:b w:val="0"/>
                <w:caps w:val="0"/>
                <w:sz w:val="22"/>
              </w:rPr>
              <w:t>i njëjti brez, Feature Envy më lart</w:t>
            </w:r>
          </w:p>
        </w:tc>
      </w:tr>
      <w:tr>
        <w:tc>
          <w:tcPr>
            <w:tcW w:type="dxa" w:w="2209"/>
          </w:tcPr>
          <w:p>
            <w:pPr>
              <w:spacing w:line="240" w:lineRule="auto"/>
              <w:jc w:val="left"/>
            </w:pPr>
            <w:r>
              <w:rPr>
                <w:rFonts w:ascii="Times New Roman" w:hAnsi="Times New Roman" w:eastAsia="Times New Roman"/>
                <w:b w:val="0"/>
                <w:caps w:val="0"/>
                <w:sz w:val="22"/>
              </w:rPr>
              <w:t>Mäntylä &amp;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0.02–0.24</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Leximi i 60 rishkrimeve e kufizon pretendimin për strukturën: të ripeshuara sipas transformimit, 62.9% janë të pranueshme për një zhvillues, por te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27):</w:t>
      </w:r>
    </w:p>
    <w:p>
      <w:pPr>
        <w:keepNext/>
        <w:spacing w:line="240" w:lineRule="auto"/>
        <w:jc w:val="center"/>
      </w:pPr>
      <w:r>
        <w:rPr>
          <w:rFonts w:ascii="Times New Roman" w:hAnsi="Times New Roman" w:eastAsia="Times New Roman"/>
          <w:b w:val="0"/>
          <w:caps w:val="0"/>
          <w:sz w:val="22"/>
        </w:rPr>
        <w:t>Tabela 27.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0.232–0.580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w:t>
            </w:r>
          </w:p>
        </w:tc>
        <w:tc>
          <w:tcPr>
            <w:tcW w:type="dxa" w:w="2209"/>
          </w:tcPr>
          <w:p>
            <w:pPr>
              <w:spacing w:line="240" w:lineRule="auto"/>
              <w:jc w:val="left"/>
            </w:pPr>
            <w:r>
              <w:rPr>
                <w:rFonts w:ascii="Times New Roman" w:hAnsi="Times New Roman" w:eastAsia="Times New Roman"/>
                <w:b w:val="0"/>
                <w:caps w:val="0"/>
                <w:sz w:val="22"/>
              </w:rPr>
              <w:t>MCC 0.488–0.724</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28).</w:t>
      </w:r>
    </w:p>
    <w:p>
      <w:pPr>
        <w:keepNext/>
        <w:spacing w:line="240" w:lineRule="auto"/>
        <w:jc w:val="center"/>
      </w:pPr>
      <w:r>
        <w:rPr>
          <w:rFonts w:ascii="Times New Roman" w:hAnsi="Times New Roman" w:eastAsia="Times New Roman"/>
          <w:b w:val="0"/>
          <w:caps w:val="0"/>
          <w:sz w:val="22"/>
        </w:rPr>
        <w:t>Tabela 28.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29).</w:t>
      </w:r>
    </w:p>
    <w:p>
      <w:pPr>
        <w:keepNext/>
        <w:spacing w:line="240" w:lineRule="auto"/>
        <w:jc w:val="center"/>
      </w:pPr>
      <w:r>
        <w:rPr>
          <w:rFonts w:ascii="Times New Roman" w:hAnsi="Times New Roman" w:eastAsia="Times New Roman"/>
          <w:b w:val="0"/>
          <w:caps w:val="0"/>
          <w:sz w:val="22"/>
        </w:rPr>
        <w:t>Tabela 29.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30).</w:t>
      </w:r>
    </w:p>
    <w:p>
      <w:pPr>
        <w:keepNext/>
        <w:spacing w:line="240" w:lineRule="auto"/>
        <w:jc w:val="center"/>
      </w:pPr>
      <w:r>
        <w:rPr>
          <w:rFonts w:ascii="Times New Roman" w:hAnsi="Times New Roman" w:eastAsia="Times New Roman"/>
          <w:b w:val="0"/>
          <w:caps w:val="0"/>
          <w:sz w:val="22"/>
        </w:rPr>
        <w:t>Tabela 30.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31).</w:t>
      </w:r>
    </w:p>
    <w:p>
      <w:pPr>
        <w:keepNext/>
        <w:spacing w:line="240" w:lineRule="auto"/>
        <w:jc w:val="center"/>
      </w:pPr>
      <w:r>
        <w:rPr>
          <w:rFonts w:ascii="Times New Roman" w:hAnsi="Times New Roman" w:eastAsia="Times New Roman"/>
          <w:b w:val="0"/>
          <w:caps w:val="0"/>
          <w:sz w:val="22"/>
        </w:rPr>
        <w:t>Tabela 31.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32).</w:t>
      </w:r>
    </w:p>
    <w:p>
      <w:pPr>
        <w:keepNext/>
        <w:spacing w:line="240" w:lineRule="auto"/>
        <w:jc w:val="center"/>
      </w:pPr>
      <w:r>
        <w:rPr>
          <w:rFonts w:ascii="Times New Roman" w:hAnsi="Times New Roman" w:eastAsia="Times New Roman"/>
          <w:b w:val="0"/>
          <w:caps w:val="0"/>
          <w:sz w:val="22"/>
        </w:rPr>
        <w:t>Tabela 32.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33).</w:t>
      </w:r>
    </w:p>
    <w:p>
      <w:pPr>
        <w:keepNext/>
        <w:spacing w:line="240" w:lineRule="auto"/>
        <w:jc w:val="center"/>
      </w:pPr>
      <w:r>
        <w:rPr>
          <w:rFonts w:ascii="Times New Roman" w:hAnsi="Times New Roman" w:eastAsia="Times New Roman"/>
          <w:b w:val="0"/>
          <w:caps w:val="0"/>
          <w:sz w:val="22"/>
        </w:rPr>
        <w:t>Tabela 33.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34).</w:t>
      </w:r>
    </w:p>
    <w:p>
      <w:pPr>
        <w:keepNext/>
        <w:spacing w:line="240" w:lineRule="auto"/>
        <w:jc w:val="center"/>
      </w:pPr>
      <w:r>
        <w:rPr>
          <w:rFonts w:ascii="Times New Roman" w:hAnsi="Times New Roman" w:eastAsia="Times New Roman"/>
          <w:b w:val="0"/>
          <w:caps w:val="0"/>
          <w:sz w:val="22"/>
        </w:rPr>
        <w:t>Tabela 34.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3.13.12, Linux-6.18.44-fc-v80-x86_64-with-glibc2.39, Windows-11-10.0.26200-SP0. Commit-i jo: eksperimentet u ekzekutuan njëri pas tjetrit, ndaj secili skedar mban commit-in e vet, dhe ai duhet përdorur për ta riprodhuar (Tabela 35).</w:t>
      </w:r>
    </w:p>
    <w:p>
      <w:pPr>
        <w:keepNext/>
        <w:spacing w:line="240" w:lineRule="auto"/>
        <w:jc w:val="center"/>
      </w:pPr>
      <w:r>
        <w:rPr>
          <w:rFonts w:ascii="Times New Roman" w:hAnsi="Times New Roman" w:eastAsia="Times New Roman"/>
          <w:b w:val="0"/>
          <w:caps w:val="0"/>
          <w:sz w:val="22"/>
        </w:rPr>
        <w:t>Tabela 35.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rewrite_quality.json</w:t>
            </w:r>
          </w:p>
        </w:tc>
        <w:tc>
          <w:tcPr>
            <w:tcW w:type="dxa" w:w="4419"/>
          </w:tcPr>
          <w:p>
            <w:pPr>
              <w:spacing w:line="240" w:lineRule="auto"/>
              <w:jc w:val="left"/>
            </w:pPr>
            <w:r>
              <w:rPr>
                <w:rFonts w:ascii="Times New Roman" w:hAnsi="Times New Roman" w:eastAsia="Times New Roman"/>
                <w:b w:val="0"/>
                <w:caps w:val="0"/>
                <w:sz w:val="22"/>
              </w:rPr>
              <w:t>adf4db30c2</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36; Tabela 37).</w:t>
      </w:r>
    </w:p>
    <w:p>
      <w:pPr>
        <w:keepNext/>
        <w:spacing w:line="240" w:lineRule="auto"/>
        <w:jc w:val="center"/>
      </w:pPr>
      <w:r>
        <w:rPr>
          <w:rFonts w:ascii="Times New Roman" w:hAnsi="Times New Roman" w:eastAsia="Times New Roman"/>
          <w:b w:val="0"/>
          <w:caps w:val="0"/>
          <w:sz w:val="22"/>
        </w:rPr>
        <w:t>Tabela 36.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38).</w:t>
      </w:r>
    </w:p>
    <w:p>
      <w:pPr>
        <w:keepNext/>
        <w:spacing w:line="240" w:lineRule="auto"/>
        <w:jc w:val="center"/>
      </w:pPr>
      <w:r>
        <w:rPr>
          <w:rFonts w:ascii="Times New Roman" w:hAnsi="Times New Roman" w:eastAsia="Times New Roman"/>
          <w:b w:val="0"/>
          <w:caps w:val="0"/>
          <w:sz w:val="22"/>
        </w:rPr>
        <w:t>Tabela 38.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12).</w:t>
      </w:r>
    </w:p>
    <w:p>
      <w:pPr>
        <w:keepNext/>
        <w:jc w:val="center"/>
      </w:pPr>
      <w:r>
        <w:drawing>
          <wp:inline xmlns:a="http://schemas.openxmlformats.org/drawingml/2006/main" xmlns:pic="http://schemas.openxmlformats.org/drawingml/2006/picture">
            <wp:extent cx="5120640" cy="2809061"/>
            <wp:docPr id="14" name="Picture 14"/>
            <wp:cNvGraphicFramePr>
              <a:graphicFrameLocks noChangeAspect="1"/>
            </wp:cNvGraphicFramePr>
            <a:graphic>
              <a:graphicData uri="http://schemas.openxmlformats.org/drawingml/2006/picture">
                <pic:pic>
                  <pic:nvPicPr>
                    <pic:cNvPr id="0" name="ashpersia_kundrejt_rishikuesve.png"/>
                    <pic:cNvPicPr/>
                  </pic:nvPicPr>
                  <pic:blipFill>
                    <a:blip r:embed="rId24"/>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12.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39).</w:t>
      </w:r>
    </w:p>
    <w:p>
      <w:pPr>
        <w:keepNext/>
        <w:spacing w:line="240" w:lineRule="auto"/>
        <w:jc w:val="center"/>
      </w:pPr>
      <w:r>
        <w:rPr>
          <w:rFonts w:ascii="Times New Roman" w:hAnsi="Times New Roman" w:eastAsia="Times New Roman"/>
          <w:b w:val="0"/>
          <w:caps w:val="0"/>
          <w:sz w:val="22"/>
        </w:rPr>
        <w:t>Tabela 39.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40).</w:t>
      </w:r>
    </w:p>
    <w:p>
      <w:pPr>
        <w:keepNext/>
        <w:spacing w:line="240" w:lineRule="auto"/>
        <w:jc w:val="center"/>
      </w:pPr>
      <w:r>
        <w:rPr>
          <w:rFonts w:ascii="Times New Roman" w:hAnsi="Times New Roman" w:eastAsia="Times New Roman"/>
          <w:b w:val="0"/>
          <w:caps w:val="0"/>
          <w:sz w:val="22"/>
        </w:rPr>
        <w:t>Tabela 40.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41).</w:t>
      </w:r>
    </w:p>
    <w:p>
      <w:pPr>
        <w:keepNext/>
        <w:spacing w:line="240" w:lineRule="auto"/>
        <w:jc w:val="center"/>
      </w:pPr>
      <w:r>
        <w:rPr>
          <w:rFonts w:ascii="Times New Roman" w:hAnsi="Times New Roman" w:eastAsia="Times New Roman"/>
          <w:b w:val="0"/>
          <w:caps w:val="0"/>
          <w:sz w:val="22"/>
        </w:rPr>
        <w:t>Tabela 41.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