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896C" w14:textId="77777777" w:rsidR="003F2C01" w:rsidRPr="00F23508" w:rsidRDefault="003F2C01" w:rsidP="003F2C01">
      <w:pPr>
        <w:rPr>
          <w:rFonts w:ascii="Times New Roman" w:hAnsi="Times New Roman" w:cs="Times New Roman"/>
        </w:rPr>
      </w:pPr>
      <w:r w:rsidRPr="00F23508">
        <w:rPr>
          <w:rFonts w:ascii="Times New Roman" w:hAnsi="Times New Roman" w:cs="Times New Roman"/>
        </w:rPr>
        <w:t>Florentin Degbo</w:t>
      </w:r>
    </w:p>
    <w:p w14:paraId="6786A47C" w14:textId="77777777" w:rsidR="003F2C01" w:rsidRPr="00F23508" w:rsidRDefault="003F2C01" w:rsidP="003F2C01">
      <w:pPr>
        <w:rPr>
          <w:rFonts w:ascii="Times New Roman" w:hAnsi="Times New Roman" w:cs="Times New Roman"/>
        </w:rPr>
      </w:pPr>
      <w:r w:rsidRPr="00F23508">
        <w:rPr>
          <w:rFonts w:ascii="Times New Roman" w:hAnsi="Times New Roman" w:cs="Times New Roman"/>
        </w:rPr>
        <w:t>AI in Healthcare</w:t>
      </w:r>
    </w:p>
    <w:p w14:paraId="3361285A" w14:textId="77777777" w:rsidR="003F2C01" w:rsidRPr="00F23508" w:rsidRDefault="003F2C01" w:rsidP="003F2C01">
      <w:pPr>
        <w:rPr>
          <w:rFonts w:ascii="Times New Roman" w:hAnsi="Times New Roman" w:cs="Times New Roman"/>
        </w:rPr>
      </w:pPr>
      <w:r w:rsidRPr="00F23508">
        <w:rPr>
          <w:rFonts w:ascii="Times New Roman" w:hAnsi="Times New Roman" w:cs="Times New Roman"/>
        </w:rPr>
        <w:t>Dr. Doreen Rosenstrauch</w:t>
      </w:r>
    </w:p>
    <w:p w14:paraId="6373618F" w14:textId="77777777" w:rsidR="00530DC3" w:rsidRDefault="00530DC3">
      <w:pPr>
        <w:rPr>
          <w:rFonts w:ascii="Times New Roman" w:hAnsi="Times New Roman" w:cs="Times New Roman"/>
        </w:rPr>
      </w:pPr>
    </w:p>
    <w:p w14:paraId="53FA41C0" w14:textId="2D2A9E8F" w:rsidR="003F2C01" w:rsidRPr="003F2C01" w:rsidRDefault="003F2C01" w:rsidP="003F2C01">
      <w:pPr>
        <w:spacing w:line="480" w:lineRule="auto"/>
        <w:jc w:val="center"/>
        <w:rPr>
          <w:rFonts w:ascii="Times New Roman" w:hAnsi="Times New Roman" w:cs="Times New Roman"/>
          <w:b/>
          <w:bCs/>
        </w:rPr>
      </w:pPr>
      <w:r>
        <w:rPr>
          <w:rFonts w:ascii="Times New Roman" w:hAnsi="Times New Roman" w:cs="Times New Roman"/>
          <w:b/>
          <w:bCs/>
        </w:rPr>
        <w:t>Introduction</w:t>
      </w:r>
    </w:p>
    <w:p w14:paraId="5C9E0C0B" w14:textId="1A02AD31" w:rsidR="003F2C01" w:rsidRPr="003F2C01" w:rsidRDefault="003F2C01" w:rsidP="003F2C01">
      <w:pPr>
        <w:spacing w:line="480" w:lineRule="auto"/>
        <w:ind w:firstLine="720"/>
        <w:rPr>
          <w:rFonts w:ascii="Times New Roman" w:hAnsi="Times New Roman" w:cs="Times New Roman"/>
        </w:rPr>
      </w:pPr>
      <w:r w:rsidRPr="003F2C01">
        <w:rPr>
          <w:rFonts w:ascii="Times New Roman" w:hAnsi="Times New Roman" w:cs="Times New Roman"/>
        </w:rPr>
        <w:t>The chosen case study presents a 58-year-old man who has type 2 diabetes and showed up with fever</w:t>
      </w:r>
      <w:r>
        <w:rPr>
          <w:rFonts w:ascii="Times New Roman" w:hAnsi="Times New Roman" w:cs="Times New Roman"/>
        </w:rPr>
        <w:t>, fast heartbeat,</w:t>
      </w:r>
      <w:r w:rsidRPr="003F2C01">
        <w:rPr>
          <w:rFonts w:ascii="Times New Roman" w:hAnsi="Times New Roman" w:cs="Times New Roman"/>
        </w:rPr>
        <w:t xml:space="preserve"> and low blood pressure. The clinical assessment</w:t>
      </w:r>
      <w:r>
        <w:rPr>
          <w:rFonts w:ascii="Times New Roman" w:hAnsi="Times New Roman" w:cs="Times New Roman"/>
        </w:rPr>
        <w:t>, together with laboratory results,</w:t>
      </w:r>
      <w:r w:rsidRPr="003F2C01">
        <w:rPr>
          <w:rFonts w:ascii="Times New Roman" w:hAnsi="Times New Roman" w:cs="Times New Roman"/>
        </w:rPr>
        <w:t xml:space="preserve"> confirmed that the patient had sepsis, which represents a dangerous medical condition resulting from the body's severe infection response. The severe infection, which leads to sepsis, results in high rates of sickness and death because of the extended times between disease identification and medical treatment (Evans et al., 2021). The medical field needs to identify risk factors in patients </w:t>
      </w:r>
      <w:r>
        <w:rPr>
          <w:rFonts w:ascii="Times New Roman" w:hAnsi="Times New Roman" w:cs="Times New Roman"/>
        </w:rPr>
        <w:t>early in their disease progression to prevent rapid declines in health</w:t>
      </w:r>
      <w:r w:rsidRPr="003F2C01">
        <w:rPr>
          <w:rFonts w:ascii="Times New Roman" w:hAnsi="Times New Roman" w:cs="Times New Roman"/>
        </w:rPr>
        <w:t>.</w:t>
      </w:r>
    </w:p>
    <w:p w14:paraId="5ADCD5EB" w14:textId="77777777" w:rsidR="003F2C01" w:rsidRPr="003F2C01" w:rsidRDefault="003F2C01" w:rsidP="003F2C01">
      <w:pPr>
        <w:spacing w:line="480" w:lineRule="auto"/>
        <w:rPr>
          <w:rFonts w:ascii="Times New Roman" w:hAnsi="Times New Roman" w:cs="Times New Roman"/>
          <w:b/>
          <w:bCs/>
        </w:rPr>
      </w:pPr>
      <w:r w:rsidRPr="003F2C01">
        <w:rPr>
          <w:rFonts w:ascii="Times New Roman" w:hAnsi="Times New Roman" w:cs="Times New Roman"/>
          <w:b/>
          <w:bCs/>
        </w:rPr>
        <w:t>Risk 1: Progression to Septic Shock</w:t>
      </w:r>
    </w:p>
    <w:p w14:paraId="3A182C8F" w14:textId="42F8B80E" w:rsidR="003F2C01" w:rsidRDefault="003F2C01" w:rsidP="003F2C01">
      <w:pPr>
        <w:spacing w:line="480" w:lineRule="auto"/>
        <w:ind w:firstLine="720"/>
        <w:rPr>
          <w:rFonts w:ascii="Times New Roman" w:hAnsi="Times New Roman" w:cs="Times New Roman"/>
        </w:rPr>
      </w:pPr>
      <w:r w:rsidRPr="003F2C01">
        <w:rPr>
          <w:rFonts w:ascii="Times New Roman" w:hAnsi="Times New Roman" w:cs="Times New Roman"/>
        </w:rPr>
        <w:t>The patient faces a critical danger</w:t>
      </w:r>
      <w:r>
        <w:rPr>
          <w:rFonts w:ascii="Times New Roman" w:hAnsi="Times New Roman" w:cs="Times New Roman"/>
        </w:rPr>
        <w:t>,</w:t>
      </w:r>
      <w:r w:rsidRPr="003F2C01">
        <w:rPr>
          <w:rFonts w:ascii="Times New Roman" w:hAnsi="Times New Roman" w:cs="Times New Roman"/>
        </w:rPr>
        <w:t xml:space="preserve"> which includes the possibility of developing septic shock through the progression of his sepsis condition. The reason for this essential information is that septic shock creates an urgent need for treatment because it increases the chances of organ failure and death. The patient will suffer from critical hypotension and multiple organ failures</w:t>
      </w:r>
      <w:r>
        <w:rPr>
          <w:rFonts w:ascii="Times New Roman" w:hAnsi="Times New Roman" w:cs="Times New Roman"/>
        </w:rPr>
        <w:t>,</w:t>
      </w:r>
      <w:r w:rsidRPr="003F2C01">
        <w:rPr>
          <w:rFonts w:ascii="Times New Roman" w:hAnsi="Times New Roman" w:cs="Times New Roman"/>
        </w:rPr>
        <w:t xml:space="preserve"> and possible death if this risk remains untreated. AI tools function as risk management solutions </w:t>
      </w:r>
      <w:r>
        <w:rPr>
          <w:rFonts w:ascii="Times New Roman" w:hAnsi="Times New Roman" w:cs="Times New Roman"/>
        </w:rPr>
        <w:t>that</w:t>
      </w:r>
      <w:r w:rsidRPr="003F2C01">
        <w:rPr>
          <w:rFonts w:ascii="Times New Roman" w:hAnsi="Times New Roman" w:cs="Times New Roman"/>
        </w:rPr>
        <w:t xml:space="preserve"> use continuous vital signs monitoring and laboratory trend assessment to create early warning systems for impending clinical deterioration. </w:t>
      </w:r>
      <w:r>
        <w:rPr>
          <w:rFonts w:ascii="Times New Roman" w:hAnsi="Times New Roman" w:cs="Times New Roman"/>
        </w:rPr>
        <w:t>Embedded machine learning models in electronic health records enable doctors to predict sepsis earlier than conventional screening methods</w:t>
      </w:r>
      <w:r w:rsidRPr="003F2C01">
        <w:rPr>
          <w:rFonts w:ascii="Times New Roman" w:hAnsi="Times New Roman" w:cs="Times New Roman"/>
        </w:rPr>
        <w:t xml:space="preserve"> (Sendak et al., 2022).</w:t>
      </w:r>
    </w:p>
    <w:p w14:paraId="6B30C237" w14:textId="6E61D43D" w:rsidR="003F2C01" w:rsidRPr="003F2C01" w:rsidRDefault="003F2C01" w:rsidP="003F2C01">
      <w:pPr>
        <w:spacing w:line="480" w:lineRule="auto"/>
        <w:rPr>
          <w:rFonts w:ascii="Times New Roman" w:hAnsi="Times New Roman" w:cs="Times New Roman"/>
          <w:b/>
          <w:bCs/>
        </w:rPr>
      </w:pPr>
      <w:r w:rsidRPr="003F2C01">
        <w:rPr>
          <w:rFonts w:ascii="Times New Roman" w:hAnsi="Times New Roman" w:cs="Times New Roman"/>
          <w:b/>
          <w:bCs/>
        </w:rPr>
        <w:lastRenderedPageBreak/>
        <w:t>Risk 2: Acute Kidney Injury</w:t>
      </w:r>
    </w:p>
    <w:p w14:paraId="76169BAF" w14:textId="2C12AC10" w:rsidR="003F2C01" w:rsidRDefault="003F2C01" w:rsidP="003F2C01">
      <w:pPr>
        <w:spacing w:line="480" w:lineRule="auto"/>
        <w:ind w:firstLine="720"/>
        <w:rPr>
          <w:rFonts w:ascii="Times New Roman" w:hAnsi="Times New Roman" w:cs="Times New Roman"/>
        </w:rPr>
      </w:pPr>
      <w:r w:rsidRPr="003F2C01">
        <w:rPr>
          <w:rFonts w:ascii="Times New Roman" w:hAnsi="Times New Roman" w:cs="Times New Roman"/>
        </w:rPr>
        <w:t xml:space="preserve">The second significant danger for septic patients is acute kidney injury (AKI), which develops from their combined state of low blood flow and ongoing inflammatory response. The risk exists because untreated AKI results in permanent kidney damage or the need for dialysis treatment. AI-based predictive analytics </w:t>
      </w:r>
      <w:r>
        <w:rPr>
          <w:rFonts w:ascii="Times New Roman" w:hAnsi="Times New Roman" w:cs="Times New Roman"/>
        </w:rPr>
        <w:t>enable monitoring of creatinine levels, urine output, and hemodynamic measurements to identify patients at high risk</w:t>
      </w:r>
      <w:r w:rsidRPr="003F2C01">
        <w:rPr>
          <w:rFonts w:ascii="Times New Roman" w:hAnsi="Times New Roman" w:cs="Times New Roman"/>
        </w:rPr>
        <w:t xml:space="preserve"> of developing AKI. Clinicians receive early AI alerts, </w:t>
      </w:r>
      <w:r>
        <w:rPr>
          <w:rFonts w:ascii="Times New Roman" w:hAnsi="Times New Roman" w:cs="Times New Roman"/>
        </w:rPr>
        <w:t xml:space="preserve">enabling them to modify fluid and medication treatments earlier </w:t>
      </w:r>
      <w:r w:rsidRPr="003F2C01">
        <w:rPr>
          <w:rFonts w:ascii="Times New Roman" w:hAnsi="Times New Roman" w:cs="Times New Roman"/>
        </w:rPr>
        <w:t>to protect against permanent kidney damage (Gameiro et al., 2022).</w:t>
      </w:r>
    </w:p>
    <w:p w14:paraId="7E68017E" w14:textId="40436F6E" w:rsidR="003F2C01" w:rsidRPr="003F2C01" w:rsidRDefault="003F2C01" w:rsidP="003F2C01">
      <w:pPr>
        <w:spacing w:line="480" w:lineRule="auto"/>
        <w:rPr>
          <w:rFonts w:ascii="Times New Roman" w:hAnsi="Times New Roman" w:cs="Times New Roman"/>
          <w:b/>
          <w:bCs/>
        </w:rPr>
      </w:pPr>
      <w:r w:rsidRPr="003F2C01">
        <w:rPr>
          <w:rFonts w:ascii="Times New Roman" w:hAnsi="Times New Roman" w:cs="Times New Roman"/>
          <w:b/>
          <w:bCs/>
        </w:rPr>
        <w:t>Risk 3: Hospital Readmission and Poor Recovery</w:t>
      </w:r>
    </w:p>
    <w:p w14:paraId="5E1E1615" w14:textId="6EB655E3" w:rsidR="003F2C01" w:rsidRDefault="003F2C01" w:rsidP="003F2C01">
      <w:pPr>
        <w:spacing w:line="480" w:lineRule="auto"/>
        <w:ind w:firstLine="720"/>
        <w:rPr>
          <w:rFonts w:ascii="Times New Roman" w:hAnsi="Times New Roman" w:cs="Times New Roman"/>
        </w:rPr>
      </w:pPr>
      <w:r w:rsidRPr="003F2C01">
        <w:rPr>
          <w:rFonts w:ascii="Times New Roman" w:hAnsi="Times New Roman" w:cs="Times New Roman"/>
        </w:rPr>
        <w:t xml:space="preserve">The third risk involves patients who </w:t>
      </w:r>
      <w:r>
        <w:rPr>
          <w:rFonts w:ascii="Times New Roman" w:hAnsi="Times New Roman" w:cs="Times New Roman"/>
        </w:rPr>
        <w:t xml:space="preserve">experience either hospital </w:t>
      </w:r>
      <w:proofErr w:type="gramStart"/>
      <w:r>
        <w:rPr>
          <w:rFonts w:ascii="Times New Roman" w:hAnsi="Times New Roman" w:cs="Times New Roman"/>
        </w:rPr>
        <w:t>readmission</w:t>
      </w:r>
      <w:proofErr w:type="gramEnd"/>
      <w:r>
        <w:rPr>
          <w:rFonts w:ascii="Times New Roman" w:hAnsi="Times New Roman" w:cs="Times New Roman"/>
        </w:rPr>
        <w:t xml:space="preserve"> or extended recovery times following </w:t>
      </w:r>
      <w:r w:rsidRPr="003F2C01">
        <w:rPr>
          <w:rFonts w:ascii="Times New Roman" w:hAnsi="Times New Roman" w:cs="Times New Roman"/>
        </w:rPr>
        <w:t xml:space="preserve">hospital discharge. Patients who suffer from diabetes and sepsis require complicated medical treatment because they face </w:t>
      </w:r>
      <w:r>
        <w:rPr>
          <w:rFonts w:ascii="Times New Roman" w:hAnsi="Times New Roman" w:cs="Times New Roman"/>
        </w:rPr>
        <w:t>a higher chance</w:t>
      </w:r>
      <w:r w:rsidRPr="003F2C01">
        <w:rPr>
          <w:rFonts w:ascii="Times New Roman" w:hAnsi="Times New Roman" w:cs="Times New Roman"/>
        </w:rPr>
        <w:t xml:space="preserve"> of needing to return to the hospital. The situation becomes worse when chronic diseases remain untreated because it leads to higher healthcare expenses and patients experience lower life quality. AI-based risk models use EHR data</w:t>
      </w:r>
      <w:r>
        <w:rPr>
          <w:rFonts w:ascii="Times New Roman" w:hAnsi="Times New Roman" w:cs="Times New Roman"/>
        </w:rPr>
        <w:t>, comorbidities, and social determinants of health to identify</w:t>
      </w:r>
      <w:r w:rsidRPr="003F2C01">
        <w:rPr>
          <w:rFonts w:ascii="Times New Roman" w:hAnsi="Times New Roman" w:cs="Times New Roman"/>
        </w:rPr>
        <w:t xml:space="preserve"> patients who require enhanced follow-up care. The systems enable organizations to provide specific care coordination services</w:t>
      </w:r>
      <w:r>
        <w:rPr>
          <w:rFonts w:ascii="Times New Roman" w:hAnsi="Times New Roman" w:cs="Times New Roman"/>
        </w:rPr>
        <w:t>, including post-hospital monitoring, thereby reducing the risk</w:t>
      </w:r>
      <w:r w:rsidRPr="003F2C01">
        <w:rPr>
          <w:rFonts w:ascii="Times New Roman" w:hAnsi="Times New Roman" w:cs="Times New Roman"/>
        </w:rPr>
        <w:t xml:space="preserve"> of preventable readmissions (Shillan et al., 2022).</w:t>
      </w:r>
    </w:p>
    <w:p w14:paraId="76D54289" w14:textId="2DCE4AF3" w:rsidR="003F2C01" w:rsidRPr="003F2C01" w:rsidRDefault="003F2C01" w:rsidP="003F2C01">
      <w:pPr>
        <w:spacing w:line="480" w:lineRule="auto"/>
        <w:jc w:val="center"/>
        <w:rPr>
          <w:rFonts w:ascii="Times New Roman" w:hAnsi="Times New Roman" w:cs="Times New Roman"/>
          <w:b/>
          <w:bCs/>
        </w:rPr>
      </w:pPr>
      <w:r w:rsidRPr="003F2C01">
        <w:rPr>
          <w:rFonts w:ascii="Times New Roman" w:hAnsi="Times New Roman" w:cs="Times New Roman"/>
          <w:b/>
          <w:bCs/>
        </w:rPr>
        <w:t>Conclusion</w:t>
      </w:r>
    </w:p>
    <w:p w14:paraId="4B1B0DA4" w14:textId="6E5EE303" w:rsidR="003F2C01" w:rsidRDefault="003F2C01" w:rsidP="003F2C01">
      <w:pPr>
        <w:spacing w:line="480" w:lineRule="auto"/>
        <w:ind w:firstLine="720"/>
        <w:rPr>
          <w:rFonts w:ascii="Times New Roman" w:hAnsi="Times New Roman" w:cs="Times New Roman"/>
        </w:rPr>
      </w:pPr>
      <w:r w:rsidRPr="003F2C01">
        <w:rPr>
          <w:rFonts w:ascii="Times New Roman" w:hAnsi="Times New Roman" w:cs="Times New Roman"/>
        </w:rPr>
        <w:t xml:space="preserve">Early identification of health risks proves essential for healthcare because timely treatment prevents many serious medical complications. The case study shows that sepsis patients </w:t>
      </w:r>
      <w:r>
        <w:rPr>
          <w:rFonts w:ascii="Times New Roman" w:hAnsi="Times New Roman" w:cs="Times New Roman"/>
        </w:rPr>
        <w:t>require continuous observation because their various risk factors interact</w:t>
      </w:r>
      <w:r w:rsidRPr="003F2C01">
        <w:rPr>
          <w:rFonts w:ascii="Times New Roman" w:hAnsi="Times New Roman" w:cs="Times New Roman"/>
        </w:rPr>
        <w:t xml:space="preserve">. AI technology </w:t>
      </w:r>
      <w:r w:rsidRPr="003F2C01">
        <w:rPr>
          <w:rFonts w:ascii="Times New Roman" w:hAnsi="Times New Roman" w:cs="Times New Roman"/>
        </w:rPr>
        <w:lastRenderedPageBreak/>
        <w:t xml:space="preserve">provides effective assistance to clinicians </w:t>
      </w:r>
      <w:r>
        <w:rPr>
          <w:rFonts w:ascii="Times New Roman" w:hAnsi="Times New Roman" w:cs="Times New Roman"/>
        </w:rPr>
        <w:t>by identifying early warning signs and forecasting medical problems while supporting their decision-making</w:t>
      </w:r>
      <w:r w:rsidRPr="003F2C01">
        <w:rPr>
          <w:rFonts w:ascii="Times New Roman" w:hAnsi="Times New Roman" w:cs="Times New Roman"/>
        </w:rPr>
        <w:t>. Clinical judgment requires AI to function as a supportive tool</w:t>
      </w:r>
      <w:r>
        <w:rPr>
          <w:rFonts w:ascii="Times New Roman" w:hAnsi="Times New Roman" w:cs="Times New Roman"/>
        </w:rPr>
        <w:t>,</w:t>
      </w:r>
      <w:r w:rsidRPr="003F2C01">
        <w:rPr>
          <w:rFonts w:ascii="Times New Roman" w:hAnsi="Times New Roman" w:cs="Times New Roman"/>
        </w:rPr>
        <w:t xml:space="preserve"> </w:t>
      </w:r>
      <w:r>
        <w:rPr>
          <w:rFonts w:ascii="Times New Roman" w:hAnsi="Times New Roman" w:cs="Times New Roman"/>
        </w:rPr>
        <w:t xml:space="preserve">not </w:t>
      </w:r>
      <w:r w:rsidRPr="003F2C01">
        <w:rPr>
          <w:rFonts w:ascii="Times New Roman" w:hAnsi="Times New Roman" w:cs="Times New Roman"/>
        </w:rPr>
        <w:t>to replace human decision-making. The responsible application of AI-supported risk identification methods leads to better patient safety outcomes</w:t>
      </w:r>
      <w:r>
        <w:rPr>
          <w:rFonts w:ascii="Times New Roman" w:hAnsi="Times New Roman" w:cs="Times New Roman"/>
        </w:rPr>
        <w:t>, reducing medical complications and improving healthcare system outcomes</w:t>
      </w:r>
      <w:r w:rsidRPr="003F2C01">
        <w:rPr>
          <w:rFonts w:ascii="Times New Roman" w:hAnsi="Times New Roman" w:cs="Times New Roman"/>
        </w:rPr>
        <w:t>.</w:t>
      </w:r>
    </w:p>
    <w:p w14:paraId="065AC35A" w14:textId="77777777" w:rsidR="003F2C01" w:rsidRDefault="003F2C01" w:rsidP="003F2C01">
      <w:pPr>
        <w:spacing w:line="480" w:lineRule="auto"/>
        <w:rPr>
          <w:rFonts w:ascii="Times New Roman" w:hAnsi="Times New Roman" w:cs="Times New Roman"/>
        </w:rPr>
      </w:pPr>
    </w:p>
    <w:p w14:paraId="52333D31" w14:textId="786149EA" w:rsidR="003F2C01" w:rsidRDefault="003F2C01" w:rsidP="003F2C01">
      <w:pPr>
        <w:spacing w:line="480" w:lineRule="auto"/>
        <w:rPr>
          <w:rFonts w:ascii="Times New Roman" w:hAnsi="Times New Roman" w:cs="Times New Roman"/>
          <w:b/>
          <w:bCs/>
        </w:rPr>
      </w:pPr>
      <w:r w:rsidRPr="000203D2">
        <w:rPr>
          <w:rFonts w:ascii="Times New Roman" w:hAnsi="Times New Roman" w:cs="Times New Roman"/>
          <w:b/>
          <w:bCs/>
        </w:rPr>
        <w:t>References</w:t>
      </w:r>
    </w:p>
    <w:p w14:paraId="725A4D24" w14:textId="77777777" w:rsidR="00173EE7" w:rsidRPr="00173EE7" w:rsidRDefault="00173EE7" w:rsidP="00173EE7">
      <w:pPr>
        <w:spacing w:line="480" w:lineRule="auto"/>
        <w:rPr>
          <w:rFonts w:ascii="Times New Roman" w:hAnsi="Times New Roman" w:cs="Times New Roman"/>
        </w:rPr>
      </w:pPr>
      <w:r w:rsidRPr="00173EE7">
        <w:rPr>
          <w:rFonts w:ascii="Times New Roman" w:hAnsi="Times New Roman" w:cs="Times New Roman"/>
        </w:rPr>
        <w:t xml:space="preserve">Evans, L., Rhodes, A., Alhazzani, W., Antonelli, M., Coopersmith, C. M., French, C., Machado, F. R., McIntyre, L., Ostermann, M., Prescott, H. C., Schorr, C., Simpson, S., </w:t>
      </w:r>
      <w:proofErr w:type="spellStart"/>
      <w:r w:rsidRPr="00173EE7">
        <w:rPr>
          <w:rFonts w:ascii="Times New Roman" w:hAnsi="Times New Roman" w:cs="Times New Roman"/>
        </w:rPr>
        <w:t>Wiersinga</w:t>
      </w:r>
      <w:proofErr w:type="spellEnd"/>
      <w:r w:rsidRPr="00173EE7">
        <w:rPr>
          <w:rFonts w:ascii="Times New Roman" w:hAnsi="Times New Roman" w:cs="Times New Roman"/>
        </w:rPr>
        <w:t xml:space="preserve">, W. J., </w:t>
      </w:r>
      <w:proofErr w:type="spellStart"/>
      <w:r w:rsidRPr="00173EE7">
        <w:rPr>
          <w:rFonts w:ascii="Times New Roman" w:hAnsi="Times New Roman" w:cs="Times New Roman"/>
        </w:rPr>
        <w:t>Alshamsi</w:t>
      </w:r>
      <w:proofErr w:type="spellEnd"/>
      <w:r w:rsidRPr="00173EE7">
        <w:rPr>
          <w:rFonts w:ascii="Times New Roman" w:hAnsi="Times New Roman" w:cs="Times New Roman"/>
        </w:rPr>
        <w:t xml:space="preserve">, F., Angus, D. C., Arabi, Y., Azevedo, L., Beale, R., Beilman, G., … Levy, M. (2021). Surviving sepsis campaign: International guidelines for management of sepsis and septic shock 2021. </w:t>
      </w:r>
      <w:r w:rsidRPr="00173EE7">
        <w:rPr>
          <w:rFonts w:ascii="Times New Roman" w:hAnsi="Times New Roman" w:cs="Times New Roman"/>
          <w:i/>
          <w:iCs/>
        </w:rPr>
        <w:t>Intensive Care Medicine, 47</w:t>
      </w:r>
      <w:r w:rsidRPr="00173EE7">
        <w:rPr>
          <w:rFonts w:ascii="Times New Roman" w:hAnsi="Times New Roman" w:cs="Times New Roman"/>
        </w:rPr>
        <w:t xml:space="preserve">(11), 1181–1247. </w:t>
      </w:r>
      <w:hyperlink r:id="rId4" w:tgtFrame="_new" w:history="1">
        <w:r w:rsidRPr="00173EE7">
          <w:rPr>
            <w:rStyle w:val="Hyperlink"/>
            <w:rFonts w:ascii="Times New Roman" w:hAnsi="Times New Roman" w:cs="Times New Roman"/>
          </w:rPr>
          <w:t>https://doi.org/10.1007/s00134-021-06506-y</w:t>
        </w:r>
      </w:hyperlink>
    </w:p>
    <w:p w14:paraId="0D4E4C9A" w14:textId="77777777" w:rsidR="00173EE7" w:rsidRPr="00173EE7" w:rsidRDefault="00173EE7" w:rsidP="00173EE7">
      <w:pPr>
        <w:spacing w:line="480" w:lineRule="auto"/>
        <w:rPr>
          <w:rFonts w:ascii="Times New Roman" w:hAnsi="Times New Roman" w:cs="Times New Roman"/>
        </w:rPr>
      </w:pPr>
      <w:r w:rsidRPr="00173EE7">
        <w:rPr>
          <w:rFonts w:ascii="Times New Roman" w:hAnsi="Times New Roman" w:cs="Times New Roman"/>
        </w:rPr>
        <w:t xml:space="preserve">Gameiro, J., Fonseca, J. A., Oliveira, J., &amp; Jorge, S. (2022). Acute kidney injury in sepsis: Pathophysiology and clinical implications. </w:t>
      </w:r>
      <w:r w:rsidRPr="00173EE7">
        <w:rPr>
          <w:rFonts w:ascii="Times New Roman" w:hAnsi="Times New Roman" w:cs="Times New Roman"/>
          <w:i/>
          <w:iCs/>
        </w:rPr>
        <w:t>Journal of Clinical Medicine, 11</w:t>
      </w:r>
      <w:r w:rsidRPr="00173EE7">
        <w:rPr>
          <w:rFonts w:ascii="Times New Roman" w:hAnsi="Times New Roman" w:cs="Times New Roman"/>
        </w:rPr>
        <w:t>(3), 734. https://doi.org/10.3390/jcm11030734</w:t>
      </w:r>
    </w:p>
    <w:p w14:paraId="463AC173" w14:textId="788C4863" w:rsidR="000203D2" w:rsidRPr="004A1364" w:rsidRDefault="00173EE7" w:rsidP="003F2C01">
      <w:pPr>
        <w:spacing w:line="480" w:lineRule="auto"/>
        <w:rPr>
          <w:rFonts w:ascii="Times New Roman" w:hAnsi="Times New Roman" w:cs="Times New Roman"/>
        </w:rPr>
      </w:pPr>
      <w:r w:rsidRPr="00173EE7">
        <w:rPr>
          <w:rFonts w:ascii="Times New Roman" w:hAnsi="Times New Roman" w:cs="Times New Roman"/>
        </w:rPr>
        <w:t xml:space="preserve">Sendak, M. P., D’Arcy, J., Kashyap, S., Gao, M., Nichols, M., Corey, K., Ratliff, W., &amp; Balu, S. (2022). A path for translation of machine learning products into healthcare delivery. </w:t>
      </w:r>
      <w:r w:rsidRPr="00173EE7">
        <w:rPr>
          <w:rFonts w:ascii="Times New Roman" w:hAnsi="Times New Roman" w:cs="Times New Roman"/>
          <w:i/>
          <w:iCs/>
        </w:rPr>
        <w:t>NPJ Digital Medicine, 5</w:t>
      </w:r>
      <w:r w:rsidRPr="00173EE7">
        <w:rPr>
          <w:rFonts w:ascii="Times New Roman" w:hAnsi="Times New Roman" w:cs="Times New Roman"/>
        </w:rPr>
        <w:t xml:space="preserve">(1), 45. </w:t>
      </w:r>
      <w:hyperlink r:id="rId5" w:tgtFrame="_new" w:history="1">
        <w:r w:rsidRPr="00173EE7">
          <w:rPr>
            <w:rStyle w:val="Hyperlink"/>
            <w:rFonts w:ascii="Times New Roman" w:hAnsi="Times New Roman" w:cs="Times New Roman"/>
          </w:rPr>
          <w:t>https://doi.org/10.1038/s41746-022-00589-7</w:t>
        </w:r>
      </w:hyperlink>
    </w:p>
    <w:sectPr w:rsidR="000203D2" w:rsidRPr="004A1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C3"/>
    <w:rsid w:val="000203D2"/>
    <w:rsid w:val="001619EB"/>
    <w:rsid w:val="00173EE7"/>
    <w:rsid w:val="003F2C01"/>
    <w:rsid w:val="004A1364"/>
    <w:rsid w:val="00530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67A3"/>
  <w15:chartTrackingRefBased/>
  <w15:docId w15:val="{FEE3E2FF-AC68-4DC6-BBA0-86C9C6B7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C01"/>
  </w:style>
  <w:style w:type="paragraph" w:styleId="Heading1">
    <w:name w:val="heading 1"/>
    <w:basedOn w:val="Normal"/>
    <w:next w:val="Normal"/>
    <w:link w:val="Heading1Char"/>
    <w:uiPriority w:val="9"/>
    <w:qFormat/>
    <w:rsid w:val="00530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DC3"/>
    <w:rPr>
      <w:rFonts w:eastAsiaTheme="majorEastAsia" w:cstheme="majorBidi"/>
      <w:color w:val="272727" w:themeColor="text1" w:themeTint="D8"/>
    </w:rPr>
  </w:style>
  <w:style w:type="paragraph" w:styleId="Title">
    <w:name w:val="Title"/>
    <w:basedOn w:val="Normal"/>
    <w:next w:val="Normal"/>
    <w:link w:val="TitleChar"/>
    <w:uiPriority w:val="10"/>
    <w:qFormat/>
    <w:rsid w:val="00530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DC3"/>
    <w:pPr>
      <w:spacing w:before="160"/>
      <w:jc w:val="center"/>
    </w:pPr>
    <w:rPr>
      <w:i/>
      <w:iCs/>
      <w:color w:val="404040" w:themeColor="text1" w:themeTint="BF"/>
    </w:rPr>
  </w:style>
  <w:style w:type="character" w:customStyle="1" w:styleId="QuoteChar">
    <w:name w:val="Quote Char"/>
    <w:basedOn w:val="DefaultParagraphFont"/>
    <w:link w:val="Quote"/>
    <w:uiPriority w:val="29"/>
    <w:rsid w:val="00530DC3"/>
    <w:rPr>
      <w:i/>
      <w:iCs/>
      <w:color w:val="404040" w:themeColor="text1" w:themeTint="BF"/>
    </w:rPr>
  </w:style>
  <w:style w:type="paragraph" w:styleId="ListParagraph">
    <w:name w:val="List Paragraph"/>
    <w:basedOn w:val="Normal"/>
    <w:uiPriority w:val="34"/>
    <w:qFormat/>
    <w:rsid w:val="00530DC3"/>
    <w:pPr>
      <w:ind w:left="720"/>
      <w:contextualSpacing/>
    </w:pPr>
  </w:style>
  <w:style w:type="character" w:styleId="IntenseEmphasis">
    <w:name w:val="Intense Emphasis"/>
    <w:basedOn w:val="DefaultParagraphFont"/>
    <w:uiPriority w:val="21"/>
    <w:qFormat/>
    <w:rsid w:val="00530DC3"/>
    <w:rPr>
      <w:i/>
      <w:iCs/>
      <w:color w:val="0F4761" w:themeColor="accent1" w:themeShade="BF"/>
    </w:rPr>
  </w:style>
  <w:style w:type="paragraph" w:styleId="IntenseQuote">
    <w:name w:val="Intense Quote"/>
    <w:basedOn w:val="Normal"/>
    <w:next w:val="Normal"/>
    <w:link w:val="IntenseQuoteChar"/>
    <w:uiPriority w:val="30"/>
    <w:qFormat/>
    <w:rsid w:val="00530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DC3"/>
    <w:rPr>
      <w:i/>
      <w:iCs/>
      <w:color w:val="0F4761" w:themeColor="accent1" w:themeShade="BF"/>
    </w:rPr>
  </w:style>
  <w:style w:type="character" w:styleId="IntenseReference">
    <w:name w:val="Intense Reference"/>
    <w:basedOn w:val="DefaultParagraphFont"/>
    <w:uiPriority w:val="32"/>
    <w:qFormat/>
    <w:rsid w:val="00530DC3"/>
    <w:rPr>
      <w:b/>
      <w:bCs/>
      <w:smallCaps/>
      <w:color w:val="0F4761" w:themeColor="accent1" w:themeShade="BF"/>
      <w:spacing w:val="5"/>
    </w:rPr>
  </w:style>
  <w:style w:type="character" w:styleId="Hyperlink">
    <w:name w:val="Hyperlink"/>
    <w:basedOn w:val="DefaultParagraphFont"/>
    <w:uiPriority w:val="99"/>
    <w:unhideWhenUsed/>
    <w:rsid w:val="00173EE7"/>
    <w:rPr>
      <w:color w:val="467886" w:themeColor="hyperlink"/>
      <w:u w:val="single"/>
    </w:rPr>
  </w:style>
  <w:style w:type="character" w:styleId="UnresolvedMention">
    <w:name w:val="Unresolved Mention"/>
    <w:basedOn w:val="DefaultParagraphFont"/>
    <w:uiPriority w:val="99"/>
    <w:semiHidden/>
    <w:unhideWhenUsed/>
    <w:rsid w:val="00173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38/s41746-022-00589-7" TargetMode="External"/><Relationship Id="rId4" Type="http://schemas.openxmlformats.org/officeDocument/2006/relationships/hyperlink" Target="https://doi.org/10.1007/s00134-021-06506-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Florentin Degbo</dc:creator>
  <cp:keywords/>
  <dc:description/>
  <cp:lastModifiedBy>Florentin Degbo</cp:lastModifiedBy>
  <cp:revision>4</cp:revision>
  <dcterms:created xsi:type="dcterms:W3CDTF">2026-03-01T01:12:00Z</dcterms:created>
  <dcterms:modified xsi:type="dcterms:W3CDTF">2026-03-01T01:58:00Z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8bfa0fd8-8a85-4499-8f82-d72b88a0e577</vt:lpwstr>
  </property>
</Properties>
</file>