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6E1423"/>
          <w:sz w:val="36"/>
          <w:szCs w:val="36"/>
        </w:rPr>
        <w:t xml:space="preserve">CareerPath AI — Paper vs. System Diagnosis</w:t>
      </w:r>
    </w:p>
    <w:p>
      <w:pPr>
        <w:spacing w:after="400"/>
      </w:pPr>
      <w:r>
        <w:rPr>
          <w:i/>
          <w:iCs/>
          <w:color w:val="666666"/>
        </w:rPr>
        <w:t xml:space="preserve">Defense prep notes — compiled from a chat-based review comparing IT5-FINAL PAPER.pdf against the live codebase. September 17, 2026.</w:t>
      </w:r>
    </w:p>
    <w:p>
      <w:pPr>
        <w:pStyle w:val="Heading1"/>
        <w:spacing w:after="160" w:before="320"/>
      </w:pPr>
      <w:r>
        <w:t xml:space="preserve">Purpose</w:t>
      </w:r>
    </w:p>
    <w:p>
      <w:pPr>
        <w:spacing w:after="120"/>
      </w:pPr>
      <w:r>
        <w:t xml:space="preserve">This document captures every discrepancy found between the capstone paper (IT5-FINAL PAPER.pdf, Chapter III system design section, pages 39-50) and the actual CareerPath AI system as built, so the paper can be corrected accurately before defense. Nothing in the live system has been changed based on this review — these are paper-text corrections only, unless noted otherwise.</w:t>
      </w:r>
    </w:p>
    <w:p>
      <w:pPr>
        <w:pStyle w:val="Heading1"/>
        <w:spacing w:after="160" w:before="320"/>
      </w:pPr>
      <w:r>
        <w:t xml:space="preserve">Summary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600"/>
      </w:tblGrid>
      <w:tr>
        <w:tc>
          <w:tcPr>
            <w:tcW w:type="dxa" w:w="3600"/>
          </w:tcPr>
          <w:p>
            <w:r>
              <w:rPr>
                <w:b w:val="false"/>
                <w:bCs w:val="false"/>
              </w:rPr>
              <w:t xml:space="preserve">Issue</w:t>
            </w:r>
          </w:p>
        </w:tc>
        <w:tc>
          <w:tcPr>
            <w:tcW w:type="dxa" w:w="2600"/>
          </w:tcPr>
          <w:p>
            <w:r>
              <w:rPr>
                <w:b w:val="false"/>
                <w:bCs w:val="false"/>
              </w:rPr>
              <w:t xml:space="preserve">Where in Paper</w:t>
            </w:r>
          </w:p>
        </w:tc>
        <w:tc>
          <w:tcPr>
            <w:tcW w:type="dxa" w:w="2600"/>
          </w:tcPr>
          <w:p>
            <w:r>
              <w:rPr>
                <w:b/>
                <w:bCs/>
              </w:rPr>
              <w:t xml:space="preserve">Status</w:t>
            </w:r>
          </w:p>
        </w:tc>
      </w:tr>
      <w:tr>
        <w:tc>
          <w:tcPr>
            <w:tcW w:type="dxa" w:w="3600"/>
          </w:tcPr>
          <w:p>
            <w:r>
              <w:rPr>
                <w:b w:val="false"/>
                <w:bCs w:val="false"/>
              </w:rPr>
              <w:t xml:space="preserve">PESO/DOLE local crawler</w:t>
            </w:r>
          </w:p>
        </w:tc>
        <w:tc>
          <w:tcPr>
            <w:tcW w:type="dxa" w:w="2600"/>
          </w:tcPr>
          <w:p>
            <w:r>
              <w:rPr>
                <w:b w:val="false"/>
                <w:bCs w:val="false"/>
              </w:rPr>
              <w:t xml:space="preserve">Context Diagram, DFD</w:t>
            </w:r>
          </w:p>
        </w:tc>
        <w:tc>
          <w:tcPr>
            <w:tcW w:type="dxa" w:w="2600"/>
          </w:tcPr>
          <w:p>
            <w:r>
              <w:rPr>
                <w:b/>
                <w:bCs/>
                <w:color w:val="1E7B34"/>
              </w:rPr>
              <w:t xml:space="preserve">Already correct — no action needed</w:t>
            </w:r>
          </w:p>
        </w:tc>
      </w:tr>
      <w:tr>
        <w:tc>
          <w:tcPr>
            <w:tcW w:type="dxa" w:w="3600"/>
          </w:tcPr>
          <w:p>
            <w:r>
              <w:rPr>
                <w:b w:val="false"/>
                <w:bCs w:val="false"/>
              </w:rPr>
              <w:t xml:space="preserve">AI provider (OpenAI/GPT vs Gemini)</w:t>
            </w:r>
          </w:p>
        </w:tc>
        <w:tc>
          <w:tcPr>
            <w:tcW w:type="dxa" w:w="2600"/>
          </w:tcPr>
          <w:p>
            <w:r>
              <w:rPr>
                <w:b w:val="false"/>
                <w:bCs w:val="false"/>
              </w:rPr>
              <w:t xml:space="preserve">Context Diagram, DFD, Use Case, Architecture, Flowchart</w:t>
            </w:r>
          </w:p>
        </w:tc>
        <w:tc>
          <w:tcPr>
            <w:tcW w:type="dxa" w:w="2600"/>
          </w:tcPr>
          <w:p>
            <w:r>
              <w:rPr>
                <w:b/>
                <w:bCs/>
                <w:color w:val="C00000"/>
              </w:rPr>
              <w:t xml:space="preserve">System correct — paper wording needs updating</w:t>
            </w:r>
          </w:p>
        </w:tc>
      </w:tr>
      <w:tr>
        <w:tc>
          <w:tcPr>
            <w:tcW w:type="dxa" w:w="3600"/>
          </w:tcPr>
          <w:p>
            <w:r>
              <w:rPr>
                <w:b w:val="false"/>
                <w:bCs w:val="false"/>
              </w:rPr>
              <w:t xml:space="preserve">International sourcing (LinkedIn/ISCO vs O*NET/Adzuna/RemoteOK)</w:t>
            </w:r>
          </w:p>
        </w:tc>
        <w:tc>
          <w:tcPr>
            <w:tcW w:type="dxa" w:w="2600"/>
          </w:tcPr>
          <w:p>
            <w:r>
              <w:rPr>
                <w:b w:val="false"/>
                <w:bCs w:val="false"/>
              </w:rPr>
              <w:t xml:space="preserve">Context Diagram + Data Collection Method section</w:t>
            </w:r>
          </w:p>
        </w:tc>
        <w:tc>
          <w:tcPr>
            <w:tcW w:type="dxa" w:w="2600"/>
          </w:tcPr>
          <w:p>
            <w:r>
              <w:rPr>
                <w:b/>
                <w:bCs/>
                <w:color w:val="C00000"/>
              </w:rPr>
              <w:t xml:space="preserve">System correct (and stronger) — paper wording needs updating</w:t>
            </w:r>
          </w:p>
        </w:tc>
      </w:tr>
      <w:tr>
        <w:tc>
          <w:tcPr>
            <w:tcW w:type="dxa" w:w="3600"/>
          </w:tcPr>
          <w:p>
            <w:r>
              <w:rPr>
                <w:b w:val="false"/>
                <w:bCs w:val="false"/>
              </w:rPr>
              <w:t xml:space="preserve">SCCT / CIP theory claims</w:t>
            </w:r>
          </w:p>
        </w:tc>
        <w:tc>
          <w:tcPr>
            <w:tcW w:type="dxa" w:w="2600"/>
          </w:tcPr>
          <w:p>
            <w:r>
              <w:rPr>
                <w:b w:val="false"/>
                <w:bCs w:val="false"/>
              </w:rPr>
              <w:t xml:space="preserve">DFD (P3), Theoretical Framework, Conceptual Framework</w:t>
            </w:r>
          </w:p>
        </w:tc>
        <w:tc>
          <w:tcPr>
            <w:tcW w:type="dxa" w:w="2600"/>
          </w:tcPr>
          <w:p>
            <w:r>
              <w:rPr>
                <w:b/>
                <w:bCs/>
                <w:color w:val="B8860B"/>
              </w:rPr>
              <w:t xml:space="preserve">Reflected indirectly via real features — needs a prepared explanation, not a code fix</w:t>
            </w:r>
          </w:p>
        </w:tc>
      </w:tr>
      <w:tr>
        <w:tc>
          <w:tcPr>
            <w:tcW w:type="dxa" w:w="3600"/>
          </w:tcPr>
          <w:p>
            <w:r>
              <w:rPr>
                <w:b w:val="false"/>
                <w:bCs w:val="false"/>
              </w:rPr>
              <w:t xml:space="preserve">"RIASEC score refresh via OpenAI GPT"</w:t>
            </w:r>
          </w:p>
        </w:tc>
        <w:tc>
          <w:tcPr>
            <w:tcW w:type="dxa" w:w="2600"/>
          </w:tcPr>
          <w:p>
            <w:r>
              <w:rPr>
                <w:b w:val="false"/>
                <w:bCs w:val="false"/>
              </w:rPr>
              <w:t xml:space="preserve">System Flowchart, Use Case Diagram</w:t>
            </w:r>
          </w:p>
        </w:tc>
        <w:tc>
          <w:tcPr>
            <w:tcW w:type="dxa" w:w="2600"/>
          </w:tcPr>
          <w:p>
            <w:r>
              <w:rPr>
                <w:b/>
                <w:bCs/>
                <w:color w:val="B8860B"/>
              </w:rPr>
              <w:t xml:space="preserve">No exact matching feature exists yet — needs wording fix or a small feature</w:t>
            </w:r>
          </w:p>
        </w:tc>
      </w:tr>
    </w:tbl>
    <w:p>
      <w:pPr>
        <w:spacing w:after="200"/>
      </w:pPr>
    </w:p>
    <w:p>
      <w:pPr>
        <w:pStyle w:val="Heading1"/>
        <w:spacing w:after="160" w:before="320"/>
      </w:pPr>
      <w:r>
        <w:t xml:space="preserve">1. PESO / DOLE Local Career Data — Already Correct</w:t>
      </w:r>
    </w:p>
    <w:p>
      <w:pPr>
        <w:spacing w:after="120"/>
      </w:pPr>
      <w:r>
        <w:t xml:space="preserve">Confirmed working as described. crawler/crawler.py scrapes PhilJobNet (philjobnet.gov.ph) — DOLE's Bureau of Local Employment portal that powers the PESO Employment Information System. It is wired directly into the admin Career Review page (php/careers.php) as a one-click "PhilJobNet (Philippines — no setup needed)" crawl option, and everything it finds is staged in pending_careers, requiring counselor/administrator approval before entering the live career database — matching the paper's described pending-review workflow exactly.</w:t>
      </w:r>
    </w:p>
    <w:p>
      <w:pPr>
        <w:spacing w:after="100"/>
      </w:pPr>
      <w:r>
        <w:rPr>
          <w:b/>
          <w:bCs/>
          <w:color w:val="000000"/>
        </w:rPr>
        <w:t xml:space="preserve">Action needed: </w:t>
      </w:r>
      <w:r>
        <w:t xml:space="preserve">None. This part of the paper is accurate.</w:t>
      </w:r>
    </w:p>
    <w:p>
      <w:pPr>
        <w:pStyle w:val="Heading1"/>
        <w:spacing w:after="160" w:before="320"/>
      </w:pPr>
      <w:r>
        <w:t xml:space="preserve">2. AI Provider — Paper says OpenAI/GPT-5.5, system uses Google Gemini</w:t>
      </w:r>
    </w:p>
    <w:p>
      <w:pPr>
        <w:spacing w:after="120"/>
      </w:pPr>
      <w:r>
        <w:t xml:space="preserve">The paper names OpenAI's GPT-5.5 model as the AI service in five separate places. The live matching-service (matching-service/app.py) exclusively integrates Google's Gemini API (model: gemini-3.5-flash-lite, via the google-genai SDK). There is no OpenAI integration anywhere in the codebase. This appears to be a deliberate switch made after the paper's system-design chapter was written (likely for cost/access reasons — Gemini has a more generous free tier), that was never carried back into the paper text.</w:t>
      </w:r>
    </w:p>
    <w:p>
      <w:pPr>
        <w:pStyle w:val="Heading2"/>
        <w:spacing w:after="120" w:before="260"/>
      </w:pPr>
      <w:r>
        <w:t xml:space="preserve">2.1 Context Diagram (page 40) — first paragraph</w:t>
      </w:r>
    </w:p>
    <w:p>
      <w:pPr>
        <w:spacing w:after="100"/>
      </w:pPr>
      <w:r>
        <w:rPr>
          <w:b/>
          <w:bCs/>
          <w:color w:val="000000"/>
        </w:rPr>
        <w:t xml:space="preserve">Original: </w:t>
      </w:r>
      <w:r>
        <w:t xml:space="preserve"/>
      </w:r>
    </w:p>
    <w:p>
      <w:pPr>
        <w:pBdr>
          <w:left w:val="single" w:color="AAAAAA" w:sz="12" w:space="8"/>
        </w:pBdr>
        <w:spacing w:after="160"/>
        <w:ind w:left="431"/>
      </w:pPr>
      <w:r>
        <w:rPr>
          <w:i/>
          <w:iCs/>
          <w:color w:val="666666"/>
        </w:rPr>
        <w:t xml:space="preserve">"...as well as its integration with the OpenAI API (GPT-5.5 model) and the automated Web Crawler module that collects career data from Philippine government job portals including PESO and DOLE...international career knowledge is provided through the OpenAI API (GPT-5.5 model), whose training data encompasses globally recognized occupational roles and international labor market trends."</w:t>
      </w:r>
    </w:p>
    <w:p>
      <w:pPr>
        <w:spacing w:after="100"/>
      </w:pPr>
      <w:r>
        <w:rPr>
          <w:b/>
          <w:bCs/>
          <w:color w:val="000000"/>
        </w:rPr>
        <w:t xml:space="preserve">Suggested replacement: </w:t>
      </w:r>
      <w:r>
        <w:t xml:space="preserve"/>
      </w:r>
    </w:p>
    <w:p>
      <w:pPr>
        <w:pBdr>
          <w:left w:val="single" w:color="AAAAAA" w:sz="12" w:space="8"/>
        </w:pBdr>
        <w:spacing w:after="160"/>
        <w:ind w:left="431"/>
      </w:pPr>
      <w:r>
        <w:rPr>
          <w:i/>
          <w:iCs/>
          <w:color w:val="666666"/>
        </w:rPr>
        <w:t xml:space="preserve">"...as well as its integration with the Google Gemini API (Gemini 3.5 model) and the automated Web Crawler module that collects career data from Philippine government job portals including PESO and DOLE. The web crawler is scoped to Philippine government portals (PESO and DOLE) for local postings; international career coverage is provided through three dedicated live data sources — the U.S. Department of Labor's O*NET Web Services (the same official standard this system's RIASEC assessment is based on), and the Adzuna and RemoteOK public job-listing APIs — with the Gemini API used afterward only to polish and standardize the wording of descriptions pulled from these sources, the same role it plays for local PESO/DOLE postings."</w:t>
      </w:r>
    </w:p>
    <w:p>
      <w:pPr>
        <w:pStyle w:val="Heading2"/>
        <w:spacing w:after="120" w:before="260"/>
      </w:pPr>
      <w:r>
        <w:t xml:space="preserve">2.2 Context Diagram (page 41) — second paragraph</w:t>
      </w:r>
    </w:p>
    <w:p>
      <w:pPr>
        <w:spacing w:after="100"/>
      </w:pPr>
      <w:r>
        <w:rPr>
          <w:b/>
          <w:bCs/>
          <w:color w:val="000000"/>
        </w:rPr>
        <w:t xml:space="preserve">Original: </w:t>
      </w:r>
      <w:r>
        <w:t xml:space="preserve"/>
      </w:r>
    </w:p>
    <w:p>
      <w:pPr>
        <w:pBdr>
          <w:left w:val="single" w:color="AAAAAA" w:sz="12" w:space="8"/>
        </w:pBdr>
        <w:spacing w:after="160"/>
        <w:ind w:left="431"/>
      </w:pPr>
      <w:r>
        <w:rPr>
          <w:i/>
          <w:iCs/>
          <w:color w:val="666666"/>
        </w:rPr>
        <w:t xml:space="preserve">"...the system establishes two-way integration with external technical services, connecting to the OpenAI API for the GPT-5.5 Model External AIService, alongside an automated Web Crawler module designated as 'Beautifu Soup Madulk PISO DOLC Portas'..."</w:t>
      </w:r>
    </w:p>
    <w:p>
      <w:pPr>
        <w:spacing w:after="100"/>
      </w:pPr>
      <w:r>
        <w:rPr>
          <w:b/>
          <w:bCs/>
          <w:color w:val="000000"/>
        </w:rPr>
        <w:t xml:space="preserve">Suggested replacement: </w:t>
      </w:r>
      <w:r>
        <w:t xml:space="preserve"/>
      </w:r>
    </w:p>
    <w:p>
      <w:pPr>
        <w:pBdr>
          <w:left w:val="single" w:color="AAAAAA" w:sz="12" w:space="8"/>
        </w:pBdr>
        <w:spacing w:after="160"/>
        <w:ind w:left="431"/>
      </w:pPr>
      <w:r>
        <w:rPr>
          <w:i/>
          <w:iCs/>
          <w:color w:val="666666"/>
        </w:rPr>
        <w:t xml:space="preserve">"...the system establishes two-way integration with external technical services, connecting to the Google Gemini API for the Gemini 3.5 Model External AI Service, alongside four automated data-collection modules: a BeautifulSoup-based web crawler targeting PhilJobNet/PESO/DOLE, and three API clients (O*NET, Adzuna, RemoteOK) covering international postings."</w:t>
      </w:r>
    </w:p>
    <w:p>
      <w:pPr>
        <w:spacing w:after="120"/>
      </w:pPr>
      <w:r>
        <w:rPr>
          <w:i/>
          <w:iCs/>
          <w:color w:val="666666"/>
        </w:rPr>
        <w:t xml:space="preserve">Note: the original also contains an apparent OCR/typo artifact ("Beautifu Soup Madulk PISO DOLC Portas") that should be cleaned up regardless of the AI-provider fix.</w:t>
      </w:r>
    </w:p>
    <w:p>
      <w:pPr>
        <w:pStyle w:val="Heading2"/>
        <w:spacing w:after="120" w:before="260"/>
      </w:pPr>
      <w:r>
        <w:t xml:space="preserve">2.3 Data Flow Diagram, Process P5 (page 42)</w:t>
      </w:r>
    </w:p>
    <w:p>
      <w:pPr>
        <w:spacing w:after="100"/>
      </w:pPr>
      <w:r>
        <w:rPr>
          <w:b/>
          <w:bCs/>
          <w:color w:val="000000"/>
        </w:rPr>
        <w:t xml:space="preserve">Original: </w:t>
      </w:r>
      <w:r>
        <w:t xml:space="preserve"/>
      </w:r>
    </w:p>
    <w:p>
      <w:pPr>
        <w:pBdr>
          <w:left w:val="single" w:color="AAAAAA" w:sz="12" w:space="8"/>
        </w:pBdr>
        <w:spacing w:after="160"/>
        <w:ind w:left="431"/>
      </w:pPr>
      <w:r>
        <w:rPr>
          <w:i/>
          <w:iCs/>
          <w:color w:val="666666"/>
        </w:rPr>
        <w:t xml:space="preserve">"...The matched data moves to P5 (Generate AI Descriptions GPT), which queries and receives data back from the OpenAI API (GPT) while also feeding processed information into DS2..."</w:t>
      </w:r>
    </w:p>
    <w:p>
      <w:pPr>
        <w:spacing w:after="100"/>
      </w:pPr>
      <w:r>
        <w:rPr>
          <w:b/>
          <w:bCs/>
          <w:color w:val="000000"/>
        </w:rPr>
        <w:t xml:space="preserve">Suggested replacement: </w:t>
      </w:r>
      <w:r>
        <w:t xml:space="preserve"/>
      </w:r>
    </w:p>
    <w:p>
      <w:pPr>
        <w:pBdr>
          <w:left w:val="single" w:color="AAAAAA" w:sz="12" w:space="8"/>
        </w:pBdr>
        <w:spacing w:after="160"/>
        <w:ind w:left="431"/>
      </w:pPr>
      <w:r>
        <w:rPr>
          <w:i/>
          <w:iCs/>
          <w:color w:val="666666"/>
        </w:rPr>
        <w:t xml:space="preserve">"...The matched data moves to P5 (Generate AI Descriptions), which queries and receives data back from the Gemini API while also feeding processed information into DS2..."</w:t>
      </w:r>
    </w:p>
    <w:p>
      <w:pPr>
        <w:pStyle w:val="Heading2"/>
        <w:spacing w:after="120" w:before="260"/>
      </w:pPr>
      <w:r>
        <w:t xml:space="preserve">2.4 Use Case Diagram (page 44)</w:t>
      </w:r>
    </w:p>
    <w:p>
      <w:pPr>
        <w:spacing w:after="100"/>
      </w:pPr>
      <w:r>
        <w:rPr>
          <w:b/>
          <w:bCs/>
          <w:color w:val="000000"/>
        </w:rPr>
        <w:t xml:space="preserve">Original: </w:t>
      </w:r>
      <w:r>
        <w:t xml:space="preserve"/>
      </w:r>
    </w:p>
    <w:p>
      <w:pPr>
        <w:pBdr>
          <w:left w:val="single" w:color="AAAAAA" w:sz="12" w:space="8"/>
        </w:pBdr>
        <w:spacing w:after="160"/>
        <w:ind w:left="431"/>
      </w:pPr>
      <w:r>
        <w:rPr>
          <w:i/>
          <w:iCs/>
          <w:color w:val="666666"/>
        </w:rPr>
        <w:t xml:space="preserve">"...reviewing crawled career data, generating AI career descriptions via GPT, and triggering RIASEC score refreshes."</w:t>
      </w:r>
    </w:p>
    <w:p>
      <w:pPr>
        <w:spacing w:after="100"/>
      </w:pPr>
      <w:r>
        <w:rPr>
          <w:b/>
          <w:bCs/>
          <w:color w:val="000000"/>
        </w:rPr>
        <w:t xml:space="preserve">Suggested replacement (AI-provider part only): </w:t>
      </w:r>
      <w:r>
        <w:t xml:space="preserve"/>
      </w:r>
    </w:p>
    <w:p>
      <w:pPr>
        <w:pBdr>
          <w:left w:val="single" w:color="AAAAAA" w:sz="12" w:space="8"/>
        </w:pBdr>
        <w:spacing w:after="160"/>
        <w:ind w:left="431"/>
      </w:pPr>
      <w:r>
        <w:rPr>
          <w:i/>
          <w:iCs/>
          <w:color w:val="666666"/>
        </w:rPr>
        <w:t xml:space="preserve">"...reviewing crawled career data, generating AI career descriptions via Gemini, and [see Section 4.2 below for the 'RIASEC score refresh' phrase]."</w:t>
      </w:r>
    </w:p>
    <w:p>
      <w:pPr>
        <w:pStyle w:val="Heading2"/>
        <w:spacing w:after="120" w:before="260"/>
      </w:pPr>
      <w:r>
        <w:t xml:space="preserve">2.5 System Architecture Diagram (page 45)</w:t>
      </w:r>
    </w:p>
    <w:p>
      <w:pPr>
        <w:spacing w:after="100"/>
      </w:pPr>
      <w:r>
        <w:rPr>
          <w:b/>
          <w:bCs/>
          <w:color w:val="000000"/>
        </w:rPr>
        <w:t xml:space="preserve">Original: </w:t>
      </w:r>
      <w:r>
        <w:t xml:space="preserve"/>
      </w:r>
    </w:p>
    <w:p>
      <w:pPr>
        <w:pBdr>
          <w:left w:val="single" w:color="AAAAAA" w:sz="12" w:space="8"/>
        </w:pBdr>
        <w:spacing w:after="160"/>
        <w:ind w:left="431"/>
      </w:pPr>
      <w:r>
        <w:rPr>
          <w:i/>
          <w:iCs/>
          <w:color w:val="666666"/>
        </w:rPr>
        <w:t xml:space="preserve">"...Layer 3 (AI &amp; Data), which encompasses the OpenAI API (GPT) for description enrichment, a MySQL v8.0 database managing career and user data..."</w:t>
      </w:r>
    </w:p>
    <w:p>
      <w:pPr>
        <w:spacing w:after="100"/>
      </w:pPr>
      <w:r>
        <w:rPr>
          <w:b/>
          <w:bCs/>
          <w:color w:val="000000"/>
        </w:rPr>
        <w:t xml:space="preserve">Suggested replacement: </w:t>
      </w:r>
      <w:r>
        <w:t xml:space="preserve"/>
      </w:r>
    </w:p>
    <w:p>
      <w:pPr>
        <w:pBdr>
          <w:left w:val="single" w:color="AAAAAA" w:sz="12" w:space="8"/>
        </w:pBdr>
        <w:spacing w:after="160"/>
        <w:ind w:left="431"/>
      </w:pPr>
      <w:r>
        <w:rPr>
          <w:i/>
          <w:iCs/>
          <w:color w:val="666666"/>
        </w:rPr>
        <w:t xml:space="preserve">"...Layer 3 (AI &amp; Data), which encompasses the Google Gemini API (Gemini 3.5) for description enrichment, a MySQL v8.0 database managing career and user data..."</w:t>
      </w:r>
    </w:p>
    <w:p>
      <w:pPr>
        <w:pStyle w:val="Heading2"/>
        <w:spacing w:after="120" w:before="260"/>
      </w:pPr>
      <w:r>
        <w:t xml:space="preserve">2.6 System Flowchart (page 47)</w:t>
      </w:r>
    </w:p>
    <w:p>
      <w:pPr>
        <w:spacing w:after="100"/>
      </w:pPr>
      <w:r>
        <w:rPr>
          <w:b/>
          <w:bCs/>
          <w:color w:val="000000"/>
        </w:rPr>
        <w:t xml:space="preserve">Original: </w:t>
      </w:r>
      <w:r>
        <w:t xml:space="preserve"/>
      </w:r>
    </w:p>
    <w:p>
      <w:pPr>
        <w:pBdr>
          <w:left w:val="single" w:color="AAAAAA" w:sz="12" w:space="8"/>
        </w:pBdr>
        <w:spacing w:after="160"/>
        <w:ind w:left="431"/>
      </w:pPr>
      <w:r>
        <w:rPr>
          <w:i/>
          <w:iCs/>
          <w:color w:val="666666"/>
        </w:rPr>
        <w:t xml:space="preserve">"...routing to Generate AI Career Descriptions (GPT Enrichment) if online, or utilizing Use Local DB (Fallback) if offline..."</w:t>
      </w:r>
    </w:p>
    <w:p>
      <w:pPr>
        <w:spacing w:after="100"/>
      </w:pPr>
      <w:r>
        <w:rPr>
          <w:b/>
          <w:bCs/>
          <w:color w:val="000000"/>
        </w:rPr>
        <w:t xml:space="preserve">Suggested replacement: </w:t>
      </w:r>
      <w:r>
        <w:t xml:space="preserve"/>
      </w:r>
    </w:p>
    <w:p>
      <w:pPr>
        <w:pBdr>
          <w:left w:val="single" w:color="AAAAAA" w:sz="12" w:space="8"/>
        </w:pBdr>
        <w:spacing w:after="160"/>
        <w:ind w:left="431"/>
      </w:pPr>
      <w:r>
        <w:rPr>
          <w:i/>
          <w:iCs/>
          <w:color w:val="666666"/>
        </w:rPr>
        <w:t xml:space="preserve">"...routing to Generate AI Career Descriptions (Gemini Enrichment) if online, or utilizing Use Local DB (Fallback) if offline..."</w:t>
      </w:r>
    </w:p>
    <w:p>
      <w:pPr>
        <w:spacing w:after="100"/>
      </w:pPr>
      <w:r>
        <w:rPr>
          <w:b/>
          <w:bCs/>
          <w:color w:val="000000"/>
        </w:rPr>
        <w:t xml:space="preserve">Action needed: </w:t>
      </w:r>
      <w:r>
        <w:t xml:space="preserve">Update all six locations above. The system itself needs no change — Gemini is already fully working.</w:t>
      </w:r>
    </w:p>
    <w:p>
      <w:pPr>
        <w:pStyle w:val="Heading1"/>
        <w:spacing w:after="160" w:before="320"/>
      </w:pPr>
      <w:r>
        <w:t xml:space="preserve">3. International Career Data Sourcing — LinkedIn/ISCO claimed, not built; O*NET/Adzuna/RemoteOK actually built</w:t>
      </w:r>
    </w:p>
    <w:p>
      <w:pPr>
        <w:spacing w:after="120"/>
      </w:pPr>
      <w:r>
        <w:t xml:space="preserve">Beyond the AI-provider issue, two paragraphs from the paper's Data Collection Method section (flagged in the pasted screenshots) claim data sources that were never implemented:</w:t>
      </w:r>
    </w:p>
    <w:p>
      <w:pPr>
        <w:pStyle w:val="ListParagraph"/>
        <w:numPr>
          <w:ilvl w:val="0"/>
          <w:numId w:val="1"/>
        </w:numPr>
        <w:spacing w:after="80"/>
      </w:pPr>
      <w:r>
        <w:t xml:space="preserve">"LinkedIn's publicly available job role information" — not implemented anywhere in the code. Deliberately avoided: LinkedIn's Terms of Service prohibit scraping and it actively fights it with bot-detection, so the team chose not to build this rather than ship something fragile and against a platform's ToS.</w:t>
      </w:r>
    </w:p>
    <w:p>
      <w:pPr>
        <w:pStyle w:val="ListParagraph"/>
        <w:numPr>
          <w:ilvl w:val="0"/>
          <w:numId w:val="1"/>
        </w:numPr>
        <w:spacing w:after="80"/>
      </w:pPr>
      <w:r>
        <w:t xml:space="preserve">"the ILO ISCO framework" — not implemented anywhere in the code. ISCO is a classification taxonomy, not a live data source with an API to pull postings from.</w:t>
      </w:r>
    </w:p>
    <w:p>
      <w:pPr>
        <w:spacing w:after="120"/>
      </w:pPr>
      <w:r>
        <w:t xml:space="preserve">What is actually implemented instead, confirmed in the codebase, is three dedicated live-API clients — crawler/onet_client.py (O*NET, US Dept. of Labor's official occupation database — the same standard the RIASEC assessment itself is built on), crawler/adzuna_client.py (Adzuna's public jobs API, live postings across several countries), and crawler/remoteok_client.py (RemoteOK's public API, live remote postings). Each writes into the same pending_careers staging table as the local crawler, tagged by data_source/country, and goes through the same counselor/admin approval flow. Per crawler.py's own header comment, these were "added after panel feedback that the system needed non-PH requirements too" — i.e. this is a real, deliberate upgrade the paper's Data Collection Method section hasn't caught up to yet.</w:t>
      </w:r>
    </w:p>
    <w:p>
      <w:pPr>
        <w:pStyle w:val="Heading2"/>
        <w:spacing w:after="120" w:before="260"/>
      </w:pPr>
      <w:r>
        <w:t xml:space="preserve">3.1 Data Collection Method section — highlighted paragraph</w:t>
      </w:r>
    </w:p>
    <w:p>
      <w:pPr>
        <w:spacing w:after="100"/>
      </w:pPr>
      <w:r>
        <w:rPr>
          <w:b/>
          <w:bCs/>
          <w:color w:val="000000"/>
        </w:rPr>
        <w:t xml:space="preserve">Original (as pasted from the reviewed draft): </w:t>
      </w:r>
      <w:r>
        <w:t xml:space="preserve"/>
      </w:r>
    </w:p>
    <w:p>
      <w:pPr>
        <w:pBdr>
          <w:left w:val="single" w:color="AAAAAA" w:sz="12" w:space="8"/>
        </w:pBdr>
        <w:spacing w:after="160"/>
        <w:ind w:left="431"/>
      </w:pPr>
      <w:r>
        <w:rPr>
          <w:i/>
          <w:iCs/>
          <w:color w:val="666666"/>
        </w:rPr>
        <w:t xml:space="preserve">"An automated web crawling module built with BeautifulSoup is also integrated into the back-end to periodically collect career data from PESO and DOLE government portals, as well as from international career resources including the ILO ISCO framework, O*NET OnLine, and LinkedIn's publicly available job role information, broadening the career database to cover global occupational trends."</w:t>
      </w:r>
    </w:p>
    <w:p>
      <w:pPr>
        <w:spacing w:after="100"/>
      </w:pPr>
      <w:r>
        <w:rPr>
          <w:b/>
          <w:bCs/>
          <w:color w:val="000000"/>
        </w:rPr>
        <w:t xml:space="preserve">Suggested replacement: </w:t>
      </w:r>
      <w:r>
        <w:t xml:space="preserve"/>
      </w:r>
    </w:p>
    <w:p>
      <w:pPr>
        <w:pBdr>
          <w:left w:val="single" w:color="AAAAAA" w:sz="12" w:space="8"/>
        </w:pBdr>
        <w:spacing w:after="160"/>
        <w:ind w:left="431"/>
      </w:pPr>
      <w:r>
        <w:rPr>
          <w:i/>
          <w:iCs/>
          <w:color w:val="666666"/>
        </w:rPr>
        <w:t xml:space="preserve">"An automated web crawling module built with BeautifulSoup is integrated into the back-end to periodically collect local career data from PESO and DOLE government portals via PhilJobNet. International coverage is broadened through three dedicated live-data API clients — O*NET OnLine (the U.S. Department of Labor's official occupational database), Adzuna, and RemoteOK — each feeding the same pending-review queue as the local crawler, ensuring the career database covers global occupational trends using verifiable, currently accurate sources rather than relying on a language model's training data alone."</w:t>
      </w:r>
    </w:p>
    <w:p>
      <w:pPr>
        <w:spacing w:after="100"/>
      </w:pPr>
      <w:r>
        <w:rPr>
          <w:b/>
          <w:bCs/>
          <w:color w:val="000000"/>
        </w:rPr>
        <w:t xml:space="preserve">Action needed: </w:t>
      </w:r>
      <w:r>
        <w:t xml:space="preserve">Update this paragraph and the matching Context Diagram sentence (Section 2.1 above already covers this same fix). The system is not just correct here — it's a stronger design than what the paper currently claims, since it uses ToS-compliant live data instead of scraping a site that forbids it.</w:t>
      </w:r>
    </w:p>
    <w:p>
      <w:pPr>
        <w:pStyle w:val="Heading1"/>
        <w:spacing w:after="160" w:before="320"/>
      </w:pPr>
      <w:r>
        <w:t xml:space="preserve">4. Items to Discuss With the Team Before Editing (not simple wording swaps)</w:t>
      </w:r>
    </w:p>
    <w:p>
      <w:pPr>
        <w:pStyle w:val="Heading2"/>
        <w:spacing w:after="120" w:before="260"/>
      </w:pPr>
      <w:r>
        <w:t xml:space="preserve">4.1 SCCT / CIP Theoretical Framework</w:t>
      </w:r>
    </w:p>
    <w:p>
      <w:pPr>
        <w:spacing w:after="120"/>
      </w:pPr>
      <w:r>
        <w:t xml:space="preserve">The paper's DFD (Process P3) and Theoretical/Conceptual Framework sections state that Social Cognitive Career Theory (SCCT) and Cognitive Information Processing (CIP) Theory are both applied alongside RIASEC. There is no code literally implementing "SCCT" or "CIP" as named logic anywhere in the system — only RIASEC cosine-similarity scoring is directly computed.</w:t>
      </w:r>
    </w:p>
    <w:p>
      <w:pPr>
        <w:spacing w:after="120"/>
      </w:pPr>
      <w:r>
        <w:t xml:space="preserve">However, this is not necessarily inaccurate — theories commonly justify design decisions without being literal named modules. Two real features do map to what the paper says SCCT contributes (self-efficacy / bridging the skills gap):</w:t>
      </w:r>
    </w:p>
    <w:p>
      <w:pPr>
        <w:pStyle w:val="ListParagraph"/>
        <w:numPr>
          <w:ilvl w:val="0"/>
          <w:numId w:val="1"/>
        </w:numPr>
        <w:spacing w:after="80"/>
      </w:pPr>
      <w:r>
        <w:t xml:space="preserve">The skills-match feature ("which required skills you already meet, and which to work on") — this is literally the "learning path that bridges current skills to career goals" concept the paper attributes to SCCT.</w:t>
      </w:r>
    </w:p>
    <w:p>
      <w:pPr>
        <w:pStyle w:val="ListParagraph"/>
        <w:numPr>
          <w:ilvl w:val="0"/>
          <w:numId w:val="1"/>
        </w:numPr>
        <w:spacing w:after="80"/>
      </w:pPr>
      <w:r>
        <w:t xml:space="preserve">The "Why this match?" trait-explainability feature — shows students which traits drove their result instead of a bare score, which is the confidence/self-efficacy angle SCCT is about.</w:t>
      </w:r>
    </w:p>
    <w:p>
      <w:pPr>
        <w:pStyle w:val="ListParagraph"/>
        <w:numPr>
          <w:ilvl w:val="0"/>
          <w:numId w:val="1"/>
        </w:numPr>
        <w:spacing w:after="80"/>
      </w:pPr>
      <w:r>
        <w:t xml:space="preserve">The AI-generated commentary on results — personalized, encouraging text tied to the student's own profile.</w:t>
      </w:r>
    </w:p>
    <w:p>
      <w:pPr>
        <w:spacing w:after="120"/>
      </w:pPr>
      <w:r>
        <w:t xml:space="preserve">No code maps cleanly to CIP Theory specifically (the "structural logic for organizing career information" framing) beyond the general system architecture — this one may need more team discussion or a softer framing in the paper (e.g., describing CIP as the organizing principle behind the overall data pipeline, rather than a discrete process).</w:t>
      </w:r>
    </w:p>
    <w:p>
      <w:pPr>
        <w:spacing w:after="100"/>
      </w:pPr>
      <w:r>
        <w:rPr>
          <w:b/>
          <w:bCs/>
          <w:color w:val="000000"/>
        </w:rPr>
        <w:t xml:space="preserve">Action needed: </w:t>
      </w:r>
      <w:r>
        <w:t xml:space="preserve">Team decision: either (a) soften the DFD/Framework wording to describe SCCT/CIP as design influences rather than discrete computed processes, or (b) prepare a clear verbal explanation for defense pointing to the skills-match and explainability features as the SCCT implementation. Not a code change.</w:t>
      </w:r>
    </w:p>
    <w:p>
      <w:pPr>
        <w:pStyle w:val="Heading2"/>
        <w:spacing w:after="120" w:before="260"/>
      </w:pPr>
      <w:r>
        <w:t xml:space="preserve">4.2 "One-click RIASEC score refresh via OpenAI GPT" (Flowchart, page 47; also referenced in Use Case Diagram, page 44)</w:t>
      </w:r>
    </w:p>
    <w:p>
      <w:pPr>
        <w:spacing w:after="120"/>
      </w:pPr>
      <w:r>
        <w:t xml:space="preserve">No feature in the live system matches this description exactly. The closest real features are:</w:t>
      </w:r>
    </w:p>
    <w:p>
      <w:pPr>
        <w:pStyle w:val="ListParagraph"/>
        <w:numPr>
          <w:ilvl w:val="0"/>
          <w:numId w:val="1"/>
        </w:numPr>
        <w:spacing w:after="80"/>
      </w:pPr>
      <w:r>
        <w:t xml:space="preserve">A per-pending-career "Retry AI enrichment" button on php/careers.php (re-runs Gemini enrichment on a single staged career posting).</w:t>
      </w:r>
    </w:p>
    <w:p>
      <w:pPr>
        <w:pStyle w:val="ListParagraph"/>
        <w:numPr>
          <w:ilvl w:val="0"/>
          <w:numId w:val="1"/>
        </w:numPr>
        <w:spacing w:after="80"/>
      </w:pPr>
      <w:r>
        <w:t xml:space="preserve">On-demand AI career insights on php/career_profile.php (generates a fresh Gemini-written insight for any approved career when a counselor/admin/student views it).</w:t>
      </w:r>
    </w:p>
    <w:p>
      <w:pPr>
        <w:spacing w:after="120"/>
      </w:pPr>
      <w:r>
        <w:t xml:space="preserve">Neither is literally a "RIASEC score refresh" — RIASEC scores themselves are computed directly from a student's own 42 answers via cosine similarity, not regenerated by AI.</w:t>
      </w:r>
    </w:p>
    <w:p>
      <w:pPr>
        <w:spacing w:after="100"/>
      </w:pPr>
      <w:r>
        <w:rPr>
          <w:b/>
          <w:bCs/>
          <w:color w:val="000000"/>
        </w:rPr>
        <w:t xml:space="preserve">Action needed: </w:t>
      </w:r>
      <w:r>
        <w:t xml:space="preserve">Team decision: either (a) reword the Flowchart/Use Case phrase to describe the real features above (AI-assisted career description refresh, not RIASEC score refresh), or (b) if the team wants this exact capability to exist, it would need to be built as a new, small feature. Recommend (a) given the defense timeline.</w:t>
      </w:r>
    </w:p>
    <w:p>
      <w:pPr>
        <w:pStyle w:val="Heading1"/>
        <w:spacing w:after="160" w:before="320"/>
      </w:pPr>
      <w:r>
        <w:t xml:space="preserve">5. Confirmed NOT an Issue — For Reference</w:t>
      </w:r>
    </w:p>
    <w:p>
      <w:pPr>
        <w:spacing w:after="120"/>
      </w:pPr>
      <w:r>
        <w:t xml:space="preserve">Checked and found to already match the paper with no action needed:</w:t>
      </w:r>
    </w:p>
    <w:p>
      <w:pPr>
        <w:pStyle w:val="ListParagraph"/>
        <w:numPr>
          <w:ilvl w:val="0"/>
          <w:numId w:val="1"/>
        </w:numPr>
        <w:spacing w:after="80"/>
      </w:pPr>
      <w:r>
        <w:t xml:space="preserve">Matching engine: paper says "Hybrid Matching Engine (Scikit-learn Cosine Similarity)" — matches the live mean-centered cosine (Pearson-style) similarity computation in matching-service/app.py.</w:t>
      </w:r>
    </w:p>
    <w:p>
      <w:pPr>
        <w:pStyle w:val="ListParagraph"/>
        <w:numPr>
          <w:ilvl w:val="0"/>
          <w:numId w:val="1"/>
        </w:numPr>
        <w:spacing w:after="80"/>
      </w:pPr>
      <w:r>
        <w:t xml:space="preserve">Tech stack: Apache/XAMPP, PHP 8.x, Python Flask microservice, MySQL — all match the paper's System Architecture Diagram description.</w:t>
      </w:r>
    </w:p>
    <w:p>
      <w:pPr>
        <w:pStyle w:val="ListParagraph"/>
        <w:numPr>
          <w:ilvl w:val="0"/>
          <w:numId w:val="1"/>
        </w:numPr>
        <w:spacing w:after="80"/>
      </w:pPr>
      <w:r>
        <w:t xml:space="preserve">Pending-review + approval workflow: matches the paper's stated design for both local and international crawled data.</w:t>
      </w:r>
    </w:p>
    <w:p>
      <w:pPr>
        <w:spacing w:after="200"/>
      </w:pPr>
    </w:p>
    <w:p>
      <w:r>
        <w:rPr>
          <w:i/>
          <w:iCs/>
          <w:color w:val="666666"/>
          <w:sz w:val="18"/>
          <w:szCs w:val="18"/>
        </w:rPr>
        <w:t xml:space="preserve">End of notes. Source: IT5-FINAL PAPER.pdf (74 pages, Chapters I-III) cross-checked against the live careerpath-ai-mvp codebase, git commit 5579f64.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2026-09-17T13:31:01.410Z</dcterms:created>
  <dcterms:modified xsi:type="dcterms:W3CDTF">2026-09-17T13:31:01.410Z</dcterms:modified>
</cp:coreProperties>
</file>

<file path=docProps/custom.xml><?xml version="1.0" encoding="utf-8"?>
<Properties xmlns="http://schemas.openxmlformats.org/officeDocument/2006/custom-properties" xmlns:vt="http://schemas.openxmlformats.org/officeDocument/2006/docPropsVTypes"/>
</file>