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ezft6rvmh3w" w:id="0"/>
      <w:bookmarkEnd w:id="0"/>
      <w:r w:rsidDel="00000000" w:rsidR="00000000" w:rsidRPr="00000000">
        <w:rPr>
          <w:rtl w:val="0"/>
        </w:rPr>
        <w:t xml:space="preserve">GraphProtDeep</w:t>
      </w:r>
    </w:p>
    <w:p w:rsidR="00000000" w:rsidDel="00000000" w:rsidP="00000000" w:rsidRDefault="00000000" w:rsidRPr="00000000" w14:paraId="00000001">
      <w:pPr>
        <w:pStyle w:val="Subtitle"/>
        <w:contextualSpacing w:val="0"/>
        <w:rPr/>
      </w:pPr>
      <w:bookmarkStart w:colFirst="0" w:colLast="0" w:name="_iti6p19hjwuh" w:id="1"/>
      <w:bookmarkEnd w:id="1"/>
      <w:r w:rsidDel="00000000" w:rsidR="00000000" w:rsidRPr="00000000">
        <w:rPr>
          <w:rtl w:val="0"/>
        </w:rPr>
        <w:t xml:space="preserve">Project overview</w:t>
      </w:r>
    </w:p>
    <w:p w:rsidR="00000000" w:rsidDel="00000000" w:rsidP="00000000" w:rsidRDefault="00000000" w:rsidRPr="00000000" w14:paraId="00000002">
      <w:pPr>
        <w:pStyle w:val="Heading1"/>
        <w:contextualSpacing w:val="0"/>
        <w:rPr/>
      </w:pPr>
      <w:bookmarkStart w:colFirst="0" w:colLast="0" w:name="_49lfkd2mroks" w:id="2"/>
      <w:bookmarkEnd w:id="2"/>
      <w:r w:rsidDel="00000000" w:rsidR="00000000" w:rsidRPr="00000000">
        <w:rPr>
          <w:rtl w:val="0"/>
        </w:rPr>
        <w:t xml:space="preserve">GraphProtDeep Model Specificity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2qpsrtsrcvxn" w:id="3"/>
      <w:bookmarkEnd w:id="3"/>
      <w:r w:rsidDel="00000000" w:rsidR="00000000" w:rsidRPr="00000000">
        <w:rPr>
          <w:rtl w:val="0"/>
        </w:rPr>
        <w:t xml:space="preserve">Literature</w:t>
      </w:r>
    </w:p>
    <w:p w:rsidR="00000000" w:rsidDel="00000000" w:rsidP="00000000" w:rsidRDefault="00000000" w:rsidRPr="00000000" w14:paraId="00000005">
      <w:pPr>
        <w:pStyle w:val="Heading2"/>
        <w:contextualSpacing w:val="0"/>
        <w:rPr/>
      </w:pPr>
      <w:bookmarkStart w:colFirst="0" w:colLast="0" w:name="_ggha2yagxau7" w:id="4"/>
      <w:bookmarkEnd w:id="4"/>
      <w:r w:rsidDel="00000000" w:rsidR="00000000" w:rsidRPr="00000000">
        <w:rPr>
          <w:rtl w:val="0"/>
        </w:rPr>
        <w:t xml:space="preserve">Overviews of Proteins and Binding Preferences</w:t>
      </w:r>
    </w:p>
    <w:p w:rsidR="00000000" w:rsidDel="00000000" w:rsidP="00000000" w:rsidRDefault="00000000" w:rsidRPr="00000000" w14:paraId="00000006">
      <w:pPr>
        <w:pStyle w:val="Heading3"/>
        <w:contextualSpacing w:val="0"/>
        <w:rPr/>
      </w:pPr>
      <w:bookmarkStart w:colFirst="0" w:colLast="0" w:name="_rgngzy29htnn" w:id="5"/>
      <w:bookmarkEnd w:id="5"/>
      <w:r w:rsidDel="00000000" w:rsidR="00000000" w:rsidRPr="00000000">
        <w:rPr>
          <w:rtl w:val="0"/>
        </w:rPr>
        <w:t xml:space="preserve">Paper: Sequence, Structure, and Context Preferences of Human RNA Binding Proteins, Molecular Cell 2018</w:t>
      </w:r>
    </w:p>
    <w:p w:rsidR="00000000" w:rsidDel="00000000" w:rsidP="00000000" w:rsidRDefault="00000000" w:rsidRPr="00000000" w14:paraId="00000007">
      <w:pPr>
        <w:ind w:left="0" w:firstLine="0"/>
        <w:contextualSpacing w:val="0"/>
        <w:rPr/>
      </w:pPr>
      <w:hyperlink r:id="rId6">
        <w:r w:rsidDel="00000000" w:rsidR="00000000" w:rsidRPr="00000000">
          <w:rPr>
            <w:color w:val="1155cc"/>
            <w:u w:val="single"/>
            <w:rtl w:val="0"/>
          </w:rPr>
          <w:t xml:space="preserve">(Dominguez et al. 2018)</w:t>
        </w:r>
      </w:hyperlink>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14mxy144nb1a" w:id="6"/>
      <w:bookmarkEnd w:id="6"/>
      <w:r w:rsidDel="00000000" w:rsidR="00000000" w:rsidRPr="00000000">
        <w:rPr>
          <w:rtl w:val="0"/>
        </w:rPr>
        <w:t xml:space="preserve">Paper: Deciphering human ribonucleoprotein regulatory networks, BioArXiv 2018</w:t>
      </w:r>
    </w:p>
    <w:p w:rsidR="00000000" w:rsidDel="00000000" w:rsidP="00000000" w:rsidRDefault="00000000" w:rsidRPr="00000000" w14:paraId="00000009">
      <w:pPr>
        <w:ind w:left="0" w:firstLine="0"/>
        <w:contextualSpacing w:val="0"/>
        <w:rPr/>
      </w:pPr>
      <w:hyperlink r:id="rId7">
        <w:r w:rsidDel="00000000" w:rsidR="00000000" w:rsidRPr="00000000">
          <w:rPr>
            <w:color w:val="1155cc"/>
            <w:u w:val="single"/>
            <w:rtl w:val="0"/>
          </w:rPr>
          <w:t xml:space="preserve">(Mukherjee et al. 2018)</w:t>
        </w:r>
      </w:hyperlink>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Thorough i</w:t>
      </w:r>
      <w:r w:rsidDel="00000000" w:rsidR="00000000" w:rsidRPr="00000000">
        <w:rPr>
          <w:rtl w:val="0"/>
        </w:rPr>
        <w:t xml:space="preserve">nvestigation of binding preferences of 64 RBPs. They reanalysed many PAR-CLIP experiments and after quality control kept 114 of 173 libraries corresponding to 64 RBPs.</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Figure 2 shows a nice clustering of sequence binding preferences. See </w:t>
      </w:r>
      <w:hyperlink r:id="rId8">
        <w:r w:rsidDel="00000000" w:rsidR="00000000" w:rsidRPr="00000000">
          <w:rPr>
            <w:color w:val="1155cc"/>
            <w:u w:val="single"/>
            <w:rtl w:val="0"/>
          </w:rPr>
          <w:t xml:space="preserve">this table</w:t>
        </w:r>
      </w:hyperlink>
      <w:r w:rsidDel="00000000" w:rsidR="00000000" w:rsidRPr="00000000">
        <w:rPr>
          <w:rtl w:val="0"/>
        </w:rPr>
        <w:t xml:space="preserve"> for an overview of the clustered data and dataset availability. Good for selecting proteins from different sequence specificity clusters when checking that models are specific to the protein of interest and not just the technical bias.</w:t>
      </w:r>
    </w:p>
    <w:p w:rsidR="00000000" w:rsidDel="00000000" w:rsidP="00000000" w:rsidRDefault="00000000" w:rsidRPr="00000000" w14:paraId="0000000E">
      <w:pPr>
        <w:pStyle w:val="Heading2"/>
        <w:contextualSpacing w:val="0"/>
        <w:rPr/>
      </w:pPr>
      <w:bookmarkStart w:colFirst="0" w:colLast="0" w:name="_sms95qy6drql" w:id="7"/>
      <w:bookmarkEnd w:id="7"/>
      <w:r w:rsidDel="00000000" w:rsidR="00000000" w:rsidRPr="00000000">
        <w:rPr>
          <w:rtl w:val="0"/>
        </w:rPr>
        <w:t xml:space="preserve">RBP Sequence and Structure Preferences</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SSMART: “RNA  motif  finder  that  simultaneously  models  the  primary sequence and the structural properties of the RNA targets sites”</w:t>
      </w:r>
    </w:p>
    <w:p w:rsidR="00000000" w:rsidDel="00000000" w:rsidP="00000000" w:rsidRDefault="00000000" w:rsidRPr="00000000" w14:paraId="00000010">
      <w:pPr>
        <w:numPr>
          <w:ilvl w:val="1"/>
          <w:numId w:val="4"/>
        </w:numPr>
        <w:ind w:left="1440" w:hanging="360"/>
        <w:rPr>
          <w:u w:val="none"/>
        </w:rPr>
      </w:pPr>
      <w:hyperlink r:id="rId9">
        <w:r w:rsidDel="00000000" w:rsidR="00000000" w:rsidRPr="00000000">
          <w:rPr>
            <w:color w:val="1155cc"/>
            <w:u w:val="single"/>
            <w:rtl w:val="0"/>
          </w:rPr>
          <w:t xml:space="preserve">(Munteanu et al. 2018)</w:t>
        </w:r>
      </w:hyperlink>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hpwi6kl1um29" w:id="8"/>
      <w:bookmarkEnd w:id="8"/>
      <w:r w:rsidDel="00000000" w:rsidR="00000000" w:rsidRPr="00000000">
        <w:rPr>
          <w:rtl w:val="0"/>
        </w:rPr>
        <w:t xml:space="preserve">Deep Learning Approaches</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r:id="rId10">
        <w:r w:rsidDel="00000000" w:rsidR="00000000" w:rsidRPr="00000000">
          <w:rPr>
            <w:color w:val="1155cc"/>
            <w:u w:val="single"/>
            <w:rtl w:val="0"/>
          </w:rPr>
          <w:t xml:space="preserve">(Alipanahi et al. 2015)</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11">
        <w:r w:rsidDel="00000000" w:rsidR="00000000" w:rsidRPr="00000000">
          <w:rPr>
            <w:color w:val="1155cc"/>
            <w:u w:val="single"/>
            <w:rtl w:val="0"/>
          </w:rPr>
          <w:t xml:space="preserve">(Zhang et al. 2016)</w:t>
        </w:r>
      </w:hyperlink>
      <w:r w:rsidDel="00000000" w:rsidR="00000000" w:rsidRPr="00000000">
        <w:rPr>
          <w:rtl w:val="0"/>
        </w:rPr>
      </w:r>
    </w:p>
    <w:p w:rsidR="00000000" w:rsidDel="00000000" w:rsidP="00000000" w:rsidRDefault="00000000" w:rsidRPr="00000000" w14:paraId="00000014">
      <w:pPr>
        <w:numPr>
          <w:ilvl w:val="0"/>
          <w:numId w:val="3"/>
        </w:numPr>
        <w:ind w:left="720" w:hanging="360"/>
        <w:rPr/>
      </w:pPr>
      <w:hyperlink r:id="rId12">
        <w:r w:rsidDel="00000000" w:rsidR="00000000" w:rsidRPr="00000000">
          <w:rPr>
            <w:color w:val="1155cc"/>
            <w:u w:val="single"/>
            <w:rtl w:val="0"/>
          </w:rPr>
          <w:t xml:space="preserve">(Gandhi 2017)</w:t>
        </w:r>
      </w:hyperlink>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hyperlink r:id="rId13">
        <w:r w:rsidDel="00000000" w:rsidR="00000000" w:rsidRPr="00000000">
          <w:rPr>
            <w:color w:val="1155cc"/>
            <w:u w:val="single"/>
            <w:rtl w:val="0"/>
          </w:rPr>
          <w:t xml:space="preserve">(Li et al. 2017)</w:t>
        </w:r>
      </w:hyperlink>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hyperlink r:id="rId14">
        <w:r w:rsidDel="00000000" w:rsidR="00000000" w:rsidRPr="00000000">
          <w:rPr>
            <w:color w:val="1155cc"/>
            <w:u w:val="single"/>
            <w:rtl w:val="0"/>
          </w:rPr>
          <w:t xml:space="preserve">(Pan and Shen 2017)</w:t>
        </w:r>
      </w:hyperlink>
      <w:r w:rsidDel="00000000" w:rsidR="00000000" w:rsidRPr="00000000">
        <w:rPr>
          <w:rtl w:val="0"/>
        </w:rPr>
      </w:r>
    </w:p>
    <w:p w:rsidR="00000000" w:rsidDel="00000000" w:rsidP="00000000" w:rsidRDefault="00000000" w:rsidRPr="00000000" w14:paraId="00000017">
      <w:pPr>
        <w:numPr>
          <w:ilvl w:val="0"/>
          <w:numId w:val="3"/>
        </w:numPr>
        <w:ind w:left="720" w:hanging="360"/>
        <w:rPr/>
      </w:pPr>
      <w:hyperlink r:id="rId15">
        <w:r w:rsidDel="00000000" w:rsidR="00000000" w:rsidRPr="00000000">
          <w:rPr>
            <w:color w:val="1155cc"/>
            <w:u w:val="single"/>
            <w:rtl w:val="0"/>
          </w:rPr>
          <w:t xml:space="preserve">(Pan et al. 2018)</w:t>
        </w:r>
      </w:hyperlink>
      <w:r w:rsidDel="00000000" w:rsidR="00000000" w:rsidRPr="00000000">
        <w:rPr>
          <w:rtl w:val="0"/>
        </w:rPr>
      </w:r>
    </w:p>
    <w:p w:rsidR="00000000" w:rsidDel="00000000" w:rsidP="00000000" w:rsidRDefault="00000000" w:rsidRPr="00000000" w14:paraId="00000018">
      <w:pPr>
        <w:numPr>
          <w:ilvl w:val="0"/>
          <w:numId w:val="3"/>
        </w:numPr>
        <w:ind w:left="720" w:hanging="360"/>
        <w:rPr/>
      </w:pPr>
      <w:hyperlink r:id="rId16">
        <w:r w:rsidDel="00000000" w:rsidR="00000000" w:rsidRPr="00000000">
          <w:rPr>
            <w:color w:val="1155cc"/>
            <w:u w:val="single"/>
            <w:rtl w:val="0"/>
          </w:rPr>
          <w:t xml:space="preserve">(Busia et al. 2018)</w:t>
        </w:r>
      </w:hyperlink>
      <w:r w:rsidDel="00000000" w:rsidR="00000000" w:rsidRPr="00000000">
        <w:rPr>
          <w:rtl w:val="0"/>
        </w:rPr>
      </w:r>
    </w:p>
    <w:p w:rsidR="00000000" w:rsidDel="00000000" w:rsidP="00000000" w:rsidRDefault="00000000" w:rsidRPr="00000000" w14:paraId="00000019">
      <w:pPr>
        <w:numPr>
          <w:ilvl w:val="0"/>
          <w:numId w:val="3"/>
        </w:numPr>
        <w:ind w:left="720" w:hanging="360"/>
        <w:rPr/>
      </w:pPr>
      <w:hyperlink r:id="rId17">
        <w:r w:rsidDel="00000000" w:rsidR="00000000" w:rsidRPr="00000000">
          <w:rPr>
            <w:color w:val="1155cc"/>
            <w:u w:val="single"/>
            <w:rtl w:val="0"/>
          </w:rPr>
          <w:t xml:space="preserve">(Pan and Shen 2018)</w:t>
        </w:r>
      </w:hyperlink>
      <w:r w:rsidDel="00000000" w:rsidR="00000000" w:rsidRPr="00000000">
        <w:rPr>
          <w:rtl w:val="0"/>
        </w:rPr>
      </w:r>
    </w:p>
    <w:p w:rsidR="00000000" w:rsidDel="00000000" w:rsidP="00000000" w:rsidRDefault="00000000" w:rsidRPr="00000000" w14:paraId="0000001A">
      <w:pPr>
        <w:numPr>
          <w:ilvl w:val="0"/>
          <w:numId w:val="3"/>
        </w:numPr>
        <w:ind w:left="720" w:hanging="360"/>
        <w:rPr/>
      </w:pPr>
      <w:hyperlink r:id="rId18">
        <w:r w:rsidDel="00000000" w:rsidR="00000000" w:rsidRPr="00000000">
          <w:rPr>
            <w:color w:val="1155cc"/>
            <w:u w:val="single"/>
            <w:rtl w:val="0"/>
          </w:rPr>
          <w:t xml:space="preserve">(Pan and Shen 2018)</w:t>
        </w:r>
      </w:hyperlink>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hyperlink r:id="rId19">
        <w:r w:rsidDel="00000000" w:rsidR="00000000" w:rsidRPr="00000000">
          <w:rPr>
            <w:color w:val="1155cc"/>
            <w:u w:val="single"/>
            <w:rtl w:val="0"/>
          </w:rPr>
          <w:t xml:space="preserve">(Ko o et al. 2018)</w:t>
        </w:r>
      </w:hyperlink>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Zheng, J. </w:t>
      </w:r>
      <w:r w:rsidDel="00000000" w:rsidR="00000000" w:rsidRPr="00000000">
        <w:rPr>
          <w:i w:val="1"/>
          <w:rtl w:val="0"/>
        </w:rPr>
        <w:t xml:space="preserve">et al.</w:t>
      </w:r>
      <w:r w:rsidDel="00000000" w:rsidR="00000000" w:rsidRPr="00000000">
        <w:rPr>
          <w:rtl w:val="0"/>
        </w:rPr>
        <w:t xml:space="preserve"> Deep-RBPPred: Predicting RNA binding proteins in the proteome scale based on deep learning. </w:t>
      </w:r>
      <w:r w:rsidDel="00000000" w:rsidR="00000000" w:rsidRPr="00000000">
        <w:rPr>
          <w:i w:val="1"/>
          <w:rtl w:val="0"/>
        </w:rPr>
        <w:t xml:space="preserve">Sci. Rep.</w:t>
      </w:r>
      <w:r w:rsidDel="00000000" w:rsidR="00000000" w:rsidRPr="00000000">
        <w:rPr>
          <w:rtl w:val="0"/>
        </w:rPr>
        <w:t xml:space="preserve"> </w:t>
      </w:r>
      <w:r w:rsidDel="00000000" w:rsidR="00000000" w:rsidRPr="00000000">
        <w:rPr>
          <w:b w:val="1"/>
          <w:rtl w:val="0"/>
        </w:rPr>
        <w:t xml:space="preserve">8,</w:t>
      </w:r>
      <w:r w:rsidDel="00000000" w:rsidR="00000000" w:rsidRPr="00000000">
        <w:rPr>
          <w:rtl w:val="0"/>
        </w:rPr>
        <w:t xml:space="preserve"> 15264 (2018). </w:t>
      </w:r>
      <w:hyperlink r:id="rId20">
        <w:r w:rsidDel="00000000" w:rsidR="00000000" w:rsidRPr="00000000">
          <w:rPr>
            <w:color w:val="1155cc"/>
            <w:u w:val="single"/>
            <w:rtl w:val="0"/>
          </w:rPr>
          <w:t xml:space="preserve">(Zheng et al. 2018)</w:t>
        </w:r>
      </w:hyperlink>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Identifies RNA-binding proteins, not their targets.</w:t>
      </w: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fg03wtl9dbz2" w:id="9"/>
      <w:bookmarkEnd w:id="9"/>
      <w:r w:rsidDel="00000000" w:rsidR="00000000" w:rsidRPr="00000000">
        <w:rPr>
          <w:rtl w:val="0"/>
        </w:rPr>
        <w:t xml:space="preserve">Integrative Approaches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Eggeling, R. Disentangling transcription factor binding site complexity. </w:t>
      </w:r>
      <w:r w:rsidDel="00000000" w:rsidR="00000000" w:rsidRPr="00000000">
        <w:rPr>
          <w:i w:val="1"/>
          <w:rtl w:val="0"/>
        </w:rPr>
        <w:t xml:space="preserve">Nucleic Acids Res.</w:t>
      </w:r>
      <w:r w:rsidDel="00000000" w:rsidR="00000000" w:rsidRPr="00000000">
        <w:rPr>
          <w:rtl w:val="0"/>
        </w:rPr>
        <w:t xml:space="preserve"> (2018). doi:10.1093/nar/gky683 </w:t>
      </w:r>
      <w:hyperlink r:id="rId21">
        <w:r w:rsidDel="00000000" w:rsidR="00000000" w:rsidRPr="00000000">
          <w:rPr>
            <w:color w:val="1155cc"/>
            <w:u w:val="single"/>
            <w:rtl w:val="0"/>
          </w:rPr>
          <w:t xml:space="preserve">(Eggeling 2018)</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Mukherjee, N. </w:t>
      </w:r>
      <w:r w:rsidDel="00000000" w:rsidR="00000000" w:rsidRPr="00000000">
        <w:rPr>
          <w:i w:val="1"/>
          <w:rtl w:val="0"/>
        </w:rPr>
        <w:t xml:space="preserve">et al.</w:t>
      </w:r>
      <w:r w:rsidDel="00000000" w:rsidR="00000000" w:rsidRPr="00000000">
        <w:rPr>
          <w:rtl w:val="0"/>
        </w:rPr>
        <w:t xml:space="preserve"> Deciphering human ribonucleoprotein regulatory networks. </w:t>
      </w:r>
      <w:r w:rsidDel="00000000" w:rsidR="00000000" w:rsidRPr="00000000">
        <w:rPr>
          <w:i w:val="1"/>
          <w:rtl w:val="0"/>
        </w:rPr>
        <w:t xml:space="preserve">bioRxiv</w:t>
      </w:r>
      <w:r w:rsidDel="00000000" w:rsidR="00000000" w:rsidRPr="00000000">
        <w:rPr>
          <w:rtl w:val="0"/>
        </w:rPr>
        <w:t xml:space="preserve"> 295097 (2018). doi:10.1101/295097 </w:t>
      </w:r>
      <w:hyperlink r:id="rId22">
        <w:r w:rsidDel="00000000" w:rsidR="00000000" w:rsidRPr="00000000">
          <w:rPr>
            <w:color w:val="1155cc"/>
            <w:u w:val="single"/>
            <w:rtl w:val="0"/>
          </w:rPr>
          <w:t xml:space="preserve">(Mukherjee et al. 2018)</w:t>
        </w:r>
      </w:hyperlink>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hqny66357zxv" w:id="10"/>
      <w:bookmarkEnd w:id="10"/>
      <w:r w:rsidDel="00000000" w:rsidR="00000000" w:rsidRPr="00000000">
        <w:rPr>
          <w:rtl w:val="0"/>
        </w:rPr>
        <w:t xml:space="preserve">Competing Approaches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Munteanu, A., Mukherjee, N. &amp; Ohler, U. SSMART: Sequence-structure motif identification for RNA-binding proteins. </w:t>
      </w:r>
      <w:r w:rsidDel="00000000" w:rsidR="00000000" w:rsidRPr="00000000">
        <w:rPr>
          <w:i w:val="1"/>
          <w:rtl w:val="0"/>
        </w:rPr>
        <w:t xml:space="preserve">Bioinformatics</w:t>
      </w:r>
      <w:r w:rsidDel="00000000" w:rsidR="00000000" w:rsidRPr="00000000">
        <w:rPr>
          <w:rtl w:val="0"/>
        </w:rPr>
        <w:t xml:space="preserve"> 287953 (2018).</w:t>
      </w:r>
      <w:hyperlink r:id="rId23">
        <w:r w:rsidDel="00000000" w:rsidR="00000000" w:rsidRPr="00000000">
          <w:rPr>
            <w:color w:val="1155cc"/>
            <w:u w:val="single"/>
            <w:rtl w:val="0"/>
          </w:rPr>
          <w:t xml:space="preserve">(Munteanu et al. 2018)</w:t>
        </w:r>
      </w:hyperlink>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p2rzfcxvmyby" w:id="11"/>
      <w:bookmarkEnd w:id="11"/>
      <w:r w:rsidDel="00000000" w:rsidR="00000000" w:rsidRPr="00000000">
        <w:rPr>
          <w:rtl w:val="0"/>
        </w:rPr>
        <w:t xml:space="preserve">Recent Overview</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Dominguez, D. </w:t>
      </w:r>
      <w:r w:rsidDel="00000000" w:rsidR="00000000" w:rsidRPr="00000000">
        <w:rPr>
          <w:i w:val="1"/>
          <w:rtl w:val="0"/>
        </w:rPr>
        <w:t xml:space="preserve">et al.</w:t>
      </w:r>
      <w:r w:rsidDel="00000000" w:rsidR="00000000" w:rsidRPr="00000000">
        <w:rPr>
          <w:rtl w:val="0"/>
        </w:rPr>
        <w:t xml:space="preserve"> Sequence, Structure, and Context Preferences of Human RNA Binding Proteins. </w:t>
      </w:r>
      <w:r w:rsidDel="00000000" w:rsidR="00000000" w:rsidRPr="00000000">
        <w:rPr>
          <w:i w:val="1"/>
          <w:rtl w:val="0"/>
        </w:rPr>
        <w:t xml:space="preserve">Mol. Cell</w:t>
      </w:r>
      <w:r w:rsidDel="00000000" w:rsidR="00000000" w:rsidRPr="00000000">
        <w:rPr>
          <w:rtl w:val="0"/>
        </w:rPr>
        <w:t xml:space="preserve"> </w:t>
      </w:r>
      <w:r w:rsidDel="00000000" w:rsidR="00000000" w:rsidRPr="00000000">
        <w:rPr>
          <w:b w:val="1"/>
          <w:rtl w:val="0"/>
        </w:rPr>
        <w:t xml:space="preserve">70,</w:t>
      </w:r>
      <w:r w:rsidDel="00000000" w:rsidR="00000000" w:rsidRPr="00000000">
        <w:rPr>
          <w:rtl w:val="0"/>
        </w:rPr>
        <w:t xml:space="preserve"> 854–867.e9 (2018). </w:t>
      </w:r>
      <w:hyperlink r:id="rId24">
        <w:r w:rsidDel="00000000" w:rsidR="00000000" w:rsidRPr="00000000">
          <w:rPr>
            <w:color w:val="1155cc"/>
            <w:u w:val="single"/>
            <w:rtl w:val="0"/>
          </w:rPr>
          <w:t xml:space="preserve">(Dominguez et al. 2018)</w:t>
        </w:r>
      </w:hyperlink>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c54y0jx42vmg" w:id="12"/>
      <w:bookmarkEnd w:id="12"/>
      <w:r w:rsidDel="00000000" w:rsidR="00000000" w:rsidRPr="00000000">
        <w:rPr>
          <w:rtl w:val="0"/>
        </w:rPr>
        <w:t xml:space="preserve">Other</w:t>
      </w:r>
      <w:r w:rsidDel="00000000" w:rsidR="00000000" w:rsidRPr="00000000">
        <w:rPr>
          <w:rtl w:val="0"/>
        </w:rPr>
        <w:t xml:space="preserve"> References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Experimental evidence that regulation by RBPs is specific to cell-type</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Yuan, Y. </w:t>
      </w:r>
      <w:r w:rsidDel="00000000" w:rsidR="00000000" w:rsidRPr="00000000">
        <w:rPr>
          <w:i w:val="1"/>
          <w:rtl w:val="0"/>
        </w:rPr>
        <w:t xml:space="preserve">et al.</w:t>
      </w:r>
      <w:r w:rsidDel="00000000" w:rsidR="00000000" w:rsidRPr="00000000">
        <w:rPr>
          <w:rtl w:val="0"/>
        </w:rPr>
        <w:t xml:space="preserve"> Cell type-specific CLIP reveals that NOVA regulates cytoskeleton interactions in motoneurons. </w:t>
      </w:r>
      <w:r w:rsidDel="00000000" w:rsidR="00000000" w:rsidRPr="00000000">
        <w:rPr>
          <w:i w:val="1"/>
          <w:rtl w:val="0"/>
        </w:rPr>
        <w:t xml:space="preserve">Genome Biol.</w:t>
      </w:r>
      <w:r w:rsidDel="00000000" w:rsidR="00000000" w:rsidRPr="00000000">
        <w:rPr>
          <w:rtl w:val="0"/>
        </w:rPr>
        <w:t xml:space="preserve"> </w:t>
      </w:r>
      <w:r w:rsidDel="00000000" w:rsidR="00000000" w:rsidRPr="00000000">
        <w:rPr>
          <w:b w:val="1"/>
          <w:rtl w:val="0"/>
        </w:rPr>
        <w:t xml:space="preserve">19,</w:t>
      </w:r>
      <w:r w:rsidDel="00000000" w:rsidR="00000000" w:rsidRPr="00000000">
        <w:rPr>
          <w:rtl w:val="0"/>
        </w:rPr>
        <w:t xml:space="preserve"> 117 (2018). </w:t>
      </w:r>
      <w:hyperlink r:id="rId25">
        <w:r w:rsidDel="00000000" w:rsidR="00000000" w:rsidRPr="00000000">
          <w:rPr>
            <w:color w:val="1155cc"/>
            <w:u w:val="single"/>
            <w:rtl w:val="0"/>
          </w:rPr>
          <w:t xml:space="preserve">(Yuan et al. 2018)</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c/1eMWMs/SQhR" TargetMode="External"/><Relationship Id="rId22" Type="http://schemas.openxmlformats.org/officeDocument/2006/relationships/hyperlink" Target="https://paperpile.com/c/1eMWMs/qaXe" TargetMode="External"/><Relationship Id="rId21" Type="http://schemas.openxmlformats.org/officeDocument/2006/relationships/hyperlink" Target="https://paperpile.com/c/1eMWMs/ytSY" TargetMode="External"/><Relationship Id="rId24" Type="http://schemas.openxmlformats.org/officeDocument/2006/relationships/hyperlink" Target="https://paperpile.com/c/1eMWMs/nvpA" TargetMode="External"/><Relationship Id="rId23" Type="http://schemas.openxmlformats.org/officeDocument/2006/relationships/hyperlink" Target="https://paperpile.com/c/1eMWMs/m26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1eMWMs/m26X" TargetMode="External"/><Relationship Id="rId25" Type="http://schemas.openxmlformats.org/officeDocument/2006/relationships/hyperlink" Target="https://paperpile.com/c/1eMWMs/HL69" TargetMode="External"/><Relationship Id="rId5" Type="http://schemas.openxmlformats.org/officeDocument/2006/relationships/styles" Target="styles.xml"/><Relationship Id="rId6" Type="http://schemas.openxmlformats.org/officeDocument/2006/relationships/hyperlink" Target="https://paperpile.com/c/1eMWMs/nvpA" TargetMode="External"/><Relationship Id="rId7" Type="http://schemas.openxmlformats.org/officeDocument/2006/relationships/hyperlink" Target="https://paperpile.com/c/1eMWMs/qaXe" TargetMode="External"/><Relationship Id="rId8" Type="http://schemas.openxmlformats.org/officeDocument/2006/relationships/hyperlink" Target="https://docs.google.com/spreadsheets/d/1rnm1pCWECogyhisJ5Ml471Cc7YPLiFIsBZECZVRN-7U/edit?usp=sharing" TargetMode="External"/><Relationship Id="rId11" Type="http://schemas.openxmlformats.org/officeDocument/2006/relationships/hyperlink" Target="https://paperpile.com/c/1eMWMs/sWLo" TargetMode="External"/><Relationship Id="rId10" Type="http://schemas.openxmlformats.org/officeDocument/2006/relationships/hyperlink" Target="https://paperpile.com/c/1eMWMs/NQ2V" TargetMode="External"/><Relationship Id="rId13" Type="http://schemas.openxmlformats.org/officeDocument/2006/relationships/hyperlink" Target="https://paperpile.com/c/1eMWMs/UPzT" TargetMode="External"/><Relationship Id="rId12" Type="http://schemas.openxmlformats.org/officeDocument/2006/relationships/hyperlink" Target="https://paperpile.com/c/1eMWMs/uGh9" TargetMode="External"/><Relationship Id="rId15" Type="http://schemas.openxmlformats.org/officeDocument/2006/relationships/hyperlink" Target="https://paperpile.com/c/1eMWMs/0aYR" TargetMode="External"/><Relationship Id="rId14" Type="http://schemas.openxmlformats.org/officeDocument/2006/relationships/hyperlink" Target="https://paperpile.com/c/1eMWMs/1nVS" TargetMode="External"/><Relationship Id="rId17" Type="http://schemas.openxmlformats.org/officeDocument/2006/relationships/hyperlink" Target="https://paperpile.com/c/1eMWMs/s6pz" TargetMode="External"/><Relationship Id="rId16" Type="http://schemas.openxmlformats.org/officeDocument/2006/relationships/hyperlink" Target="https://paperpile.com/c/1eMWMs/Ld0p" TargetMode="External"/><Relationship Id="rId19" Type="http://schemas.openxmlformats.org/officeDocument/2006/relationships/hyperlink" Target="https://paperpile.com/c/1eMWMs/gazG" TargetMode="External"/><Relationship Id="rId18" Type="http://schemas.openxmlformats.org/officeDocument/2006/relationships/hyperlink" Target="https://paperpile.com/c/1eMWMs/bq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