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LETTRE DE MISSION</w:t>
            </w:r>
          </w:p>
          <w:p>
            <w:pPr>
              <w:spacing w:before="40"/>
              <w:jc w:val="center"/>
            </w:pPr>
            <w:r>
              <w:rPr>
                <w:rFonts w:ascii="Arial" w:cs="Arial" w:eastAsia="Arial" w:hAnsi="Arial"/>
                <w:b/>
                <w:bCs/>
                <w:color w:val="1F3864"/>
                <w:sz w:val="30"/>
                <w:szCs w:val="30"/>
              </w:rPr>
              <w:t xml:space="preserve">Mission d'examen limité des comptes</w:t>
            </w:r>
          </w:p>
          <w:p>
            <w:pPr>
              <w:spacing w:before="40"/>
              <w:jc w:val="center"/>
            </w:pPr>
            <w:r>
              <w:rPr>
                <w:rFonts w:ascii="Arial" w:cs="Arial" w:eastAsia="Arial" w:hAnsi="Arial"/>
                <w:color w:val="444444"/>
                <w:sz w:val="22"/>
                <w:szCs w:val="22"/>
              </w:rPr>
              <w:t xml:space="preserve">Norme NP 2400 (ISRE 2400) — Référentiel OEC</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00"/>
              <w:left w:type="dxa" w:w="240"/>
              <w:bottom w:type="dxa" w:w="10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Modèle indicatif basé sur la norme NP 2400. La lettre doit préciser la distinction avec l'audit. Signée avant le démarrage des travaux. Modèles officiels sur l'extranet OEC.</w:t>
            </w:r>
          </w:p>
        </w:tc>
      </w:tr>
    </w:tbl>
    <w:p>
      <w:pPr>
        <w:spacing w:after="0" w:before="100"/>
      </w:pPr>
      <w:r>
        <w:t xml:space="preserve"/>
      </w:r>
    </w:p>
    <w:p>
      <w:pPr>
        <w:pBdr>
          <w:bottom w:val="single" w:color="1F3864" w:sz="6"/>
        </w:pBdr>
        <w:spacing w:after="160" w:before="160"/>
      </w:pPr>
    </w:p>
    <w:p>
      <w:pPr>
        <w:spacing w:after="0" w:before="100"/>
      </w:pPr>
      <w:r>
        <w:t xml:space="preserve"/>
      </w:r>
    </w:p>
    <w:p>
      <w:pPr>
        <w:pStyle w:val="Heading1"/>
      </w:pPr>
      <w:r>
        <w:rPr>
          <w:rFonts w:ascii="Arial" w:cs="Arial" w:eastAsia="Arial" w:hAnsi="Arial"/>
          <w:b/>
          <w:bCs/>
          <w:color w:val="1F3864"/>
          <w:sz w:val="28"/>
          <w:szCs w:val="28"/>
        </w:rPr>
        <w:t xml:space="preserve">LETTRE DE MISSION — NP 2400</w:t>
      </w:r>
    </w:p>
    <w:p>
      <w:pPr>
        <w:spacing w:after="80" w:before="80"/>
      </w:pPr>
      <w:r>
        <w:rPr>
          <w:rFonts w:ascii="Arial" w:cs="Arial" w:eastAsia="Arial" w:hAnsi="Arial"/>
          <w:b w:val="false"/>
          <w:bCs w:val="false"/>
          <w:i/>
          <w:iCs/>
          <w:color w:val="666666"/>
          <w:sz w:val="22"/>
          <w:szCs w:val="22"/>
        </w:rPr>
        <w:t xml:space="preserve">Mission d'examen limité des comptes</w:t>
      </w:r>
    </w:p>
    <w:p>
      <w:pPr>
        <w:spacing w:after="0" w:before="100"/>
      </w:pPr>
      <w:r>
        <w:t xml:space="preserve"/>
      </w:r>
    </w:p>
    <w:p>
      <w:pPr>
        <w:pStyle w:val="Heading2"/>
      </w:pPr>
      <w:r>
        <w:rPr>
          <w:rFonts w:ascii="Arial" w:cs="Arial" w:eastAsia="Arial" w:hAnsi="Arial"/>
          <w:b/>
          <w:bCs/>
          <w:color w:val="1F3864"/>
          <w:sz w:val="24"/>
          <w:szCs w:val="24"/>
        </w:rPr>
        <w:t xml:space="preserve">I. Parties</w:t>
      </w:r>
    </w:p>
    <w:p>
      <w:pPr>
        <w:spacing w:after="80" w:before="80"/>
      </w:pPr>
      <w:r>
        <w:rPr>
          <w:rFonts w:ascii="Arial" w:cs="Arial" w:eastAsia="Arial" w:hAnsi="Arial"/>
          <w:b w:val="false"/>
          <w:bCs w:val="false"/>
          <w:i w:val="false"/>
          <w:iCs w:val="false"/>
          <w:color w:val="000000"/>
          <w:sz w:val="22"/>
          <w:szCs w:val="22"/>
        </w:rPr>
        <w:t xml:space="preserve">[Professionnel] / [Client — Dénomination — SIREN — Siège]</w:t>
      </w:r>
    </w:p>
    <w:p>
      <w:pPr>
        <w:spacing w:after="0" w:before="100"/>
      </w:pPr>
      <w:r>
        <w:t xml:space="preserve"/>
      </w:r>
    </w:p>
    <w:p>
      <w:pPr>
        <w:pStyle w:val="Heading2"/>
      </w:pPr>
      <w:r>
        <w:rPr>
          <w:rFonts w:ascii="Arial" w:cs="Arial" w:eastAsia="Arial" w:hAnsi="Arial"/>
          <w:b/>
          <w:bCs/>
          <w:color w:val="1F3864"/>
          <w:sz w:val="24"/>
          <w:szCs w:val="24"/>
        </w:rPr>
        <w:t xml:space="preserve">II. Objet</w:t>
      </w:r>
    </w:p>
    <w:p>
      <w:pPr>
        <w:spacing w:after="80" w:before="80"/>
      </w:pPr>
      <w:r>
        <w:rPr>
          <w:rFonts w:ascii="Arial" w:cs="Arial" w:eastAsia="Arial" w:hAnsi="Arial"/>
          <w:b w:val="false"/>
          <w:bCs w:val="false"/>
          <w:i w:val="false"/>
          <w:iCs w:val="false"/>
          <w:color w:val="000000"/>
          <w:sz w:val="22"/>
          <w:szCs w:val="22"/>
        </w:rPr>
        <w:t xml:space="preserve">Vous nous confiez la mission d'examen limité de vos comptes [annuels / intermédiaires / consolidés] pour la période close le [date], conformément à la norme NP 2400.</w:t>
      </w:r>
    </w:p>
    <w:p>
      <w:pPr>
        <w:spacing w:after="0" w:before="100"/>
      </w:pPr>
      <w:r>
        <w:t xml:space="preserve"/>
      </w:r>
    </w:p>
    <w:p>
      <w:pPr>
        <w:pStyle w:val="Heading2"/>
      </w:pPr>
      <w:r>
        <w:rPr>
          <w:rFonts w:ascii="Arial" w:cs="Arial" w:eastAsia="Arial" w:hAnsi="Arial"/>
          <w:b/>
          <w:bCs/>
          <w:color w:val="1F3864"/>
          <w:sz w:val="24"/>
          <w:szCs w:val="24"/>
        </w:rPr>
        <w:t xml:space="preserve">III. Nature de la mission et niveau d'assurance</w:t>
      </w:r>
    </w:p>
    <w:p>
      <w:pPr>
        <w:spacing w:after="80" w:before="80"/>
      </w:pPr>
      <w:r>
        <w:rPr>
          <w:rFonts w:ascii="Arial" w:cs="Arial" w:eastAsia="Arial" w:hAnsi="Arial"/>
          <w:b w:val="false"/>
          <w:bCs w:val="false"/>
          <w:i w:val="false"/>
          <w:iCs w:val="false"/>
          <w:color w:val="000000"/>
          <w:sz w:val="22"/>
          <w:szCs w:val="22"/>
        </w:rPr>
        <w:t xml:space="preserve">L'examen limité est distinct d'un audit de comptes. Il consiste principalement en des entretiens avec les personnes responsables des domaines financiers et comptables, et en des procédures analytiques. Il fournit une assurance MODÉRÉE — inférieure à celle d'un audit — permettant d'exprimer une conclusion négative.</w:t>
      </w:r>
    </w:p>
    <w:p>
      <w:pPr>
        <w:spacing w:after="80" w:before="80"/>
      </w:pPr>
      <w:r>
        <w:rPr>
          <w:rFonts w:ascii="Arial" w:cs="Arial" w:eastAsia="Arial" w:hAnsi="Arial"/>
          <w:b w:val="false"/>
          <w:bCs w:val="false"/>
          <w:i w:val="false"/>
          <w:iCs w:val="false"/>
          <w:color w:val="000000"/>
          <w:sz w:val="22"/>
          <w:szCs w:val="22"/>
        </w:rPr>
        <w:t xml:space="preserve">Nos travaux NE comprennent PAS :</w:t>
      </w:r>
    </w:p>
    <w:p>
      <w:pPr>
        <w:spacing w:after="60" w:before="60"/>
        <w:ind w:left="720"/>
      </w:pPr>
      <w:r>
        <w:rPr>
          <w:rFonts w:ascii="Arial" w:cs="Arial" w:eastAsia="Arial" w:hAnsi="Arial"/>
          <w:color w:val="333333"/>
          <w:sz w:val="22"/>
          <w:szCs w:val="22"/>
        </w:rPr>
        <w:t xml:space="preserve">• La vérification des pièces justificatives ;</w:t>
      </w:r>
    </w:p>
    <w:p>
      <w:pPr>
        <w:spacing w:after="60" w:before="60"/>
        <w:ind w:left="720"/>
      </w:pPr>
      <w:r>
        <w:rPr>
          <w:rFonts w:ascii="Arial" w:cs="Arial" w:eastAsia="Arial" w:hAnsi="Arial"/>
          <w:color w:val="333333"/>
          <w:sz w:val="22"/>
          <w:szCs w:val="22"/>
        </w:rPr>
        <w:t xml:space="preserve">• Les procédures de corroboration étendues ;</w:t>
      </w:r>
    </w:p>
    <w:p>
      <w:pPr>
        <w:spacing w:after="60" w:before="60"/>
        <w:ind w:left="720"/>
      </w:pPr>
      <w:r>
        <w:rPr>
          <w:rFonts w:ascii="Arial" w:cs="Arial" w:eastAsia="Arial" w:hAnsi="Arial"/>
          <w:color w:val="333333"/>
          <w:sz w:val="22"/>
          <w:szCs w:val="22"/>
        </w:rPr>
        <w:t xml:space="preserve">• L'évaluation du contrôle interne.</w:t>
      </w:r>
    </w:p>
    <w:p>
      <w:pPr>
        <w:spacing w:after="0" w:before="100"/>
      </w:pPr>
      <w:r>
        <w:t xml:space="preserve"/>
      </w:r>
    </w:p>
    <w:p>
      <w:pPr>
        <w:pStyle w:val="Heading2"/>
      </w:pPr>
      <w:r>
        <w:rPr>
          <w:rFonts w:ascii="Arial" w:cs="Arial" w:eastAsia="Arial" w:hAnsi="Arial"/>
          <w:b/>
          <w:bCs/>
          <w:color w:val="1F3864"/>
          <w:sz w:val="24"/>
          <w:szCs w:val="24"/>
        </w:rPr>
        <w:t xml:space="preserve">IV. Obligations du client</w:t>
      </w:r>
    </w:p>
    <w:p>
      <w:pPr>
        <w:spacing w:after="60" w:before="60"/>
        <w:ind w:left="720"/>
      </w:pPr>
      <w:r>
        <w:rPr>
          <w:rFonts w:ascii="Arial" w:cs="Arial" w:eastAsia="Arial" w:hAnsi="Arial"/>
          <w:color w:val="333333"/>
          <w:sz w:val="22"/>
          <w:szCs w:val="22"/>
        </w:rPr>
        <w:t xml:space="preserve">• Communiquer tous documents et informations utiles dans les délais ;</w:t>
      </w:r>
    </w:p>
    <w:p>
      <w:pPr>
        <w:spacing w:after="60" w:before="60"/>
        <w:ind w:left="720"/>
      </w:pPr>
      <w:r>
        <w:rPr>
          <w:rFonts w:ascii="Arial" w:cs="Arial" w:eastAsia="Arial" w:hAnsi="Arial"/>
          <w:color w:val="333333"/>
          <w:sz w:val="22"/>
          <w:szCs w:val="22"/>
        </w:rPr>
        <w:t xml:space="preserve">• Informer de tout événement post-clôture significatif ;</w:t>
      </w:r>
    </w:p>
    <w:p>
      <w:pPr>
        <w:spacing w:after="60" w:before="60"/>
        <w:ind w:left="720"/>
      </w:pPr>
      <w:r>
        <w:rPr>
          <w:rFonts w:ascii="Arial" w:cs="Arial" w:eastAsia="Arial" w:hAnsi="Arial"/>
          <w:color w:val="333333"/>
          <w:sz w:val="22"/>
          <w:szCs w:val="22"/>
        </w:rPr>
        <w:t xml:space="preserve">• Signer une lettre d'affirmation avant la remise du rapport.</w:t>
      </w:r>
    </w:p>
    <w:p>
      <w:pPr>
        <w:spacing w:after="0" w:before="100"/>
      </w:pPr>
      <w:r>
        <w:t xml:space="preserve"/>
      </w:r>
    </w:p>
    <w:p>
      <w:pPr>
        <w:pStyle w:val="Heading2"/>
      </w:pPr>
      <w:r>
        <w:rPr>
          <w:rFonts w:ascii="Arial" w:cs="Arial" w:eastAsia="Arial" w:hAnsi="Arial"/>
          <w:b/>
          <w:bCs/>
          <w:color w:val="1F3864"/>
          <w:sz w:val="24"/>
          <w:szCs w:val="24"/>
        </w:rPr>
        <w:t xml:space="preserve">V. Calendrier &amp; Honoraires</w:t>
      </w:r>
    </w:p>
    <w:p>
      <w:pPr>
        <w:spacing w:after="80" w:before="80"/>
      </w:pPr>
      <w:r>
        <w:rPr>
          <w:rFonts w:ascii="Arial" w:cs="Arial" w:eastAsia="Arial" w:hAnsi="Arial"/>
          <w:b w:val="false"/>
          <w:bCs w:val="false"/>
          <w:i w:val="false"/>
          <w:iCs w:val="false"/>
          <w:color w:val="000000"/>
          <w:sz w:val="22"/>
          <w:szCs w:val="22"/>
        </w:rPr>
        <w:t xml:space="preserve">Remise des comptes : [date] — Rapport prévu : [date]</w:t>
      </w:r>
    </w:p>
    <w:p>
      <w:pPr>
        <w:spacing w:after="80" w:before="80"/>
      </w:pPr>
      <w:r>
        <w:rPr>
          <w:rFonts w:ascii="Arial" w:cs="Arial" w:eastAsia="Arial" w:hAnsi="Arial"/>
          <w:b w:val="false"/>
          <w:bCs w:val="false"/>
          <w:i w:val="false"/>
          <w:iCs w:val="false"/>
          <w:color w:val="000000"/>
          <w:sz w:val="22"/>
          <w:szCs w:val="22"/>
        </w:rPr>
        <w:t xml:space="preserve">Honoraires : [montant] € HT + TVA</w:t>
      </w:r>
    </w:p>
    <w:p>
      <w:pPr>
        <w:spacing w:after="0" w:before="100"/>
      </w:pPr>
      <w:r>
        <w:t xml:space="preserve"/>
      </w:r>
    </w:p>
    <w:p>
      <w:pPr>
        <w:pStyle w:val="Heading2"/>
      </w:pPr>
      <w:r>
        <w:rPr>
          <w:rFonts w:ascii="Arial" w:cs="Arial" w:eastAsia="Arial" w:hAnsi="Arial"/>
          <w:b/>
          <w:bCs/>
          <w:color w:val="1F3864"/>
          <w:sz w:val="24"/>
          <w:szCs w:val="24"/>
        </w:rPr>
        <w:t xml:space="preserve">VI. Limitation d'utilisation</w:t>
      </w:r>
    </w:p>
    <w:p>
      <w:pPr>
        <w:spacing w:after="80" w:before="80"/>
      </w:pPr>
      <w:r>
        <w:rPr>
          <w:rFonts w:ascii="Arial" w:cs="Arial" w:eastAsia="Arial" w:hAnsi="Arial"/>
          <w:b w:val="false"/>
          <w:bCs w:val="false"/>
          <w:i w:val="false"/>
          <w:iCs w:val="false"/>
          <w:color w:val="000000"/>
          <w:sz w:val="22"/>
          <w:szCs w:val="22"/>
        </w:rPr>
        <w:t xml:space="preserve">Le rapport d'examen limité est établi à l'intention exclusive de [Dénomination du client] et [le cas échéant : des tiers désignés]. Il ne peut être communiqué à des tiers sans notre accord préalable.</w:t>
      </w:r>
    </w:p>
    <w:p>
      <w:pPr>
        <w:spacing w:after="0" w:before="100"/>
      </w:pPr>
      <w:r>
        <w:t xml:space="preserve"/>
      </w:r>
    </w:p>
    <w:p>
      <w:pPr>
        <w:pBdr>
          <w:bottom w:val="single" w:color="1F3864" w:sz="6"/>
        </w:pBdr>
        <w:spacing w:after="160" w:before="160"/>
      </w:pPr>
    </w:p>
    <w:p>
      <w:pPr>
        <w:spacing w:after="80" w:before="80"/>
      </w:pPr>
      <w:r>
        <w:rPr>
          <w:rFonts w:ascii="Arial" w:cs="Arial" w:eastAsia="Arial" w:hAnsi="Arial"/>
          <w:b w:val="false"/>
          <w:bCs w:val="false"/>
          <w:i w:val="false"/>
          <w:iCs w:val="false"/>
          <w:color w:val="000000"/>
          <w:sz w:val="22"/>
          <w:szCs w:val="22"/>
        </w:rPr>
        <w:t xml:space="preserve">Fait à [lieu], le [date] — Lu et approuvé</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[Professionnel — Signature]</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[Client — Signature]</w:t>
      </w:r>
    </w:p>
    <w:p>
      <w:pPr>
        <w:spacing w:after="0" w:before="120"/>
      </w:pPr>
      <w:r>
        <w:rPr>
          <w:rFonts w:ascii="Arial" w:cs="Arial" w:eastAsia="Arial" w:hAnsi="Arial"/>
          <w:i/>
          <w:iCs/>
          <w:color w:val="999999"/>
          <w:sz w:val="18"/>
          <w:szCs w:val="18"/>
        </w:rPr>
        <w:t xml:space="preserve">Modèle indicatif NP 2400 (ISRE 2400) — Lettre de mission 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2026-05-09T14:41:52.070Z</dcterms:created>
  <dcterms:modified xsi:type="dcterms:W3CDTF">2026-05-09T14:41:52.070Z</dcterms:modified>
</cp:coreProperties>
</file>

<file path=docProps/custom.xml><?xml version="1.0" encoding="utf-8"?>
<Properties xmlns="http://schemas.openxmlformats.org/officeDocument/2006/custom-properties" xmlns:vt="http://schemas.openxmlformats.org/officeDocument/2006/docPropsVTypes"/>
</file>