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7B1F40" w:sz="4"/>
              <w:left w:val="single" w:color="7B1F40" w:sz="4"/>
              <w:bottom w:val="single" w:color="7B1F40" w:sz="4"/>
              <w:right w:val="single" w:color="7B1F40" w:sz="4"/>
            </w:tcBorders>
            <w:shd w:fill="F9EAEE" w:val="clear"/>
            <w:tcMar>
              <w:top w:type="dxa" w:w="180"/>
              <w:left w:type="dxa" w:w="240"/>
              <w:bottom w:type="dxa" w:w="180"/>
              <w:right w:type="dxa" w:w="240"/>
            </w:tcMar>
          </w:tcPr>
          <w:p>
            <w:pPr>
              <w:jc w:val="center"/>
            </w:pPr>
            <w:r>
              <w:rPr>
                <w:rFonts w:ascii="Arial" w:cs="Arial" w:eastAsia="Arial" w:hAnsi="Arial"/>
                <w:b/>
                <w:bCs/>
                <w:caps/>
                <w:color w:val="666666"/>
                <w:sz w:val="18"/>
                <w:szCs w:val="18"/>
              </w:rPr>
              <w:t xml:space="preserve">MODÈLE DE RAPPORT — COMMISSARIAT AUX COMPTES</w:t>
            </w:r>
          </w:p>
          <w:p>
            <w:pPr>
              <w:spacing w:before="40"/>
              <w:jc w:val="center"/>
            </w:pPr>
            <w:r>
              <w:rPr>
                <w:rFonts w:ascii="Arial" w:cs="Arial" w:eastAsia="Arial" w:hAnsi="Arial"/>
                <w:b/>
                <w:bCs/>
                <w:color w:val="7B1F40"/>
                <w:sz w:val="30"/>
                <w:szCs w:val="30"/>
              </w:rPr>
              <w:t xml:space="preserve">Rapport sur les apports en nature et opérations en capital</w:t>
            </w:r>
          </w:p>
          <w:p>
            <w:pPr>
              <w:spacing w:before="40"/>
              <w:jc w:val="center"/>
            </w:pPr>
            <w:r>
              <w:rPr>
                <w:rFonts w:ascii="Arial" w:cs="Arial" w:eastAsia="Arial" w:hAnsi="Arial"/>
                <w:color w:val="444444"/>
                <w:sz w:val="22"/>
                <w:szCs w:val="22"/>
              </w:rPr>
              <w:t xml:space="preserve">Norme L. 225-8 / L. 236-10 C.com · Code de commerce · CNCC</w:t>
            </w:r>
          </w:p>
        </w:tc>
      </w:tr>
    </w:tbl>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59E0B" w:sz="2"/>
              <w:left w:val="single" w:color="F59E0B" w:sz="12"/>
              <w:bottom w:val="single" w:color="F59E0B" w:sz="2"/>
              <w:right w:val="single" w:color="F59E0B" w:sz="2"/>
            </w:tcBorders>
            <w:shd w:fill="FFFBEB" w:val="clear"/>
            <w:tcMar>
              <w:top w:type="dxa" w:w="120"/>
              <w:left w:type="dxa" w:w="240"/>
              <w:bottom w:type="dxa" w:w="120"/>
              <w:right w:type="dxa" w:w="240"/>
            </w:tcMar>
          </w:tcPr>
          <w:p>
            <w:r>
              <w:rPr>
                <w:rFonts w:ascii="Arial" w:cs="Arial" w:eastAsia="Arial" w:hAnsi="Arial"/>
                <w:b/>
                <w:bCs/>
                <w:color w:val="92400E"/>
                <w:sz w:val="20"/>
                <w:szCs w:val="20"/>
              </w:rPr>
              <w:t xml:space="preserve">⚠ IMPORTANT — </w:t>
            </w:r>
            <w:r>
              <w:rPr>
                <w:rFonts w:ascii="Arial" w:cs="Arial" w:eastAsia="Arial" w:hAnsi="Arial"/>
                <w:color w:val="92400E"/>
                <w:sz w:val="20"/>
                <w:szCs w:val="20"/>
              </w:rPr>
              <w:t xml:space="preserve">Ce modèle couvre le rapport sur les apports en nature (commissaire aux apports). Des modèles distincts existent pour les fusions, scissions et augmentations de capital. Modèles CNCC disponibles sur cncc.fr (accès membre).</w:t>
            </w:r>
          </w:p>
        </w:tc>
      </w:tr>
    </w:tbl>
    <w:p>
      <w:pPr>
        <w:spacing w:after="0" w:before="120"/>
      </w:pPr>
      <w:r>
        <w:t xml:space="preserve"/>
      </w:r>
    </w:p>
    <w:p>
      <w:pPr>
        <w:pStyle w:val="Heading1"/>
      </w:pPr>
      <w:r>
        <w:rPr>
          <w:rFonts w:ascii="Arial" w:cs="Arial" w:eastAsia="Arial" w:hAnsi="Arial"/>
          <w:b/>
          <w:bCs/>
          <w:color w:val="7B1F40"/>
          <w:sz w:val="28"/>
          <w:szCs w:val="28"/>
        </w:rPr>
        <w:t xml:space="preserve">RAPPORT DU COMMISSAIRE AUX APPORTS</w:t>
      </w:r>
    </w:p>
    <w:p>
      <w:pPr>
        <w:spacing w:after="80" w:before="80"/>
        <w:jc w:val="left"/>
      </w:pPr>
      <w:r>
        <w:rPr>
          <w:rFonts w:ascii="Arial" w:cs="Arial" w:eastAsia="Arial" w:hAnsi="Arial"/>
          <w:b w:val="false"/>
          <w:bCs w:val="false"/>
          <w:i/>
          <w:iCs/>
          <w:color w:val="666666"/>
          <w:sz w:val="22"/>
          <w:szCs w:val="22"/>
        </w:rPr>
        <w:t xml:space="preserve">(Rapport sur les apports en nature — L. 225-8 C.com)</w:t>
      </w:r>
    </w:p>
    <w:p>
      <w:pPr>
        <w:pBdr>
          <w:bottom w:val="single" w:color="7B1F40" w:sz="6"/>
        </w:pBdr>
        <w:spacing w:after="160" w:before="160"/>
      </w:pPr>
    </w:p>
    <w:p>
      <w:pPr>
        <w:spacing w:after="0" w:before="120"/>
      </w:pPr>
      <w:r>
        <w:t xml:space="preserve"/>
      </w:r>
    </w:p>
    <w:p>
      <w:pPr>
        <w:pStyle w:val="Heading2"/>
      </w:pPr>
      <w:r>
        <w:rPr>
          <w:rFonts w:ascii="Arial" w:cs="Arial" w:eastAsia="Arial" w:hAnsi="Arial"/>
          <w:b/>
          <w:bCs/>
          <w:color w:val="7B1F40"/>
          <w:sz w:val="24"/>
          <w:szCs w:val="24"/>
        </w:rPr>
        <w:t xml:space="preserve">En-tête</w:t>
      </w:r>
    </w:p>
    <w:p>
      <w:pPr>
        <w:spacing w:after="80" w:before="80"/>
        <w:jc w:val="left"/>
      </w:pPr>
      <w:r>
        <w:rPr>
          <w:rFonts w:ascii="Arial" w:cs="Arial" w:eastAsia="Arial" w:hAnsi="Arial"/>
          <w:b w:val="false"/>
          <w:bCs w:val="false"/>
          <w:i w:val="false"/>
          <w:iCs w:val="false"/>
          <w:color w:val="000000"/>
          <w:sz w:val="22"/>
          <w:szCs w:val="22"/>
        </w:rPr>
        <w:t xml:space="preserve">[Nom et coordonnées du commissaire aux apports — Expert-comptable ou CAC]</w:t>
      </w:r>
    </w:p>
    <w:p>
      <w:pPr>
        <w:spacing w:after="0" w:before="120"/>
      </w:pPr>
      <w:r>
        <w:t xml:space="preserve"/>
      </w:r>
    </w:p>
    <w:p>
      <w:pPr>
        <w:pStyle w:val="Heading2"/>
      </w:pPr>
      <w:r>
        <w:rPr>
          <w:rFonts w:ascii="Arial" w:cs="Arial" w:eastAsia="Arial" w:hAnsi="Arial"/>
          <w:b/>
          <w:bCs/>
          <w:color w:val="7B1F40"/>
          <w:sz w:val="24"/>
          <w:szCs w:val="24"/>
        </w:rPr>
        <w:t xml:space="preserve">Mission</w:t>
      </w:r>
    </w:p>
    <w:p>
      <w:pPr>
        <w:spacing w:after="80" w:before="80"/>
        <w:jc w:val="left"/>
      </w:pPr>
      <w:r>
        <w:rPr>
          <w:rFonts w:ascii="Arial" w:cs="Arial" w:eastAsia="Arial" w:hAnsi="Arial"/>
          <w:b w:val="false"/>
          <w:bCs w:val="false"/>
          <w:i w:val="false"/>
          <w:iCs w:val="false"/>
          <w:color w:val="000000"/>
          <w:sz w:val="22"/>
          <w:szCs w:val="22"/>
        </w:rPr>
        <w:t xml:space="preserve">En notre qualité de commissaire aux apports désigné par [ordonnance du président du tribunal de commerce de… / décision de l'assemblée], nous avons établi le présent rapport sur les apports en nature réalisés par [nom de l'apporteur] à la société [Dénomination], dans le cadre de [sa constitution / d'une augmentation de capital].</w:t>
      </w:r>
    </w:p>
    <w:p>
      <w:pPr>
        <w:spacing w:after="0" w:before="120"/>
      </w:pPr>
      <w:r>
        <w:t xml:space="preserve"/>
      </w:r>
    </w:p>
    <w:p>
      <w:pPr>
        <w:pStyle w:val="Heading2"/>
      </w:pPr>
      <w:r>
        <w:rPr>
          <w:rFonts w:ascii="Arial" w:cs="Arial" w:eastAsia="Arial" w:hAnsi="Arial"/>
          <w:b/>
          <w:bCs/>
          <w:color w:val="7B1F40"/>
          <w:sz w:val="24"/>
          <w:szCs w:val="24"/>
        </w:rPr>
        <w:t xml:space="preserve">Nature des apports</w:t>
      </w:r>
    </w:p>
    <w:p>
      <w:pPr>
        <w:spacing w:after="80" w:before="80"/>
        <w:jc w:val="left"/>
      </w:pPr>
      <w:r>
        <w:rPr>
          <w:rFonts w:ascii="Arial" w:cs="Arial" w:eastAsia="Arial" w:hAnsi="Arial"/>
          <w:b w:val="false"/>
          <w:bCs w:val="false"/>
          <w:i w:val="false"/>
          <w:iCs w:val="false"/>
          <w:color w:val="000000"/>
          <w:sz w:val="22"/>
          <w:szCs w:val="22"/>
        </w:rPr>
        <w:t xml:space="preserve">Les apports consistent en :</w:t>
      </w:r>
    </w:p>
    <w:p>
      <w:pPr>
        <w:spacing w:after="40" w:before="40"/>
        <w:ind w:left="720"/>
      </w:pPr>
      <w:r>
        <w:rPr>
          <w:rFonts w:ascii="Arial" w:cs="Arial" w:eastAsia="Arial" w:hAnsi="Arial"/>
          <w:i/>
          <w:iCs/>
          <w:color w:val="666666"/>
          <w:sz w:val="20"/>
          <w:szCs w:val="20"/>
        </w:rPr>
        <w:t xml:space="preserve">[[Décrire précisément chaque bien apporté : nature, désignation, et valeur proposée par l'apporteur]]</w:t>
      </w:r>
    </w:p>
    <w:p>
      <w:pPr>
        <w:spacing w:after="0" w:before="120"/>
      </w:pPr>
      <w:r>
        <w:t xml:space="preserve"/>
      </w:r>
    </w:p>
    <w:p>
      <w:pPr>
        <w:spacing w:after="80" w:before="80"/>
        <w:jc w:val="left"/>
      </w:pPr>
      <w:r>
        <w:rPr>
          <w:rFonts w:ascii="Arial" w:cs="Arial" w:eastAsia="Arial" w:hAnsi="Arial"/>
          <w:b w:val="false"/>
          <w:bCs w:val="false"/>
          <w:i w:val="false"/>
          <w:iCs w:val="false"/>
          <w:color w:val="000000"/>
          <w:sz w:val="22"/>
          <w:szCs w:val="22"/>
        </w:rPr>
        <w:t xml:space="preserve">La valeur totale des apports telle que proposée par les fondateurs / le conseil d'administration s'élève à [montant] euros.</w:t>
      </w:r>
    </w:p>
    <w:p>
      <w:pPr>
        <w:spacing w:after="0" w:before="120"/>
      </w:pPr>
      <w:r>
        <w:t xml:space="preserve"/>
      </w:r>
    </w:p>
    <w:p>
      <w:pPr>
        <w:pStyle w:val="Heading2"/>
      </w:pPr>
      <w:r>
        <w:rPr>
          <w:rFonts w:ascii="Arial" w:cs="Arial" w:eastAsia="Arial" w:hAnsi="Arial"/>
          <w:b/>
          <w:bCs/>
          <w:color w:val="7B1F40"/>
          <w:sz w:val="24"/>
          <w:szCs w:val="24"/>
        </w:rPr>
        <w:t xml:space="preserve">Diligences effectuées</w:t>
      </w:r>
    </w:p>
    <w:p>
      <w:pPr>
        <w:spacing w:after="80" w:before="80"/>
        <w:jc w:val="left"/>
      </w:pPr>
      <w:r>
        <w:rPr>
          <w:rFonts w:ascii="Arial" w:cs="Arial" w:eastAsia="Arial" w:hAnsi="Arial"/>
          <w:b w:val="false"/>
          <w:bCs w:val="false"/>
          <w:i w:val="false"/>
          <w:iCs w:val="false"/>
          <w:color w:val="000000"/>
          <w:sz w:val="22"/>
          <w:szCs w:val="22"/>
        </w:rPr>
        <w:t xml:space="preserve">Nous avons procédé aux diligences que nous avons estimées nécessaires selon les normes professionnelles applicables. Ces diligences ont consisté notamment à :</w:t>
      </w:r>
    </w:p>
    <w:p>
      <w:pPr>
        <w:spacing w:after="40" w:before="40"/>
        <w:ind w:left="720"/>
      </w:pPr>
      <w:r>
        <w:rPr>
          <w:rFonts w:ascii="Arial" w:cs="Arial" w:eastAsia="Arial" w:hAnsi="Arial"/>
          <w:i/>
          <w:iCs/>
          <w:color w:val="666666"/>
          <w:sz w:val="20"/>
          <w:szCs w:val="20"/>
        </w:rPr>
        <w:t xml:space="preserve">[Prendre connaissance des éléments constitutifs des apports ;]</w:t>
      </w:r>
    </w:p>
    <w:p>
      <w:pPr>
        <w:spacing w:after="40" w:before="40"/>
        <w:ind w:left="720"/>
      </w:pPr>
      <w:r>
        <w:rPr>
          <w:rFonts w:ascii="Arial" w:cs="Arial" w:eastAsia="Arial" w:hAnsi="Arial"/>
          <w:i/>
          <w:iCs/>
          <w:color w:val="666666"/>
          <w:sz w:val="20"/>
          <w:szCs w:val="20"/>
        </w:rPr>
        <w:t xml:space="preserve">[Vérifier et apprécier la valeur des apports sur la base des éléments qui nous ont été communiqués ;]</w:t>
      </w:r>
    </w:p>
    <w:p>
      <w:pPr>
        <w:spacing w:after="40" w:before="40"/>
        <w:ind w:left="720"/>
      </w:pPr>
      <w:r>
        <w:rPr>
          <w:rFonts w:ascii="Arial" w:cs="Arial" w:eastAsia="Arial" w:hAnsi="Arial"/>
          <w:i/>
          <w:iCs/>
          <w:color w:val="666666"/>
          <w:sz w:val="20"/>
          <w:szCs w:val="20"/>
        </w:rPr>
        <w:t xml:space="preserve">[Nous assurer que la valeur retenue par les fondateurs / dirigeants correspond au moins à la valeur nominale des actions à émettre augmentée de la prime d'émission.]</w:t>
      </w:r>
    </w:p>
    <w:p>
      <w:pPr>
        <w:spacing w:after="0" w:before="120"/>
      </w:pPr>
      <w:r>
        <w:t xml:space="preserve"/>
      </w:r>
    </w:p>
    <w:p>
      <w:pPr>
        <w:pStyle w:val="Heading2"/>
      </w:pPr>
      <w:r>
        <w:rPr>
          <w:rFonts w:ascii="Arial" w:cs="Arial" w:eastAsia="Arial" w:hAnsi="Arial"/>
          <w:b/>
          <w:bCs/>
          <w:color w:val="7B1F40"/>
          <w:sz w:val="24"/>
          <w:szCs w:val="24"/>
        </w:rPr>
        <w:t xml:space="preserve">Conclusion</w:t>
      </w:r>
    </w:p>
    <w:p>
      <w:pPr>
        <w:spacing w:after="80" w:before="80"/>
        <w:jc w:val="left"/>
      </w:pPr>
      <w:r>
        <w:rPr>
          <w:rFonts w:ascii="Arial" w:cs="Arial" w:eastAsia="Arial" w:hAnsi="Arial"/>
          <w:b w:val="false"/>
          <w:bCs w:val="false"/>
          <w:i w:val="false"/>
          <w:iCs w:val="false"/>
          <w:color w:val="000000"/>
          <w:sz w:val="22"/>
          <w:szCs w:val="22"/>
        </w:rPr>
        <w:t xml:space="preserve">Sur la base de nos diligences, nous n'avons pas d'observation à formuler sur la valeur des apports. La valeur globale des biens apportés s'élève au moins à [montant] euros correspondant à la valeur nominale des actions à émettre augmentée, le cas échéant, de la prime d'émission.</w:t>
      </w:r>
    </w:p>
    <w:p>
      <w:pPr>
        <w:spacing w:after="0" w:before="120"/>
      </w:pPr>
      <w:r>
        <w:t xml:space="preserve"/>
      </w:r>
    </w:p>
    <w:p>
      <w:pPr>
        <w:pStyle w:val="Heading2"/>
      </w:pPr>
      <w:r>
        <w:rPr>
          <w:rFonts w:ascii="Arial" w:cs="Arial" w:eastAsia="Arial" w:hAnsi="Arial"/>
          <w:b/>
          <w:bCs/>
          <w:color w:val="7B1F40"/>
          <w:sz w:val="24"/>
          <w:szCs w:val="24"/>
        </w:rPr>
        <w:t xml:space="preserve">Signature</w:t>
      </w:r>
    </w:p>
    <w:p>
      <w:pPr>
        <w:spacing w:after="80" w:before="80"/>
        <w:jc w:val="left"/>
      </w:pPr>
      <w:r>
        <w:rPr>
          <w:rFonts w:ascii="Arial" w:cs="Arial" w:eastAsia="Arial" w:hAnsi="Arial"/>
          <w:b w:val="false"/>
          <w:bCs w:val="false"/>
          <w:i w:val="false"/>
          <w:iCs w:val="false"/>
          <w:color w:val="000000"/>
          <w:sz w:val="22"/>
          <w:szCs w:val="22"/>
        </w:rPr>
        <w:t xml:space="preserve">[Lieu], le [Date]</w:t>
      </w:r>
    </w:p>
    <w:p>
      <w:pPr>
        <w:spacing w:after="0" w:before="120"/>
      </w:pPr>
      <w:r>
        <w:t xml:space="preserve"/>
      </w:r>
    </w:p>
    <w:p>
      <w:pPr>
        <w:spacing w:after="80" w:before="80"/>
        <w:jc w:val="left"/>
      </w:pPr>
      <w:r>
        <w:rPr>
          <w:rFonts w:ascii="Arial" w:cs="Arial" w:eastAsia="Arial" w:hAnsi="Arial"/>
          <w:b w:val="false"/>
          <w:bCs w:val="false"/>
          <w:i w:val="false"/>
          <w:iCs w:val="false"/>
          <w:color w:val="000000"/>
          <w:sz w:val="22"/>
          <w:szCs w:val="22"/>
        </w:rPr>
        <w:t xml:space="preserve">[Nom du commissaire aux apports]</w:t>
      </w:r>
    </w:p>
    <w:p>
      <w:pPr>
        <w:spacing w:after="80" w:before="80"/>
        <w:jc w:val="left"/>
      </w:pPr>
      <w:r>
        <w:rPr>
          <w:rFonts w:ascii="Arial" w:cs="Arial" w:eastAsia="Arial" w:hAnsi="Arial"/>
          <w:b w:val="false"/>
          <w:bCs w:val="false"/>
          <w:i w:val="false"/>
          <w:iCs w:val="false"/>
          <w:color w:val="000000"/>
          <w:sz w:val="22"/>
          <w:szCs w:val="22"/>
        </w:rPr>
        <w:t xml:space="preserve">[Qualité / Cabinet]</w:t>
      </w:r>
    </w:p>
    <w:p>
      <w:pPr>
        <w:spacing w:after="80" w:before="80"/>
        <w:jc w:val="left"/>
      </w:pPr>
      <w:r>
        <w:rPr>
          <w:rFonts w:ascii="Arial" w:cs="Arial" w:eastAsia="Arial" w:hAnsi="Arial"/>
          <w:b w:val="false"/>
          <w:bCs w:val="false"/>
          <w:i w:val="false"/>
          <w:iCs w:val="false"/>
          <w:color w:val="000000"/>
          <w:sz w:val="22"/>
          <w:szCs w:val="22"/>
        </w:rPr>
        <w:t xml:space="preserve">[Signature]</w:t>
      </w:r>
    </w:p>
    <w:p>
      <w:pPr>
        <w:spacing w:after="0" w:before="120"/>
      </w:pPr>
      <w:r>
        <w:t xml:space="preserve"/>
      </w:r>
    </w:p>
    <w:p>
      <w:pPr>
        <w:pBdr>
          <w:bottom w:val="single" w:color="7B1F40" w:sz="6"/>
        </w:pBdr>
        <w:spacing w:after="160" w:before="160"/>
      </w:pPr>
    </w:p>
    <w:p>
      <w:pPr>
        <w:spacing w:after="80" w:before="80"/>
        <w:jc w:val="left"/>
      </w:pPr>
      <w:r>
        <w:rPr>
          <w:rFonts w:ascii="Arial" w:cs="Arial" w:eastAsia="Arial" w:hAnsi="Arial"/>
          <w:b w:val="false"/>
          <w:bCs w:val="false"/>
          <w:i/>
          <w:iCs/>
          <w:color w:val="999999"/>
          <w:sz w:val="18"/>
          <w:szCs w:val="18"/>
        </w:rPr>
        <w:t xml:space="preserve">Modèle indicatif — L. 225-8 C.com — Voir aussi : rapport sur fusion (L. 236-10), rapport sur BSPCE, rapport sur DPS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2026-05-09T11:31:47.369Z</dcterms:created>
  <dcterms:modified xsi:type="dcterms:W3CDTF">2026-05-09T11:31:47.369Z</dcterms:modified>
</cp:coreProperties>
</file>

<file path=docProps/custom.xml><?xml version="1.0" encoding="utf-8"?>
<Properties xmlns="http://schemas.openxmlformats.org/officeDocument/2006/custom-properties" xmlns:vt="http://schemas.openxmlformats.org/officeDocument/2006/docPropsVTypes"/>
</file>