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B1F40" w:sz="4"/>
              <w:left w:val="single" w:color="7B1F40" w:sz="4"/>
              <w:bottom w:val="single" w:color="7B1F40" w:sz="4"/>
              <w:right w:val="single" w:color="7B1F40" w:sz="4"/>
            </w:tcBorders>
            <w:shd w:fill="F9EAE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66666"/>
                <w:sz w:val="18"/>
                <w:szCs w:val="18"/>
              </w:rPr>
              <w:t xml:space="preserve">MODÈLE DE RAPPORT — COMMISSARIAT AUX COMPTES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7B1F40"/>
                <w:sz w:val="30"/>
                <w:szCs w:val="30"/>
              </w:rPr>
              <w:t xml:space="preserve">Rapport supplémentaire au comité d'audit (EIP)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Norme Art. 11 Règl. UE 537/2014 / NEP-EIP · Code de commerce · CNCC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9E0B" w:sz="2"/>
              <w:left w:val="single" w:color="F59E0B" w:sz="12"/>
              <w:bottom w:val="single" w:color="F59E0B" w:sz="2"/>
              <w:right w:val="single" w:color="F59E0B" w:sz="2"/>
            </w:tcBorders>
            <w:shd w:fill="FFFB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⚠ IMPORTANT —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Ce modèle concerne exclusivement les Entités d'Intérêt Public (EIP : sociétés cotées, banques, assurances). Il est distinct du rapport de certification destiné aux actionnaires. Modèles officiels disponibles sur cncc.fr (accès membre).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7B1F40"/>
          <w:sz w:val="28"/>
          <w:szCs w:val="28"/>
        </w:rPr>
        <w:t xml:space="preserve">RAPPORT SUPPLÉMENTAIRE AU COMITÉ D'AUDIT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(Entité d'Intérêt Public — Art. 11 Règl. UE 537/2014)</w:t>
      </w:r>
    </w:p>
    <w:p>
      <w:pPr>
        <w:pBdr>
          <w:bottom w:val="single" w:color="7B1F40" w:sz="6"/>
        </w:pBdr>
        <w:spacing w:after="160" w:before="160"/>
      </w:pP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En-tête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[Nom et coordonnées du / des cabinet(s) — co-commissariat obligatoire EIP]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Destinataire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comité d'audit de [Dénomination de l'entité]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Introduction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Conformément aux dispositions de l'article 11 du règlement (UE) n° 537/2014, nous adressons au comité d'audit le présent rapport supplémentaire concernant l'audit des comptes [annuels / consolidés] pour l'exercice clos le [date].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Indépendance et objectivité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Nous confirmons que les membres de l'équipe d'audit et, le cas échéant, les experts consultés sont indépendants de [Dénomination de l'entité] conformément aux dispositions de l'article 5 du règlement (UE) n° 537/2014 et des règles d'indépendance qui nous sont applicables.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Nous n'avons fourni à [Dénomination] aucun service non-audit interdit visé à l'article 5 du règlement (UE) n° 537/2014. Les honoraires perçus sont détaillés en annexe.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Démarche d'audit et résultats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Évaluation des risques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Au titre de notre démarche, nous avons identifié les risques significatifs d'anomalies suivants :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[[Risque 1 : ex. évaluation des goodwill — procédures mises en œuvre — conclusion]]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[[Risque 2 : ex. reconnaissance du chiffre d'affaires — procédures mises en œuvre — conclusion]]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[[Risque 3 : ex. provisions pour litiges — procédures mises en œuvre — conclusion]]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Contrôle interne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[Décrire les faiblesses significatives du contrôle interne identifiées, ou indiquer qu'aucune faiblesse significative n'a été identifiée. Préciser les mesures correctives recommandées le cas échéant.]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Méthodes d'évaluation appliquées</w:t>
      </w:r>
    </w:p>
    <w:p>
      <w:pPr>
        <w:spacing w:after="40" w:before="40"/>
        <w:ind w:left="7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[[Lister les principales méthodes et estimations comptables utilisées par la direction que nous avons évaluées]]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Questions Clés d'Audit (KAM — ISA 701)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[Pour les EIP : décrire les KAM tels qu'ils apparaîtront dans le rapport de certification, en expliquant les raisons qui ont conduit à les identifier comme tels et les procédures d'audit mises en œuvre.]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7B1F40"/>
          <w:sz w:val="24"/>
          <w:szCs w:val="24"/>
        </w:rPr>
        <w:t xml:space="preserve">Signature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[Lieu], le [Date]</w:t>
      </w:r>
    </w:p>
    <w:p>
      <w:pPr>
        <w:spacing w:after="0" w:before="12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[Nom du 1er commissaire aux comptes] / [Nom du 2ème commissaire aux comptes]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[Cabinet(s)]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[Signature(s)]</w:t>
      </w:r>
    </w:p>
    <w:p>
      <w:pPr>
        <w:spacing w:after="0" w:before="120"/>
      </w:pPr>
      <w:r>
        <w:t xml:space="preserve"/>
      </w:r>
    </w:p>
    <w:p>
      <w:pPr>
        <w:pBdr>
          <w:bottom w:val="single" w:color="7B1F40" w:sz="6"/>
        </w:pBdr>
        <w:spacing w:after="160" w:before="16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18"/>
          <w:szCs w:val="18"/>
        </w:rPr>
        <w:t xml:space="preserve">Modèle indicatif — Art. 11 Règl. UE 537/2014 — Modèles officiels CNCC sur cncc.fr (accès membre)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2026-05-09T11:31:47.377Z</dcterms:created>
  <dcterms:modified xsi:type="dcterms:W3CDTF">2026-05-09T11:31:47.377Z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