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18"/>
                <w:szCs w:val="18"/>
              </w:rPr>
              <w:t xml:space="preserve">MODÈLE DE RAPPORT — COMMISSARIAT AUX COMPTES</w:t>
            </w:r>
          </w:p>
          <w:p>
            <w:pPr>
              <w:spacing w:before="40"/>
              <w:jc w:val="center"/>
            </w:pPr>
            <w:r>
              <w:rPr>
                <w:rFonts w:ascii="Arial" w:cs="Arial" w:eastAsia="Arial" w:hAnsi="Arial"/>
                <w:b/>
                <w:bCs/>
                <w:color w:val="7B1F40"/>
                <w:sz w:val="30"/>
                <w:szCs w:val="30"/>
              </w:rPr>
              <w:t xml:space="preserve">Rapport de mission contractuelle</w:t>
            </w:r>
          </w:p>
          <w:p>
            <w:pPr>
              <w:spacing w:before="40"/>
              <w:jc w:val="center"/>
            </w:pPr>
            <w:r>
              <w:rPr>
                <w:rFonts w:ascii="Arial" w:cs="Arial" w:eastAsia="Arial" w:hAnsi="Arial"/>
                <w:color w:val="444444"/>
                <w:sz w:val="22"/>
                <w:szCs w:val="22"/>
              </w:rPr>
              <w:t xml:space="preserve">Norme ISRE 2400 / ISRS 4400 — Mission contractuelle · Code de commerce · CNCC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couvre le rapport d'examen limité contractuel (ISRE 2400 adapté). Pour les procédures convenues (ISRS 4400), le rapport se limite à des constats factuels sans expression d'assurance. Modèles CNCC disponibles sur cncc.fr (accès membre).</w:t>
            </w:r>
          </w:p>
        </w:tc>
      </w:tr>
    </w:tbl>
    <w:p>
      <w:pPr>
        <w:spacing w:after="0" w:before="120"/>
      </w:pPr>
      <w:r>
        <w:t xml:space="preserve"/>
      </w:r>
    </w:p>
    <w:p>
      <w:pPr>
        <w:pStyle w:val="Heading1"/>
      </w:pPr>
      <w:r>
        <w:rPr>
          <w:rFonts w:ascii="Arial" w:cs="Arial" w:eastAsia="Arial" w:hAnsi="Arial"/>
          <w:b/>
          <w:bCs/>
          <w:color w:val="7B1F40"/>
          <w:sz w:val="28"/>
          <w:szCs w:val="28"/>
        </w:rPr>
        <w:t xml:space="preserve">RAPPORT D'EXAMEN LIMITÉ (MISSION CONTRACTUELLE)</w:t>
      </w:r>
    </w:p>
    <w:p>
      <w:pPr>
        <w:spacing w:after="80" w:before="80"/>
        <w:jc w:val="left"/>
      </w:pPr>
      <w:r>
        <w:rPr>
          <w:rFonts w:ascii="Arial" w:cs="Arial" w:eastAsia="Arial" w:hAnsi="Arial"/>
          <w:b w:val="false"/>
          <w:bCs w:val="false"/>
          <w:i/>
          <w:iCs/>
          <w:color w:val="666666"/>
          <w:sz w:val="22"/>
          <w:szCs w:val="22"/>
        </w:rPr>
        <w:t xml:space="preserve">(Assurance modérée — ISRE 2400 — CAC)</w:t>
      </w:r>
    </w:p>
    <w:p>
      <w:pPr>
        <w:pBdr>
          <w:bottom w:val="single" w:color="7B1F40" w:sz="6"/>
        </w:pBdr>
        <w:spacing w:after="160" w:before="160"/>
      </w:pPr>
    </w:p>
    <w:p>
      <w:pPr>
        <w:spacing w:after="0" w:before="120"/>
      </w:pPr>
      <w:r>
        <w:t xml:space="preserve"/>
      </w:r>
    </w:p>
    <w:p>
      <w:pPr>
        <w:pStyle w:val="Heading2"/>
      </w:pPr>
      <w:r>
        <w:rPr>
          <w:rFonts w:ascii="Arial" w:cs="Arial" w:eastAsia="Arial" w:hAnsi="Arial"/>
          <w:b/>
          <w:bCs/>
          <w:color w:val="7B1F40"/>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du cabinet — Inscription CNCC n°…]</w:t>
      </w:r>
    </w:p>
    <w:p>
      <w:pPr>
        <w:spacing w:after="0" w:before="120"/>
      </w:pPr>
      <w:r>
        <w:t xml:space="preserve"/>
      </w:r>
    </w:p>
    <w:p>
      <w:pPr>
        <w:pStyle w:val="Heading2"/>
      </w:pPr>
      <w:r>
        <w:rPr>
          <w:rFonts w:ascii="Arial" w:cs="Arial" w:eastAsia="Arial" w:hAnsi="Arial"/>
          <w:b/>
          <w:bCs/>
          <w:color w:val="7B1F40"/>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l'attention de la direction / du conseil d'administration de [Dénomination]</w:t>
      </w:r>
    </w:p>
    <w:p>
      <w:pPr>
        <w:spacing w:after="80" w:before="80"/>
        <w:jc w:val="left"/>
      </w:pPr>
      <w:r>
        <w:rPr>
          <w:rFonts w:ascii="Arial" w:cs="Arial" w:eastAsia="Arial" w:hAnsi="Arial"/>
          <w:b w:val="false"/>
          <w:bCs w:val="false"/>
          <w:i w:val="false"/>
          <w:iCs w:val="false"/>
          <w:color w:val="000000"/>
          <w:sz w:val="22"/>
          <w:szCs w:val="22"/>
        </w:rPr>
        <w:t xml:space="preserve">[Ou tiers désigné : banque, investisseur, organisme public…]</w:t>
      </w:r>
    </w:p>
    <w:p>
      <w:pPr>
        <w:spacing w:after="0" w:before="120"/>
      </w:pPr>
      <w:r>
        <w:t xml:space="preserve"/>
      </w:r>
    </w:p>
    <w:p>
      <w:pPr>
        <w:pStyle w:val="Heading2"/>
      </w:pPr>
      <w:r>
        <w:rPr>
          <w:rFonts w:ascii="Arial" w:cs="Arial" w:eastAsia="Arial" w:hAnsi="Arial"/>
          <w:b/>
          <w:bCs/>
          <w:color w:val="7B1F40"/>
          <w:sz w:val="24"/>
          <w:szCs w:val="24"/>
        </w:rPr>
        <w:t xml:space="preserve">Introduction et périmètre</w:t>
      </w:r>
    </w:p>
    <w:p>
      <w:pPr>
        <w:spacing w:after="80" w:before="80"/>
        <w:jc w:val="left"/>
      </w:pPr>
      <w:r>
        <w:rPr>
          <w:rFonts w:ascii="Arial" w:cs="Arial" w:eastAsia="Arial" w:hAnsi="Arial"/>
          <w:b w:val="false"/>
          <w:bCs w:val="false"/>
          <w:i w:val="false"/>
          <w:iCs w:val="false"/>
          <w:color w:val="000000"/>
          <w:sz w:val="22"/>
          <w:szCs w:val="22"/>
        </w:rPr>
        <w:t xml:space="preserve">En exécution de la mission contractuelle qui nous a été confiée par [Dénomination], nous avons procédé à l'examen limité des comptes [annuels / intermédiaires / consolidés] de la société [Dénomination] pour [l'exercice clos le / la période du [date] au [date]].</w:t>
      </w:r>
    </w:p>
    <w:p>
      <w:pPr>
        <w:spacing w:after="0" w:before="120"/>
      </w:pPr>
      <w:r>
        <w:t xml:space="preserve"/>
      </w:r>
    </w:p>
    <w:p>
      <w:pPr>
        <w:pStyle w:val="Heading2"/>
      </w:pPr>
      <w:r>
        <w:rPr>
          <w:rFonts w:ascii="Arial" w:cs="Arial" w:eastAsia="Arial" w:hAnsi="Arial"/>
          <w:b/>
          <w:bCs/>
          <w:color w:val="7B1F40"/>
          <w:sz w:val="24"/>
          <w:szCs w:val="24"/>
        </w:rPr>
        <w:t xml:space="preserve">Nature de la mission</w:t>
      </w:r>
    </w:p>
    <w:p>
      <w:pPr>
        <w:spacing w:after="80" w:before="80"/>
        <w:jc w:val="left"/>
      </w:pPr>
      <w:r>
        <w:rPr>
          <w:rFonts w:ascii="Arial" w:cs="Arial" w:eastAsia="Arial" w:hAnsi="Arial"/>
          <w:b w:val="false"/>
          <w:bCs w:val="false"/>
          <w:i w:val="false"/>
          <w:iCs w:val="false"/>
          <w:color w:val="000000"/>
          <w:sz w:val="22"/>
          <w:szCs w:val="22"/>
        </w:rPr>
        <w:t xml:space="preserve">Cette mission contractuelle est distincte de la mission légale de certification. Elle a été réalisée conformément aux normes professionnelles applicables, et notamment à la norme internationale ISRE 2400 (telle qu'adaptée). Un examen limité est moins étendu qu'un audit et ne permet pas d'obtenir l'assurance que nous sommes informés de tous les points significatifs qui seraient révélés par un audit.</w:t>
      </w:r>
    </w:p>
    <w:p>
      <w:pPr>
        <w:spacing w:after="0" w:before="120"/>
      </w:pPr>
      <w:r>
        <w:t xml:space="preserve"/>
      </w:r>
    </w:p>
    <w:p>
      <w:pPr>
        <w:pStyle w:val="Heading2"/>
      </w:pPr>
      <w:r>
        <w:rPr>
          <w:rFonts w:ascii="Arial" w:cs="Arial" w:eastAsia="Arial" w:hAnsi="Arial"/>
          <w:b/>
          <w:bCs/>
          <w:color w:val="7B1F40"/>
          <w:sz w:val="24"/>
          <w:szCs w:val="24"/>
        </w:rPr>
        <w:t xml:space="preserve">Travaux effectués</w:t>
      </w:r>
    </w:p>
    <w:p>
      <w:pPr>
        <w:spacing w:after="80" w:before="80"/>
        <w:jc w:val="left"/>
      </w:pPr>
      <w:r>
        <w:rPr>
          <w:rFonts w:ascii="Arial" w:cs="Arial" w:eastAsia="Arial" w:hAnsi="Arial"/>
          <w:b w:val="false"/>
          <w:bCs w:val="false"/>
          <w:i w:val="false"/>
          <w:iCs w:val="false"/>
          <w:color w:val="000000"/>
          <w:sz w:val="22"/>
          <w:szCs w:val="22"/>
        </w:rPr>
        <w:t xml:space="preserve">Nos travaux ont consisté essentiellement en :</w:t>
      </w:r>
    </w:p>
    <w:p>
      <w:pPr>
        <w:spacing w:after="40" w:before="40"/>
        <w:ind w:left="720"/>
      </w:pPr>
      <w:r>
        <w:rPr>
          <w:rFonts w:ascii="Arial" w:cs="Arial" w:eastAsia="Arial" w:hAnsi="Arial"/>
          <w:i/>
          <w:iCs/>
          <w:color w:val="666666"/>
          <w:sz w:val="20"/>
          <w:szCs w:val="20"/>
        </w:rPr>
        <w:t xml:space="preserve">[Entretiens avec les responsables financiers et comptables ;]</w:t>
      </w:r>
    </w:p>
    <w:p>
      <w:pPr>
        <w:spacing w:after="40" w:before="40"/>
        <w:ind w:left="720"/>
      </w:pPr>
      <w:r>
        <w:rPr>
          <w:rFonts w:ascii="Arial" w:cs="Arial" w:eastAsia="Arial" w:hAnsi="Arial"/>
          <w:i/>
          <w:iCs/>
          <w:color w:val="666666"/>
          <w:sz w:val="20"/>
          <w:szCs w:val="20"/>
        </w:rPr>
        <w:t xml:space="preserve">[Procédures analytiques appliquées aux données financières ;]</w:t>
      </w:r>
    </w:p>
    <w:p>
      <w:pPr>
        <w:spacing w:after="40" w:before="40"/>
        <w:ind w:left="720"/>
      </w:pPr>
      <w:r>
        <w:rPr>
          <w:rFonts w:ascii="Arial" w:cs="Arial" w:eastAsia="Arial" w:hAnsi="Arial"/>
          <w:i/>
          <w:iCs/>
          <w:color w:val="666666"/>
          <w:sz w:val="20"/>
          <w:szCs w:val="20"/>
        </w:rPr>
        <w:t xml:space="preserve">[Examen des documents de synthèse et des justificatifs significatifs.]</w:t>
      </w:r>
    </w:p>
    <w:p>
      <w:pPr>
        <w:spacing w:after="0" w:before="120"/>
      </w:pPr>
      <w:r>
        <w:t xml:space="preserve"/>
      </w:r>
    </w:p>
    <w:p>
      <w:pPr>
        <w:pStyle w:val="Heading2"/>
      </w:pPr>
      <w:r>
        <w:rPr>
          <w:rFonts w:ascii="Arial" w:cs="Arial" w:eastAsia="Arial" w:hAnsi="Arial"/>
          <w:b/>
          <w:bCs/>
          <w:color w:val="7B1F40"/>
          <w:sz w:val="24"/>
          <w:szCs w:val="24"/>
        </w:rPr>
        <w:t xml:space="preserve">Conclusion — Sans réserve</w:t>
      </w:r>
    </w:p>
    <w:p>
      <w:pPr>
        <w:spacing w:after="80" w:before="80"/>
        <w:jc w:val="left"/>
      </w:pPr>
      <w:r>
        <w:rPr>
          <w:rFonts w:ascii="Arial" w:cs="Arial" w:eastAsia="Arial" w:hAnsi="Arial"/>
          <w:b w:val="false"/>
          <w:bCs w:val="false"/>
          <w:i w:val="false"/>
          <w:iCs w:val="false"/>
          <w:color w:val="000000"/>
          <w:sz w:val="22"/>
          <w:szCs w:val="22"/>
        </w:rPr>
        <w:t xml:space="preserve">Sur la base de notre examen limité, et sauf ce qui est mentionné au paragraphe suivant le cas échéant, nous n'avons pas relevé de faits qui nous laissent penser que les comptes [annuels / intermédiaires / consolidés] ne sont pas établis, dans tous leurs aspects significatifs, conformément au référentiel comptable applicable.</w:t>
      </w:r>
    </w:p>
    <w:p>
      <w:pPr>
        <w:spacing w:after="0" w:before="120"/>
      </w:pPr>
      <w:r>
        <w:t xml:space="preserve"/>
      </w:r>
    </w:p>
    <w:p>
      <w:pPr>
        <w:pStyle w:val="Heading2"/>
      </w:pPr>
      <w:r>
        <w:rPr>
          <w:rFonts w:ascii="Arial" w:cs="Arial" w:eastAsia="Arial" w:hAnsi="Arial"/>
          <w:b/>
          <w:bCs/>
          <w:color w:val="7B1F40"/>
          <w:sz w:val="24"/>
          <w:szCs w:val="24"/>
        </w:rPr>
        <w:t xml:space="preserve">Utilisation</w:t>
      </w:r>
    </w:p>
    <w:p>
      <w:pPr>
        <w:spacing w:after="80" w:before="80"/>
        <w:jc w:val="left"/>
      </w:pPr>
      <w:r>
        <w:rPr>
          <w:rFonts w:ascii="Arial" w:cs="Arial" w:eastAsia="Arial" w:hAnsi="Arial"/>
          <w:b w:val="false"/>
          <w:bCs w:val="false"/>
          <w:i w:val="false"/>
          <w:iCs w:val="false"/>
          <w:color w:val="000000"/>
          <w:sz w:val="22"/>
          <w:szCs w:val="22"/>
        </w:rPr>
        <w:t xml:space="preserve">Le présent rapport est établi dans le cadre de la mission contractuelle visée ci-avant. Il est destiné à [Dénomination] et [le cas échéant : aux tiers désignés]. Il ne peut être utilisé dans un contexte différent ni communiqué à d'autres tiers sans notre accord préalable.</w:t>
      </w:r>
    </w:p>
    <w:p>
      <w:pPr>
        <w:spacing w:after="0" w:before="120"/>
      </w:pPr>
      <w:r>
        <w:t xml:space="preserve"/>
      </w:r>
    </w:p>
    <w:p>
      <w:pPr>
        <w:pStyle w:val="Heading2"/>
      </w:pPr>
      <w:r>
        <w:rPr>
          <w:rFonts w:ascii="Arial" w:cs="Arial" w:eastAsia="Arial" w:hAnsi="Arial"/>
          <w:b/>
          <w:bCs/>
          <w:color w:val="7B1F40"/>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[Nom du commissaire aux comptes]</w:t>
      </w:r>
    </w:p>
    <w:p>
      <w:pPr>
        <w:spacing w:after="80" w:before="80"/>
        <w:jc w:val="left"/>
      </w:pPr>
      <w:r>
        <w:rPr>
          <w:rFonts w:ascii="Arial" w:cs="Arial" w:eastAsia="Arial" w:hAnsi="Arial"/>
          <w:b w:val="false"/>
          <w:bCs w:val="false"/>
          <w:i w:val="false"/>
          <w:iCs w:val="false"/>
          <w:color w:val="000000"/>
          <w:sz w:val="22"/>
          <w:szCs w:val="22"/>
        </w:rPr>
        <w:t xml:space="preserve">[Cabinet]</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7B1F40" w:sz="6"/>
        </w:pBdr>
        <w:spacing w:after="160" w:before="160"/>
      </w:pPr>
    </w:p>
    <w:p>
      <w:pPr>
        <w:spacing w:after="80" w:before="80"/>
        <w:jc w:val="left"/>
      </w:pPr>
      <w:r>
        <w:rPr>
          <w:rFonts w:ascii="Arial" w:cs="Arial" w:eastAsia="Arial" w:hAnsi="Arial"/>
          <w:b w:val="false"/>
          <w:bCs w:val="false"/>
          <w:i/>
          <w:iCs/>
          <w:color w:val="999999"/>
          <w:sz w:val="18"/>
          <w:szCs w:val="18"/>
        </w:rPr>
        <w:t xml:space="preserve">Modèle indicatif — ISRE 2400 (mission contractuelle CAC) — Modèles CNCC disponibles sur cncc.fr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2026-05-09T11:31:47.382Z</dcterms:created>
  <dcterms:modified xsi:type="dcterms:W3CDTF">2026-05-09T11:31:47.382Z</dcterms:modified>
</cp:coreProperties>
</file>

<file path=docProps/custom.xml><?xml version="1.0" encoding="utf-8"?>
<Properties xmlns="http://schemas.openxmlformats.org/officeDocument/2006/custom-properties" xmlns:vt="http://schemas.openxmlformats.org/officeDocument/2006/docPropsVTypes"/>
</file>