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F3864" w:sz="4"/>
              <w:left w:val="single" w:color="1F3864" w:sz="4"/>
              <w:bottom w:val="single" w:color="1F3864" w:sz="4"/>
              <w:right w:val="single" w:color="1F3864" w:sz="4"/>
            </w:tcBorders>
            <w:shd w:fill="DBEAFE" w:val="clear"/>
            <w:tcMar>
              <w:top w:type="dxa" w:w="180"/>
              <w:left w:type="dxa" w:w="240"/>
              <w:bottom w:type="dxa" w:w="180"/>
              <w:right w:type="dxa" w:w="240"/>
            </w:tcMar>
          </w:tcPr>
          <w:p>
            <w:pPr>
              <w:jc w:val="center"/>
            </w:pPr>
            <w:r>
              <w:rPr>
                <w:rFonts w:ascii="Arial" w:cs="Arial" w:eastAsia="Arial" w:hAnsi="Arial"/>
                <w:b/>
                <w:bCs/>
                <w:caps/>
                <w:color w:val="666666"/>
                <w:sz w:val="20"/>
                <w:szCs w:val="20"/>
              </w:rPr>
              <w:t xml:space="preserve">MODÈLE DE RAPPORT</w:t>
            </w:r>
          </w:p>
          <w:p>
            <w:pPr>
              <w:spacing w:before="40"/>
              <w:jc w:val="center"/>
            </w:pPr>
            <w:r>
              <w:rPr>
                <w:rFonts w:ascii="Arial" w:cs="Arial" w:eastAsia="Arial" w:hAnsi="Arial"/>
                <w:b/>
                <w:bCs/>
                <w:color w:val="1F3864"/>
                <w:sz w:val="32"/>
                <w:szCs w:val="32"/>
              </w:rPr>
              <w:t xml:space="preserve">Mission d'examen limité des comptes</w:t>
            </w:r>
          </w:p>
          <w:p>
            <w:pPr>
              <w:spacing w:before="40"/>
              <w:jc w:val="center"/>
            </w:pPr>
            <w:r>
              <w:rPr>
                <w:rFonts w:ascii="Arial" w:cs="Arial" w:eastAsia="Arial" w:hAnsi="Arial"/>
                <w:color w:val="444444"/>
                <w:sz w:val="22"/>
                <w:szCs w:val="22"/>
              </w:rPr>
              <w:t xml:space="preserve">Norme NP 2400 · Référentiel OEC</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2"/>
              <w:left w:val="single" w:color="F59E0B" w:sz="12"/>
              <w:bottom w:val="single" w:color="F59E0B" w:sz="2"/>
              <w:right w:val="single" w:color="F59E0B" w:sz="2"/>
            </w:tcBorders>
            <w:shd w:fill="FFFBEB" w:val="clear"/>
            <w:tcMar>
              <w:top w:type="dxa" w:w="120"/>
              <w:left w:type="dxa" w:w="240"/>
              <w:bottom w:type="dxa" w:w="120"/>
              <w:right w:type="dxa" w:w="240"/>
            </w:tcMar>
          </w:tcPr>
          <w:p>
            <w:r>
              <w:rPr>
                <w:rFonts w:ascii="Arial" w:cs="Arial" w:eastAsia="Arial" w:hAnsi="Arial"/>
                <w:b/>
                <w:bCs/>
                <w:color w:val="92400E"/>
                <w:sz w:val="20"/>
                <w:szCs w:val="20"/>
              </w:rPr>
              <w:t xml:space="preserve">⚠ IMPORTANT — </w:t>
            </w:r>
            <w:r>
              <w:rPr>
                <w:rFonts w:ascii="Arial" w:cs="Arial" w:eastAsia="Arial" w:hAnsi="Arial"/>
                <w:color w:val="92400E"/>
                <w:sz w:val="20"/>
                <w:szCs w:val="20"/>
              </w:rPr>
              <w:t xml:space="preserve">Ce modèle est fourni à titre indicatif, basé sur la norme NP 2400 (transposée de l'ISRE 2400). Les zones [entre crochets] sont à adapter. Modèles officiels disponibles sur l'extranet OEC.</w:t>
            </w:r>
          </w:p>
        </w:tc>
      </w:tr>
    </w:tbl>
    <w:p>
      <w:pPr>
        <w:spacing w:after="0" w:before="120"/>
      </w:pPr>
      <w:r>
        <w:t xml:space="preserve"/>
      </w:r>
    </w:p>
    <w:p>
      <w:pPr>
        <w:pStyle w:val="Heading1"/>
      </w:pPr>
      <w:r>
        <w:rPr>
          <w:rFonts w:ascii="Arial" w:cs="Arial" w:eastAsia="Arial" w:hAnsi="Arial"/>
          <w:b/>
          <w:bCs/>
          <w:color w:val="1F3864"/>
          <w:sz w:val="28"/>
          <w:szCs w:val="28"/>
        </w:rPr>
        <w:t xml:space="preserve">RAPPORT D'EXAMEN LIMITÉ</w:t>
      </w:r>
    </w:p>
    <w:p>
      <w:pPr>
        <w:spacing w:after="80" w:before="80"/>
        <w:jc w:val="left"/>
      </w:pPr>
      <w:r>
        <w:rPr>
          <w:rFonts w:ascii="Arial" w:cs="Arial" w:eastAsia="Arial" w:hAnsi="Arial"/>
          <w:b w:val="false"/>
          <w:bCs w:val="false"/>
          <w:i/>
          <w:iCs/>
          <w:color w:val="666666"/>
          <w:sz w:val="22"/>
          <w:szCs w:val="22"/>
        </w:rPr>
        <w:t xml:space="preserve">(Modèle sans réserve — NP 2400)</w:t>
      </w:r>
    </w:p>
    <w:p>
      <w:pPr>
        <w:pBdr>
          <w:bottom w:val="single" w:color="1F3864" w:sz="6"/>
        </w:pBdr>
        <w:spacing w:after="160" w:before="160"/>
      </w:pPr>
    </w:p>
    <w:p>
      <w:pPr>
        <w:spacing w:after="0" w:before="120"/>
      </w:pPr>
      <w:r>
        <w:t xml:space="preserve"/>
      </w:r>
    </w:p>
    <w:p>
      <w:pPr>
        <w:pStyle w:val="Heading2"/>
      </w:pPr>
      <w:r>
        <w:rPr>
          <w:rFonts w:ascii="Arial" w:cs="Arial" w:eastAsia="Arial" w:hAnsi="Arial"/>
          <w:b/>
          <w:bCs/>
          <w:color w:val="1F3864"/>
          <w:sz w:val="24"/>
          <w:szCs w:val="24"/>
        </w:rPr>
        <w:t xml:space="preserve">En-tête</w:t>
      </w:r>
    </w:p>
    <w:p>
      <w:pPr>
        <w:spacing w:after="80" w:before="80"/>
        <w:jc w:val="left"/>
      </w:pPr>
      <w:r>
        <w:rPr>
          <w:rFonts w:ascii="Arial" w:cs="Arial" w:eastAsia="Arial" w:hAnsi="Arial"/>
          <w:b w:val="false"/>
          <w:bCs w:val="false"/>
          <w:i w:val="false"/>
          <w:iCs w:val="false"/>
          <w:color w:val="000000"/>
          <w:sz w:val="22"/>
          <w:szCs w:val="22"/>
        </w:rPr>
        <w:t xml:space="preserve">[Nom et coordonnées de la structure d'exercice professionnel]</w:t>
      </w:r>
    </w:p>
    <w:p>
      <w:pPr>
        <w:spacing w:after="0" w:before="120"/>
      </w:pPr>
      <w:r>
        <w:t xml:space="preserve"/>
      </w:r>
    </w:p>
    <w:p>
      <w:pPr>
        <w:pStyle w:val="Heading2"/>
      </w:pPr>
      <w:r>
        <w:rPr>
          <w:rFonts w:ascii="Arial" w:cs="Arial" w:eastAsia="Arial" w:hAnsi="Arial"/>
          <w:b/>
          <w:bCs/>
          <w:color w:val="1F3864"/>
          <w:sz w:val="24"/>
          <w:szCs w:val="24"/>
        </w:rPr>
        <w:t xml:space="preserve">Destinataire</w:t>
      </w:r>
    </w:p>
    <w:p>
      <w:pPr>
        <w:spacing w:after="80" w:before="80"/>
        <w:jc w:val="left"/>
      </w:pPr>
      <w:r>
        <w:rPr>
          <w:rFonts w:ascii="Arial" w:cs="Arial" w:eastAsia="Arial" w:hAnsi="Arial"/>
          <w:b w:val="false"/>
          <w:bCs w:val="false"/>
          <w:i w:val="false"/>
          <w:iCs w:val="false"/>
          <w:color w:val="000000"/>
          <w:sz w:val="22"/>
          <w:szCs w:val="22"/>
        </w:rPr>
        <w:t xml:space="preserve">À l'attention de la direction de [Dénomination de l'entité]</w:t>
      </w:r>
    </w:p>
    <w:p>
      <w:pPr>
        <w:spacing w:after="0" w:before="120"/>
      </w:pPr>
      <w:r>
        <w:t xml:space="preserve"/>
      </w:r>
    </w:p>
    <w:p>
      <w:pPr>
        <w:pStyle w:val="Heading2"/>
      </w:pPr>
      <w:r>
        <w:rPr>
          <w:rFonts w:ascii="Arial" w:cs="Arial" w:eastAsia="Arial" w:hAnsi="Arial"/>
          <w:b/>
          <w:bCs/>
          <w:color w:val="1F3864"/>
          <w:sz w:val="24"/>
          <w:szCs w:val="24"/>
        </w:rPr>
        <w:t xml:space="preserve">Rapport d'examen limité sur les comptes [annuels / intermédiaires / consolidés]</w:t>
      </w:r>
    </w:p>
    <w:p>
      <w:pPr>
        <w:spacing w:after="80" w:before="80"/>
        <w:jc w:val="left"/>
      </w:pPr>
      <w:r>
        <w:rPr>
          <w:rFonts w:ascii="Arial" w:cs="Arial" w:eastAsia="Arial" w:hAnsi="Arial"/>
          <w:b w:val="false"/>
          <w:bCs w:val="false"/>
          <w:i w:val="false"/>
          <w:iCs w:val="false"/>
          <w:color w:val="000000"/>
          <w:sz w:val="22"/>
          <w:szCs w:val="22"/>
        </w:rPr>
        <w:t xml:space="preserve">Période : exercice clos le [date]</w:t>
      </w:r>
    </w:p>
    <w:p>
      <w:pPr>
        <w:spacing w:after="0" w:before="120"/>
      </w:pPr>
      <w:r>
        <w:t xml:space="preserve"/>
      </w:r>
    </w:p>
    <w:p>
      <w:pPr>
        <w:pStyle w:val="Heading2"/>
      </w:pPr>
      <w:r>
        <w:rPr>
          <w:rFonts w:ascii="Arial" w:cs="Arial" w:eastAsia="Arial" w:hAnsi="Arial"/>
          <w:b/>
          <w:bCs/>
          <w:color w:val="1F3864"/>
          <w:sz w:val="24"/>
          <w:szCs w:val="24"/>
        </w:rPr>
        <w:t xml:space="preserve">Introduction</w:t>
      </w:r>
    </w:p>
    <w:p>
      <w:pPr>
        <w:spacing w:after="80" w:before="80"/>
        <w:jc w:val="left"/>
      </w:pPr>
      <w:r>
        <w:rPr>
          <w:rFonts w:ascii="Arial" w:cs="Arial" w:eastAsia="Arial" w:hAnsi="Arial"/>
          <w:b w:val="false"/>
          <w:bCs w:val="false"/>
          <w:i w:val="false"/>
          <w:iCs w:val="false"/>
          <w:color w:val="000000"/>
          <w:sz w:val="22"/>
          <w:szCs w:val="22"/>
        </w:rPr>
        <w:t xml:space="preserve">En notre qualité de professionnel de l'expertise comptable, nous avons procédé à l'examen limité des comptes [annuels / intermédiaires / consolidés] de la société [dénomination], clos le [date], tels qu'ils sont joints au présent rapport.</w:t>
      </w:r>
    </w:p>
    <w:p>
      <w:pPr>
        <w:spacing w:after="0" w:before="120"/>
      </w:pPr>
      <w:r>
        <w:t xml:space="preserve"/>
      </w:r>
    </w:p>
    <w:p>
      <w:pPr>
        <w:pStyle w:val="Heading2"/>
      </w:pPr>
      <w:r>
        <w:rPr>
          <w:rFonts w:ascii="Arial" w:cs="Arial" w:eastAsia="Arial" w:hAnsi="Arial"/>
          <w:b/>
          <w:bCs/>
          <w:color w:val="1F3864"/>
          <w:sz w:val="24"/>
          <w:szCs w:val="24"/>
        </w:rPr>
        <w:t xml:space="preserve">Responsabilité de la direction</w:t>
      </w:r>
    </w:p>
    <w:p>
      <w:pPr>
        <w:spacing w:after="80" w:before="80"/>
        <w:jc w:val="left"/>
      </w:pPr>
      <w:r>
        <w:rPr>
          <w:rFonts w:ascii="Arial" w:cs="Arial" w:eastAsia="Arial" w:hAnsi="Arial"/>
          <w:b w:val="false"/>
          <w:bCs w:val="false"/>
          <w:i w:val="false"/>
          <w:iCs w:val="false"/>
          <w:color w:val="000000"/>
          <w:sz w:val="22"/>
          <w:szCs w:val="22"/>
        </w:rPr>
        <w:t xml:space="preserve">La direction est responsable de l'établissement et de la présentation sincère des comptes conformément au référentiel comptable [préciser : PCG / IFRS / etc.] et du contrôle interne qu'elle estime nécessaire.</w:t>
      </w:r>
    </w:p>
    <w:p>
      <w:pPr>
        <w:spacing w:after="0" w:before="120"/>
      </w:pPr>
      <w:r>
        <w:t xml:space="preserve"/>
      </w:r>
    </w:p>
    <w:p>
      <w:pPr>
        <w:pStyle w:val="Heading2"/>
      </w:pPr>
      <w:r>
        <w:rPr>
          <w:rFonts w:ascii="Arial" w:cs="Arial" w:eastAsia="Arial" w:hAnsi="Arial"/>
          <w:b/>
          <w:bCs/>
          <w:color w:val="1F3864"/>
          <w:sz w:val="24"/>
          <w:szCs w:val="24"/>
        </w:rPr>
        <w:t xml:space="preserve">Responsabilité du professionnel</w:t>
      </w:r>
    </w:p>
    <w:p>
      <w:pPr>
        <w:spacing w:after="80" w:before="80"/>
        <w:jc w:val="left"/>
      </w:pPr>
      <w:r>
        <w:rPr>
          <w:rFonts w:ascii="Arial" w:cs="Arial" w:eastAsia="Arial" w:hAnsi="Arial"/>
          <w:b w:val="false"/>
          <w:bCs w:val="false"/>
          <w:i w:val="false"/>
          <w:iCs w:val="false"/>
          <w:color w:val="000000"/>
          <w:sz w:val="22"/>
          <w:szCs w:val="22"/>
        </w:rPr>
        <w:t xml:space="preserve">Notre responsabilité est d'exprimer une conclusion sur ces comptes sur la base de notre examen limité. Nous avons conduit cet examen selon les normes professionnelles applicables. Un examen limité consiste essentiellement en :</w:t>
      </w:r>
    </w:p>
    <w:p>
      <w:pPr>
        <w:spacing w:after="40" w:before="40"/>
        <w:ind w:left="720"/>
      </w:pPr>
      <w:r>
        <w:rPr>
          <w:rFonts w:ascii="Arial" w:cs="Arial" w:eastAsia="Arial" w:hAnsi="Arial"/>
          <w:i/>
          <w:iCs/>
          <w:color w:val="666666"/>
          <w:sz w:val="20"/>
          <w:szCs w:val="20"/>
        </w:rPr>
        <w:t xml:space="preserve">[entretiens avec les personnes responsables des domaines financiers et comptables ;]</w:t>
      </w:r>
    </w:p>
    <w:p>
      <w:pPr>
        <w:spacing w:after="40" w:before="40"/>
        <w:ind w:left="720"/>
      </w:pPr>
      <w:r>
        <w:rPr>
          <w:rFonts w:ascii="Arial" w:cs="Arial" w:eastAsia="Arial" w:hAnsi="Arial"/>
          <w:i/>
          <w:iCs/>
          <w:color w:val="666666"/>
          <w:sz w:val="20"/>
          <w:szCs w:val="20"/>
        </w:rPr>
        <w:t xml:space="preserve">[procédures analytiques appliquées aux données financières ;]</w:t>
      </w:r>
    </w:p>
    <w:p>
      <w:pPr>
        <w:spacing w:after="80" w:before="80"/>
        <w:jc w:val="left"/>
      </w:pPr>
      <w:r>
        <w:rPr>
          <w:rFonts w:ascii="Arial" w:cs="Arial" w:eastAsia="Arial" w:hAnsi="Arial"/>
          <w:b w:val="false"/>
          <w:bCs w:val="false"/>
          <w:i w:val="false"/>
          <w:iCs w:val="false"/>
          <w:color w:val="000000"/>
          <w:sz w:val="22"/>
          <w:szCs w:val="22"/>
        </w:rPr>
        <w:t xml:space="preserve">La nature et l'étendue de ces procédures sont moins importantes que pour un audit. En conséquence, le niveau d'assurance fourni est inférieur à celui d'un audit.</w:t>
      </w:r>
    </w:p>
    <w:p>
      <w:pPr>
        <w:spacing w:after="0" w:before="120"/>
      </w:pPr>
      <w:r>
        <w:t xml:space="preserve"/>
      </w:r>
    </w:p>
    <w:p>
      <w:pPr>
        <w:pStyle w:val="Heading2"/>
      </w:pPr>
      <w:r>
        <w:rPr>
          <w:rFonts w:ascii="Arial" w:cs="Arial" w:eastAsia="Arial" w:hAnsi="Arial"/>
          <w:b/>
          <w:bCs/>
          <w:color w:val="1F3864"/>
          <w:sz w:val="24"/>
          <w:szCs w:val="24"/>
        </w:rPr>
        <w:t xml:space="preserve">Conclusion — Sans réserve</w:t>
      </w:r>
    </w:p>
    <w:p>
      <w:pPr>
        <w:spacing w:after="80" w:before="80"/>
        <w:jc w:val="left"/>
      </w:pPr>
      <w:r>
        <w:rPr>
          <w:rFonts w:ascii="Arial" w:cs="Arial" w:eastAsia="Arial" w:hAnsi="Arial"/>
          <w:b w:val="false"/>
          <w:bCs w:val="false"/>
          <w:i w:val="false"/>
          <w:iCs w:val="false"/>
          <w:color w:val="000000"/>
          <w:sz w:val="22"/>
          <w:szCs w:val="22"/>
        </w:rPr>
        <w:t xml:space="preserve">Sur la base de notre examen limité, et sauf ce qui est mentionné au paragraphe suivant le cas échéant, nous n'avons pas relevé d'anomalies significatives de nature à remettre en cause la conformité des comptes [annuels / intermédiaires / consolidés] de la société [dénomination], pour l'exercice clos le [date], aux règles et principes comptables [préciser référentiel] qui leur sont applicables.</w:t>
      </w:r>
    </w:p>
    <w:p>
      <w:pPr>
        <w:spacing w:after="0" w:before="120"/>
      </w:pPr>
      <w:r>
        <w:t xml:space="preserve"/>
      </w:r>
    </w:p>
    <w:p>
      <w:pPr>
        <w:pStyle w:val="Heading2"/>
      </w:pPr>
      <w:r>
        <w:rPr>
          <w:rFonts w:ascii="Arial" w:cs="Arial" w:eastAsia="Arial" w:hAnsi="Arial"/>
          <w:b/>
          <w:bCs/>
          <w:color w:val="1F3864"/>
          <w:sz w:val="24"/>
          <w:szCs w:val="24"/>
        </w:rPr>
        <w:t xml:space="preserve">Signature</w:t>
      </w:r>
    </w:p>
    <w:p>
      <w:pPr>
        <w:spacing w:after="80" w:before="80"/>
        <w:jc w:val="left"/>
      </w:pPr>
      <w:r>
        <w:rPr>
          <w:rFonts w:ascii="Arial" w:cs="Arial" w:eastAsia="Arial" w:hAnsi="Arial"/>
          <w:b w:val="false"/>
          <w:bCs w:val="false"/>
          <w:i w:val="false"/>
          <w:iCs w:val="false"/>
          <w:color w:val="000000"/>
          <w:sz w:val="22"/>
          <w:szCs w:val="22"/>
        </w:rPr>
        <w:t xml:space="preserve">[Lieu], le [Date]</w:t>
      </w:r>
    </w:p>
    <w:p>
      <w:pPr>
        <w:spacing w:after="0" w:before="120"/>
      </w:pPr>
      <w:r>
        <w:t xml:space="preserve"/>
      </w:r>
    </w:p>
    <w:p>
      <w:pPr>
        <w:spacing w:after="80" w:before="80"/>
        <w:jc w:val="left"/>
      </w:pPr>
      <w:r>
        <w:rPr>
          <w:rFonts w:ascii="Arial" w:cs="Arial" w:eastAsia="Arial" w:hAnsi="Arial"/>
          <w:b w:val="false"/>
          <w:bCs w:val="false"/>
          <w:i w:val="false"/>
          <w:iCs w:val="false"/>
          <w:color w:val="000000"/>
          <w:sz w:val="22"/>
          <w:szCs w:val="22"/>
        </w:rPr>
        <w:t xml:space="preserve">[Prénom et Nom du professionnel]</w:t>
      </w:r>
    </w:p>
    <w:p>
      <w:pPr>
        <w:spacing w:after="80" w:before="80"/>
        <w:jc w:val="left"/>
      </w:pPr>
      <w:r>
        <w:rPr>
          <w:rFonts w:ascii="Arial" w:cs="Arial" w:eastAsia="Arial" w:hAnsi="Arial"/>
          <w:b w:val="false"/>
          <w:bCs w:val="false"/>
          <w:i w:val="false"/>
          <w:iCs w:val="false"/>
          <w:color w:val="000000"/>
          <w:sz w:val="22"/>
          <w:szCs w:val="22"/>
        </w:rPr>
        <w:t xml:space="preserve">[Qualité — Expert-comptable inscrit au Tableau de l'Ordre]</w:t>
      </w:r>
    </w:p>
    <w:p>
      <w:pPr>
        <w:spacing w:after="80" w:before="80"/>
        <w:jc w:val="left"/>
      </w:pPr>
      <w:r>
        <w:rPr>
          <w:rFonts w:ascii="Arial" w:cs="Arial" w:eastAsia="Arial" w:hAnsi="Arial"/>
          <w:b w:val="false"/>
          <w:bCs w:val="false"/>
          <w:i w:val="false"/>
          <w:iCs w:val="false"/>
          <w:color w:val="000000"/>
          <w:sz w:val="22"/>
          <w:szCs w:val="22"/>
        </w:rPr>
        <w:t xml:space="preserve">[Signature]</w:t>
      </w:r>
    </w:p>
    <w:p>
      <w:pPr>
        <w:spacing w:after="0" w:before="120"/>
      </w:pPr>
      <w:r>
        <w:t xml:space="preserve"/>
      </w:r>
    </w:p>
    <w:p>
      <w:pPr>
        <w:pBdr>
          <w:bottom w:val="single" w:color="1F3864" w:sz="6"/>
        </w:pBdr>
        <w:spacing w:after="160" w:before="160"/>
      </w:pPr>
    </w:p>
    <w:p>
      <w:pPr>
        <w:spacing w:after="80" w:before="80"/>
        <w:jc w:val="left"/>
      </w:pPr>
      <w:r>
        <w:rPr>
          <w:rFonts w:ascii="Arial" w:cs="Arial" w:eastAsia="Arial" w:hAnsi="Arial"/>
          <w:b w:val="false"/>
          <w:bCs w:val="false"/>
          <w:i/>
          <w:iCs/>
          <w:color w:val="999999"/>
          <w:sz w:val="18"/>
          <w:szCs w:val="18"/>
        </w:rPr>
        <w:t xml:space="preserve">Modèle basé sur la NP 2400 (transposée de l'ISRE 2400) — Référentiel OEC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2026-05-09T11:23:58.640Z</dcterms:created>
  <dcterms:modified xsi:type="dcterms:W3CDTF">2026-05-09T11:23:58.640Z</dcterms:modified>
</cp:coreProperties>
</file>

<file path=docProps/custom.xml><?xml version="1.0" encoding="utf-8"?>
<Properties xmlns="http://schemas.openxmlformats.org/officeDocument/2006/custom-properties" xmlns:vt="http://schemas.openxmlformats.org/officeDocument/2006/docPropsVTypes"/>
</file>