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41C08" w14:textId="21BBE366" w:rsidR="009F0C11" w:rsidRDefault="00F30B8B"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 xml:space="preserve">Scintigraphie </w:t>
      </w:r>
      <w:r w:rsidR="006B70A5">
        <w:rPr>
          <w:rFonts w:ascii="Freestyle Script" w:hAnsi="Freestyle Script" w:cs="Arial"/>
          <w:sz w:val="56"/>
          <w:szCs w:val="56"/>
        </w:rPr>
        <w:t>des transporteurs de la dopamine dans le striatum (DATSCAN)</w:t>
      </w:r>
    </w:p>
    <w:p w14:paraId="31E4D77F" w14:textId="20168CB5" w:rsidR="006B70A5" w:rsidRPr="006B70A5" w:rsidRDefault="006B70A5" w:rsidP="0052767D">
      <w:pPr>
        <w:pStyle w:val="Paragraphedeliste"/>
        <w:numPr>
          <w:ilvl w:val="0"/>
          <w:numId w:val="1"/>
        </w:numPr>
        <w:spacing w:after="120" w:line="240" w:lineRule="auto"/>
        <w:rPr>
          <w:rFonts w:asciiTheme="majorHAnsi" w:hAnsiTheme="majorHAnsi" w:cs="Arial"/>
          <w:b/>
          <w:color w:val="ED7D31" w:themeColor="accent2"/>
          <w:sz w:val="32"/>
          <w:szCs w:val="32"/>
        </w:rPr>
      </w:pPr>
      <w:r w:rsidRPr="006B70A5">
        <w:rPr>
          <w:rFonts w:asciiTheme="majorHAnsi" w:hAnsiTheme="majorHAnsi" w:cs="Arial"/>
          <w:b/>
          <w:color w:val="ED7D31" w:themeColor="accent2"/>
          <w:sz w:val="32"/>
          <w:szCs w:val="32"/>
        </w:rPr>
        <w:t>Principe</w:t>
      </w:r>
    </w:p>
    <w:p w14:paraId="1C20BC0C" w14:textId="16E019EF" w:rsidR="006B70A5" w:rsidRPr="006B70A5" w:rsidRDefault="006B70A5" w:rsidP="00B60E4B">
      <w:pPr>
        <w:spacing w:after="0" w:line="240" w:lineRule="auto"/>
        <w:rPr>
          <w:rFonts w:cs="Arial"/>
          <w:sz w:val="20"/>
          <w:szCs w:val="20"/>
        </w:rPr>
      </w:pPr>
      <w:r w:rsidRPr="006B70A5">
        <w:rPr>
          <w:rFonts w:cs="Arial"/>
          <w:sz w:val="20"/>
          <w:szCs w:val="20"/>
        </w:rPr>
        <w:t xml:space="preserve">La scintigraphie des transporteurs de la dopamine est un examen d’imagerie diagnostique qui étudie la distribution d’un traceur radioactif au niveau du striatum (Noyau caudé et </w:t>
      </w:r>
      <w:proofErr w:type="spellStart"/>
      <w:r w:rsidRPr="006B70A5">
        <w:rPr>
          <w:rFonts w:cs="Arial"/>
          <w:sz w:val="20"/>
          <w:szCs w:val="20"/>
        </w:rPr>
        <w:t>Putamen</w:t>
      </w:r>
      <w:proofErr w:type="spellEnd"/>
      <w:r w:rsidRPr="006B70A5">
        <w:rPr>
          <w:rFonts w:cs="Arial"/>
          <w:sz w:val="20"/>
          <w:szCs w:val="20"/>
        </w:rPr>
        <w:t>). A l’heure actuelle, seul l’</w:t>
      </w:r>
      <w:proofErr w:type="spellStart"/>
      <w:r w:rsidRPr="006B70A5">
        <w:rPr>
          <w:rFonts w:cs="Arial"/>
          <w:sz w:val="20"/>
          <w:szCs w:val="20"/>
        </w:rPr>
        <w:t>ioflupane</w:t>
      </w:r>
      <w:proofErr w:type="spellEnd"/>
      <w:r w:rsidRPr="006B70A5">
        <w:rPr>
          <w:rFonts w:cs="Arial"/>
          <w:sz w:val="20"/>
          <w:szCs w:val="20"/>
        </w:rPr>
        <w:t xml:space="preserve"> est commercialisé en France. L’</w:t>
      </w:r>
      <w:proofErr w:type="spellStart"/>
      <w:r w:rsidRPr="006B70A5">
        <w:rPr>
          <w:rFonts w:cs="Arial"/>
          <w:sz w:val="20"/>
          <w:szCs w:val="20"/>
        </w:rPr>
        <w:t>ioflupane</w:t>
      </w:r>
      <w:proofErr w:type="spellEnd"/>
      <w:r w:rsidRPr="006B70A5">
        <w:rPr>
          <w:rFonts w:cs="Arial"/>
          <w:sz w:val="20"/>
          <w:szCs w:val="20"/>
        </w:rPr>
        <w:t xml:space="preserve"> est un analogue de la cocaïne présentant une affinité élevée pour le transporteur pr</w:t>
      </w:r>
      <w:r>
        <w:rPr>
          <w:rFonts w:cs="Arial"/>
          <w:sz w:val="20"/>
          <w:szCs w:val="20"/>
        </w:rPr>
        <w:t xml:space="preserve">ésynaptique de la dopamine. Ce </w:t>
      </w:r>
      <w:proofErr w:type="spellStart"/>
      <w:r w:rsidRPr="006B70A5">
        <w:rPr>
          <w:rFonts w:cs="Arial"/>
          <w:sz w:val="20"/>
          <w:szCs w:val="20"/>
        </w:rPr>
        <w:t>radiopharmaceutique</w:t>
      </w:r>
      <w:proofErr w:type="spellEnd"/>
      <w:r w:rsidRPr="006B70A5">
        <w:rPr>
          <w:rFonts w:cs="Arial"/>
          <w:sz w:val="20"/>
          <w:szCs w:val="20"/>
        </w:rPr>
        <w:t xml:space="preserve"> marqué à l’Iode 123 peut donc être utilisé comme un marqueur in vivo pour examiner l’intégrité des neurones dopaminergiques </w:t>
      </w:r>
      <w:proofErr w:type="spellStart"/>
      <w:r w:rsidRPr="006B70A5">
        <w:rPr>
          <w:rFonts w:cs="Arial"/>
          <w:sz w:val="20"/>
          <w:szCs w:val="20"/>
        </w:rPr>
        <w:t>nigrostriataux</w:t>
      </w:r>
      <w:proofErr w:type="spellEnd"/>
      <w:r w:rsidR="00FE77E1">
        <w:rPr>
          <w:rFonts w:cs="Arial"/>
          <w:sz w:val="20"/>
          <w:szCs w:val="20"/>
        </w:rPr>
        <w:t>.</w:t>
      </w:r>
    </w:p>
    <w:p w14:paraId="7CFD37BB" w14:textId="287A7F3A" w:rsidR="00D75CD5" w:rsidRDefault="00B74685" w:rsidP="0052767D">
      <w:pPr>
        <w:pStyle w:val="Titre1"/>
        <w:numPr>
          <w:ilvl w:val="0"/>
          <w:numId w:val="1"/>
        </w:numPr>
        <w:spacing w:after="0"/>
        <w:ind w:left="714" w:hanging="357"/>
        <w:rPr>
          <w:color w:val="ED7D31" w:themeColor="accent2"/>
        </w:rPr>
      </w:pPr>
      <w:r>
        <w:rPr>
          <w:color w:val="ED7D31" w:themeColor="accent2"/>
        </w:rPr>
        <w:t>Principales indications</w:t>
      </w:r>
      <w:r w:rsidR="006D3C6F">
        <w:rPr>
          <w:color w:val="ED7D31" w:themeColor="accent2"/>
        </w:rPr>
        <w:t xml:space="preserve"> et contres indications</w:t>
      </w:r>
    </w:p>
    <w:p w14:paraId="7E6F8A3D" w14:textId="05246AB2" w:rsidR="006D3C6F" w:rsidRPr="00C5554C" w:rsidRDefault="006D3C6F" w:rsidP="00C90D44">
      <w:pPr>
        <w:spacing w:after="0" w:line="240" w:lineRule="auto"/>
        <w:rPr>
          <w:b/>
        </w:rPr>
      </w:pPr>
      <w:r w:rsidRPr="00C5554C">
        <w:rPr>
          <w:b/>
        </w:rPr>
        <w:t>Indications</w:t>
      </w:r>
      <w:r w:rsidR="00C5554C">
        <w:rPr>
          <w:b/>
        </w:rPr>
        <w:t> :</w:t>
      </w:r>
    </w:p>
    <w:p w14:paraId="0597F27D" w14:textId="7202AA96" w:rsidR="00F30B8B" w:rsidRDefault="006B70A5" w:rsidP="0052767D">
      <w:pPr>
        <w:pStyle w:val="Paragraphedeliste"/>
        <w:numPr>
          <w:ilvl w:val="0"/>
          <w:numId w:val="3"/>
        </w:numPr>
        <w:spacing w:after="0" w:line="240" w:lineRule="auto"/>
        <w:rPr>
          <w:rFonts w:cs="Arial"/>
          <w:sz w:val="20"/>
          <w:szCs w:val="20"/>
        </w:rPr>
      </w:pPr>
      <w:r>
        <w:rPr>
          <w:rFonts w:cs="Arial"/>
          <w:sz w:val="20"/>
          <w:szCs w:val="20"/>
        </w:rPr>
        <w:t>Maladie de Parkinson</w:t>
      </w:r>
    </w:p>
    <w:p w14:paraId="6B574130" w14:textId="39BCC0E9" w:rsidR="006B70A5" w:rsidRPr="00C90D44" w:rsidRDefault="006B70A5" w:rsidP="0052767D">
      <w:pPr>
        <w:pStyle w:val="Paragraphedeliste"/>
        <w:numPr>
          <w:ilvl w:val="0"/>
          <w:numId w:val="3"/>
        </w:numPr>
        <w:spacing w:after="0" w:line="240" w:lineRule="auto"/>
        <w:rPr>
          <w:rFonts w:cs="Arial"/>
          <w:sz w:val="20"/>
          <w:szCs w:val="20"/>
        </w:rPr>
      </w:pPr>
      <w:r>
        <w:rPr>
          <w:rFonts w:cs="Arial"/>
          <w:sz w:val="20"/>
          <w:szCs w:val="20"/>
        </w:rPr>
        <w:t xml:space="preserve">Différentiation entre Maladie à </w:t>
      </w:r>
      <w:proofErr w:type="spellStart"/>
      <w:r>
        <w:rPr>
          <w:rFonts w:cs="Arial"/>
          <w:sz w:val="20"/>
          <w:szCs w:val="20"/>
        </w:rPr>
        <w:t>Corp</w:t>
      </w:r>
      <w:proofErr w:type="spellEnd"/>
      <w:r>
        <w:rPr>
          <w:rFonts w:cs="Arial"/>
          <w:sz w:val="20"/>
          <w:szCs w:val="20"/>
        </w:rPr>
        <w:t xml:space="preserve"> de </w:t>
      </w:r>
      <w:proofErr w:type="spellStart"/>
      <w:r>
        <w:rPr>
          <w:rFonts w:cs="Arial"/>
          <w:sz w:val="20"/>
          <w:szCs w:val="20"/>
        </w:rPr>
        <w:t>Lewy</w:t>
      </w:r>
      <w:proofErr w:type="spellEnd"/>
      <w:r>
        <w:rPr>
          <w:rFonts w:cs="Arial"/>
          <w:sz w:val="20"/>
          <w:szCs w:val="20"/>
        </w:rPr>
        <w:t xml:space="preserve"> et Alzheimer</w:t>
      </w:r>
    </w:p>
    <w:p w14:paraId="5028733A" w14:textId="511D4323" w:rsidR="006D3C6F" w:rsidRPr="00C5554C" w:rsidRDefault="006D3C6F" w:rsidP="00C90D44">
      <w:pPr>
        <w:spacing w:after="0" w:line="240" w:lineRule="auto"/>
        <w:rPr>
          <w:b/>
        </w:rPr>
      </w:pPr>
      <w:r w:rsidRPr="00C5554C">
        <w:rPr>
          <w:b/>
        </w:rPr>
        <w:t>Contres Indications</w:t>
      </w:r>
      <w:r w:rsidR="00C5554C">
        <w:rPr>
          <w:b/>
        </w:rPr>
        <w:t> :</w:t>
      </w:r>
    </w:p>
    <w:p w14:paraId="343D83A3" w14:textId="6784916A" w:rsidR="006D3C6F" w:rsidRDefault="006D3C6F" w:rsidP="0052767D">
      <w:pPr>
        <w:pStyle w:val="Paragraphedeliste"/>
        <w:numPr>
          <w:ilvl w:val="0"/>
          <w:numId w:val="2"/>
        </w:numPr>
        <w:spacing w:after="0" w:line="240" w:lineRule="auto"/>
        <w:rPr>
          <w:sz w:val="20"/>
          <w:szCs w:val="20"/>
        </w:rPr>
      </w:pPr>
      <w:r>
        <w:rPr>
          <w:sz w:val="20"/>
          <w:szCs w:val="20"/>
        </w:rPr>
        <w:t>Grossesse (relative)</w:t>
      </w:r>
    </w:p>
    <w:p w14:paraId="63CB854B" w14:textId="212FB5E7" w:rsidR="006D3C6F" w:rsidRPr="006D3C6F" w:rsidRDefault="00F30B8B" w:rsidP="0052767D">
      <w:pPr>
        <w:pStyle w:val="Paragraphedeliste"/>
        <w:numPr>
          <w:ilvl w:val="0"/>
          <w:numId w:val="2"/>
        </w:numPr>
        <w:spacing w:after="0" w:line="240" w:lineRule="auto"/>
        <w:rPr>
          <w:sz w:val="20"/>
          <w:szCs w:val="20"/>
        </w:rPr>
      </w:pPr>
      <w:r>
        <w:rPr>
          <w:sz w:val="20"/>
          <w:szCs w:val="20"/>
        </w:rPr>
        <w:t>Allaitement</w:t>
      </w:r>
    </w:p>
    <w:p w14:paraId="2EF1DA53" w14:textId="7FEF2FCC" w:rsidR="009F0C11" w:rsidRDefault="0047540C" w:rsidP="0052767D">
      <w:pPr>
        <w:pStyle w:val="Titre1"/>
        <w:numPr>
          <w:ilvl w:val="0"/>
          <w:numId w:val="1"/>
        </w:numPr>
        <w:rPr>
          <w:color w:val="ED7D31" w:themeColor="accent2"/>
        </w:rPr>
      </w:pPr>
      <w:proofErr w:type="spellStart"/>
      <w:r w:rsidRPr="00D44A03">
        <w:rPr>
          <w:color w:val="ED7D31" w:themeColor="accent2"/>
        </w:rPr>
        <w:t>Radiopharmaceutiques</w:t>
      </w:r>
      <w:proofErr w:type="spellEnd"/>
    </w:p>
    <w:p w14:paraId="1609B280" w14:textId="530276D7" w:rsidR="0087260F" w:rsidRPr="0087260F" w:rsidRDefault="0087260F" w:rsidP="0087260F">
      <w:r w:rsidRPr="00E0384B">
        <w:rPr>
          <w:b/>
          <w:sz w:val="24"/>
          <w:szCs w:val="24"/>
        </w:rPr>
        <w:t>Caractéristiques physiques</w:t>
      </w:r>
      <w:r>
        <w:rPr>
          <w:b/>
          <w:sz w:val="24"/>
          <w:szCs w:val="24"/>
        </w:rPr>
        <w:t> :</w:t>
      </w:r>
    </w:p>
    <w:tbl>
      <w:tblPr>
        <w:tblStyle w:val="TableauGrille5Fonc-Accentuation2"/>
        <w:tblW w:w="10627" w:type="dxa"/>
        <w:tblLook w:val="04A0" w:firstRow="1" w:lastRow="0" w:firstColumn="1" w:lastColumn="0" w:noHBand="0" w:noVBand="1"/>
      </w:tblPr>
      <w:tblGrid>
        <w:gridCol w:w="1397"/>
        <w:gridCol w:w="3560"/>
        <w:gridCol w:w="2394"/>
        <w:gridCol w:w="866"/>
        <w:gridCol w:w="992"/>
        <w:gridCol w:w="1418"/>
      </w:tblGrid>
      <w:tr w:rsidR="0087260F" w:rsidRPr="002C4901" w14:paraId="0C03CB69" w14:textId="77777777" w:rsidTr="00990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B83FB4" w14:textId="77777777" w:rsidR="0087260F" w:rsidRPr="002C4901" w:rsidRDefault="0087260F" w:rsidP="00990230">
            <w:pPr>
              <w:jc w:val="center"/>
              <w:rPr>
                <w:sz w:val="20"/>
                <w:szCs w:val="20"/>
              </w:rPr>
            </w:pPr>
            <w:r w:rsidRPr="002C4901">
              <w:rPr>
                <w:sz w:val="20"/>
                <w:szCs w:val="20"/>
              </w:rPr>
              <w:t>Radionucléide</w:t>
            </w:r>
          </w:p>
        </w:tc>
        <w:tc>
          <w:tcPr>
            <w:tcW w:w="3560" w:type="dxa"/>
            <w:vAlign w:val="center"/>
          </w:tcPr>
          <w:p w14:paraId="6C70AA9D"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Production</w:t>
            </w:r>
          </w:p>
        </w:tc>
        <w:tc>
          <w:tcPr>
            <w:tcW w:w="2394" w:type="dxa"/>
            <w:vAlign w:val="center"/>
          </w:tcPr>
          <w:p w14:paraId="394E3B27"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Mode de décroissance</w:t>
            </w:r>
          </w:p>
        </w:tc>
        <w:tc>
          <w:tcPr>
            <w:tcW w:w="866" w:type="dxa"/>
            <w:vAlign w:val="center"/>
          </w:tcPr>
          <w:p w14:paraId="09401339"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992" w:type="dxa"/>
            <w:vAlign w:val="center"/>
          </w:tcPr>
          <w:p w14:paraId="7A2E3331"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1418" w:type="dxa"/>
            <w:vAlign w:val="center"/>
          </w:tcPr>
          <w:p w14:paraId="596ED590" w14:textId="77777777" w:rsidR="0087260F" w:rsidRPr="002C4901" w:rsidRDefault="0087260F" w:rsidP="00990230">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X ou γ</w:t>
            </w:r>
          </w:p>
        </w:tc>
      </w:tr>
      <w:tr w:rsidR="0087260F" w:rsidRPr="002C4901" w14:paraId="449365E5" w14:textId="77777777" w:rsidTr="00990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5C276E" w14:textId="77777777" w:rsidR="0087260F" w:rsidRPr="002C4901" w:rsidRDefault="0087260F" w:rsidP="00990230">
            <w:pPr>
              <w:jc w:val="center"/>
              <w:rPr>
                <w:sz w:val="20"/>
                <w:szCs w:val="20"/>
                <w:vertAlign w:val="superscript"/>
              </w:rPr>
            </w:pPr>
            <w:r w:rsidRPr="00354F9E">
              <w:rPr>
                <w:sz w:val="20"/>
                <w:szCs w:val="20"/>
                <w:vertAlign w:val="superscript"/>
              </w:rPr>
              <w:t>123</w:t>
            </w:r>
            <w:r w:rsidRPr="00354F9E">
              <w:rPr>
                <w:sz w:val="20"/>
                <w:szCs w:val="20"/>
              </w:rPr>
              <w:t>I</w:t>
            </w:r>
          </w:p>
        </w:tc>
        <w:tc>
          <w:tcPr>
            <w:tcW w:w="3560" w:type="dxa"/>
            <w:vAlign w:val="center"/>
          </w:tcPr>
          <w:p w14:paraId="32619748" w14:textId="77777777" w:rsidR="0087260F" w:rsidRPr="00183BED"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3BED">
              <w:rPr>
                <w:sz w:val="20"/>
                <w:szCs w:val="20"/>
              </w:rPr>
              <w:t>Cyclotron</w:t>
            </w:r>
          </w:p>
          <w:p w14:paraId="64F56358" w14:textId="77777777" w:rsidR="0087260F" w:rsidRPr="00183BED"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3BED">
              <w:rPr>
                <w:sz w:val="20"/>
                <w:szCs w:val="20"/>
                <w:vertAlign w:val="superscript"/>
              </w:rPr>
              <w:t>124</w:t>
            </w:r>
            <w:r w:rsidRPr="00183BED">
              <w:rPr>
                <w:sz w:val="20"/>
                <w:szCs w:val="20"/>
              </w:rPr>
              <w:t xml:space="preserve">I + p </w:t>
            </w:r>
            <w:r w:rsidRPr="00183BED">
              <w:rPr>
                <w:sz w:val="20"/>
                <w:szCs w:val="20"/>
              </w:rPr>
              <w:sym w:font="Wingdings" w:char="F0E0"/>
            </w:r>
            <w:r w:rsidRPr="00183BED">
              <w:rPr>
                <w:sz w:val="20"/>
                <w:szCs w:val="20"/>
              </w:rPr>
              <w:t xml:space="preserve"> 2n + </w:t>
            </w:r>
            <w:r w:rsidRPr="00183BED">
              <w:rPr>
                <w:sz w:val="20"/>
                <w:szCs w:val="20"/>
                <w:vertAlign w:val="superscript"/>
              </w:rPr>
              <w:t>123</w:t>
            </w:r>
            <w:r w:rsidRPr="00183BED">
              <w:rPr>
                <w:sz w:val="20"/>
                <w:szCs w:val="20"/>
              </w:rPr>
              <w:t xml:space="preserve">I ou </w:t>
            </w:r>
            <w:r w:rsidRPr="00183BED">
              <w:rPr>
                <w:sz w:val="20"/>
                <w:szCs w:val="20"/>
                <w:vertAlign w:val="superscript"/>
              </w:rPr>
              <w:t>127</w:t>
            </w:r>
            <w:r w:rsidRPr="00183BED">
              <w:rPr>
                <w:sz w:val="20"/>
                <w:szCs w:val="20"/>
              </w:rPr>
              <w:t xml:space="preserve">I + p </w:t>
            </w:r>
            <w:r w:rsidRPr="00183BED">
              <w:rPr>
                <w:sz w:val="20"/>
                <w:szCs w:val="20"/>
              </w:rPr>
              <w:sym w:font="Wingdings" w:char="F0E0"/>
            </w:r>
            <w:r w:rsidRPr="00183BED">
              <w:rPr>
                <w:sz w:val="20"/>
                <w:szCs w:val="20"/>
              </w:rPr>
              <w:t xml:space="preserve"> 5n + </w:t>
            </w:r>
            <w:r w:rsidRPr="00183BED">
              <w:rPr>
                <w:sz w:val="20"/>
                <w:szCs w:val="20"/>
                <w:vertAlign w:val="superscript"/>
              </w:rPr>
              <w:t>123</w:t>
            </w:r>
            <w:r w:rsidRPr="00183BED">
              <w:rPr>
                <w:sz w:val="20"/>
                <w:szCs w:val="20"/>
              </w:rPr>
              <w:t>I</w:t>
            </w:r>
          </w:p>
        </w:tc>
        <w:tc>
          <w:tcPr>
            <w:tcW w:w="2394" w:type="dxa"/>
            <w:vAlign w:val="center"/>
          </w:tcPr>
          <w:p w14:paraId="34F11E08" w14:textId="77777777" w:rsidR="0087260F"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Capture électronique</w:t>
            </w:r>
          </w:p>
          <w:p w14:paraId="2119E470" w14:textId="77777777" w:rsidR="0087260F" w:rsidRPr="00183BED"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sidRPr="00354F9E">
              <w:rPr>
                <w:sz w:val="20"/>
                <w:szCs w:val="20"/>
                <w:vertAlign w:val="superscript"/>
              </w:rPr>
              <w:t>123</w:t>
            </w:r>
            <w:r w:rsidRPr="00354F9E">
              <w:rPr>
                <w:sz w:val="20"/>
                <w:szCs w:val="20"/>
              </w:rPr>
              <w:t>I</w:t>
            </w:r>
            <w:r>
              <w:rPr>
                <w:sz w:val="20"/>
                <w:szCs w:val="20"/>
              </w:rPr>
              <w:t xml:space="preserve"> + e</w:t>
            </w:r>
            <w:r>
              <w:rPr>
                <w:sz w:val="20"/>
                <w:szCs w:val="20"/>
                <w:vertAlign w:val="superscript"/>
              </w:rPr>
              <w:t>-</w:t>
            </w:r>
            <w:r>
              <w:rPr>
                <w:sz w:val="20"/>
                <w:szCs w:val="20"/>
              </w:rPr>
              <w:t xml:space="preserve"> </w:t>
            </w:r>
            <w:r w:rsidRPr="00183BED">
              <w:rPr>
                <w:sz w:val="20"/>
                <w:szCs w:val="20"/>
              </w:rPr>
              <w:sym w:font="Wingdings" w:char="F0E0"/>
            </w:r>
            <w:r>
              <w:rPr>
                <w:sz w:val="20"/>
                <w:szCs w:val="20"/>
              </w:rPr>
              <w:t xml:space="preserve"> </w:t>
            </w:r>
            <w:r>
              <w:rPr>
                <w:sz w:val="20"/>
                <w:szCs w:val="20"/>
                <w:vertAlign w:val="superscript"/>
              </w:rPr>
              <w:t>123</w:t>
            </w:r>
            <w:r>
              <w:rPr>
                <w:sz w:val="20"/>
                <w:szCs w:val="20"/>
              </w:rPr>
              <w:t xml:space="preserve">Xe + </w:t>
            </w:r>
            <w:r w:rsidRPr="00711D35">
              <w:rPr>
                <w:sz w:val="20"/>
                <w:szCs w:val="20"/>
                <w:vertAlign w:val="superscript"/>
              </w:rPr>
              <w:t>0</w:t>
            </w:r>
            <w:r>
              <w:rPr>
                <w:sz w:val="20"/>
                <w:szCs w:val="20"/>
              </w:rPr>
              <w:t>ν</w:t>
            </w:r>
          </w:p>
        </w:tc>
        <w:tc>
          <w:tcPr>
            <w:tcW w:w="866" w:type="dxa"/>
            <w:vAlign w:val="center"/>
          </w:tcPr>
          <w:p w14:paraId="795D53C2" w14:textId="77777777" w:rsidR="0087260F" w:rsidRPr="002C4901"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13.6 h</w:t>
            </w:r>
          </w:p>
        </w:tc>
        <w:tc>
          <w:tcPr>
            <w:tcW w:w="992" w:type="dxa"/>
            <w:vAlign w:val="center"/>
          </w:tcPr>
          <w:p w14:paraId="0C6326BA" w14:textId="77777777" w:rsidR="0087260F" w:rsidRPr="002C4901"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8" w:type="dxa"/>
            <w:vAlign w:val="center"/>
          </w:tcPr>
          <w:p w14:paraId="52D15AC0" w14:textId="77777777" w:rsidR="0087260F" w:rsidRPr="002C4901" w:rsidRDefault="0087260F" w:rsidP="0099023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159 </w:t>
            </w:r>
            <w:proofErr w:type="spellStart"/>
            <w:r>
              <w:rPr>
                <w:sz w:val="20"/>
                <w:szCs w:val="20"/>
              </w:rPr>
              <w:t>keV</w:t>
            </w:r>
            <w:proofErr w:type="spellEnd"/>
          </w:p>
        </w:tc>
      </w:tr>
    </w:tbl>
    <w:p w14:paraId="336C3EE2" w14:textId="20960082" w:rsidR="00711D35" w:rsidRDefault="00B7479F" w:rsidP="0087260F">
      <w:pPr>
        <w:spacing w:before="120" w:after="0" w:line="240" w:lineRule="auto"/>
        <w:rPr>
          <w:b/>
        </w:rPr>
      </w:pPr>
      <w:r w:rsidRPr="00E0384B">
        <w:rPr>
          <w:b/>
          <w:sz w:val="24"/>
          <w:szCs w:val="24"/>
        </w:rPr>
        <w:t>Caractéristiques des molécules vectrices utilisées :</w:t>
      </w:r>
      <w:r w:rsidR="00711D35">
        <w:rPr>
          <w:b/>
        </w:rPr>
        <w:t xml:space="preserve"> </w:t>
      </w:r>
    </w:p>
    <w:p w14:paraId="359E2C01" w14:textId="6E617DD0" w:rsidR="0087260F" w:rsidRPr="0087260F" w:rsidRDefault="0087260F" w:rsidP="0052767D">
      <w:pPr>
        <w:pStyle w:val="Paragraphedeliste"/>
        <w:numPr>
          <w:ilvl w:val="0"/>
          <w:numId w:val="10"/>
        </w:numPr>
        <w:spacing w:after="0" w:line="240" w:lineRule="auto"/>
        <w:ind w:left="714" w:hanging="357"/>
      </w:pPr>
      <w:proofErr w:type="spellStart"/>
      <w:r w:rsidRPr="0087260F">
        <w:t>Ioflupane</w:t>
      </w:r>
      <w:proofErr w:type="spellEnd"/>
    </w:p>
    <w:p w14:paraId="5199E7DD" w14:textId="187795FA" w:rsidR="006D148E" w:rsidRDefault="0075774F" w:rsidP="0052767D">
      <w:pPr>
        <w:pStyle w:val="Titre1"/>
        <w:numPr>
          <w:ilvl w:val="0"/>
          <w:numId w:val="1"/>
        </w:numPr>
        <w:rPr>
          <w:color w:val="ED7D31" w:themeColor="accent2"/>
        </w:rPr>
      </w:pPr>
      <w:r>
        <w:rPr>
          <w:color w:val="ED7D31" w:themeColor="accent2"/>
        </w:rPr>
        <w:t>Activité injectée, mode d’administration et données dosimétriques</w:t>
      </w:r>
    </w:p>
    <w:p w14:paraId="46F818A4" w14:textId="7297D557" w:rsidR="00F30B8B" w:rsidRPr="00227181" w:rsidRDefault="00F30B8B" w:rsidP="00F30B8B">
      <w:pPr>
        <w:spacing w:after="0" w:line="240" w:lineRule="auto"/>
        <w:rPr>
          <w:b/>
        </w:rPr>
      </w:pPr>
      <w:r w:rsidRPr="00227181">
        <w:rPr>
          <w:b/>
        </w:rPr>
        <w:t xml:space="preserve"> Adulte :  </w:t>
      </w:r>
    </w:p>
    <w:p w14:paraId="2676FA8D" w14:textId="277AB25C" w:rsidR="00DB1455" w:rsidRDefault="00FE77E1" w:rsidP="0052767D">
      <w:pPr>
        <w:pStyle w:val="Paragraphedeliste"/>
        <w:numPr>
          <w:ilvl w:val="0"/>
          <w:numId w:val="4"/>
        </w:numPr>
        <w:spacing w:after="0" w:line="240" w:lineRule="auto"/>
        <w:ind w:left="714" w:hanging="357"/>
        <w:rPr>
          <w:sz w:val="20"/>
          <w:szCs w:val="20"/>
        </w:rPr>
      </w:pPr>
      <w:r>
        <w:rPr>
          <w:sz w:val="20"/>
          <w:szCs w:val="20"/>
        </w:rPr>
        <w:t xml:space="preserve">100 </w:t>
      </w:r>
      <w:proofErr w:type="spellStart"/>
      <w:r w:rsidR="0087260F">
        <w:rPr>
          <w:sz w:val="20"/>
          <w:szCs w:val="20"/>
        </w:rPr>
        <w:t>MBq</w:t>
      </w:r>
      <w:proofErr w:type="spellEnd"/>
      <w:r w:rsidR="00810626">
        <w:rPr>
          <w:sz w:val="20"/>
          <w:szCs w:val="20"/>
        </w:rPr>
        <w:t xml:space="preserve"> par voie IV</w:t>
      </w:r>
    </w:p>
    <w:p w14:paraId="29193729" w14:textId="54C95D81" w:rsidR="00B60E4B" w:rsidRPr="00F30B8B" w:rsidRDefault="00B60E4B" w:rsidP="0052767D">
      <w:pPr>
        <w:pStyle w:val="Paragraphedeliste"/>
        <w:numPr>
          <w:ilvl w:val="0"/>
          <w:numId w:val="4"/>
        </w:numPr>
        <w:spacing w:after="0" w:line="240" w:lineRule="auto"/>
        <w:ind w:left="714" w:hanging="357"/>
        <w:rPr>
          <w:sz w:val="20"/>
          <w:szCs w:val="20"/>
        </w:rPr>
      </w:pPr>
      <w:r>
        <w:rPr>
          <w:sz w:val="20"/>
          <w:szCs w:val="20"/>
        </w:rPr>
        <w:t>Dose efficace : 23.5 µSv/</w:t>
      </w:r>
      <w:proofErr w:type="spellStart"/>
      <w:r>
        <w:rPr>
          <w:sz w:val="20"/>
          <w:szCs w:val="20"/>
        </w:rPr>
        <w:t>MBq</w:t>
      </w:r>
      <w:proofErr w:type="spellEnd"/>
      <w:r>
        <w:rPr>
          <w:sz w:val="20"/>
          <w:szCs w:val="20"/>
        </w:rPr>
        <w:t xml:space="preserve"> (Adulte)</w:t>
      </w:r>
    </w:p>
    <w:p w14:paraId="03D37CE8" w14:textId="414234A5" w:rsidR="009B2BA3" w:rsidRDefault="00DB1455" w:rsidP="0052767D">
      <w:pPr>
        <w:pStyle w:val="Titre1"/>
        <w:numPr>
          <w:ilvl w:val="0"/>
          <w:numId w:val="1"/>
        </w:numPr>
        <w:spacing w:after="0"/>
        <w:ind w:left="714" w:hanging="357"/>
        <w:rPr>
          <w:color w:val="ED7D31" w:themeColor="accent2"/>
        </w:rPr>
      </w:pPr>
      <w:r w:rsidRPr="00F30B8B">
        <w:rPr>
          <w:color w:val="ED7D31" w:themeColor="accent2"/>
        </w:rPr>
        <w:t>Déroulement de l’examen</w:t>
      </w:r>
      <w:r w:rsidR="00B04176">
        <w:rPr>
          <w:color w:val="ED7D31" w:themeColor="accent2"/>
        </w:rPr>
        <w:t> </w:t>
      </w:r>
    </w:p>
    <w:p w14:paraId="23EA8592" w14:textId="44F82543" w:rsidR="0087260F" w:rsidRPr="00810626" w:rsidRDefault="00D14DB3" w:rsidP="0052767D">
      <w:pPr>
        <w:pStyle w:val="Paragraphedeliste"/>
        <w:numPr>
          <w:ilvl w:val="0"/>
          <w:numId w:val="4"/>
        </w:numPr>
        <w:spacing w:after="0" w:line="240" w:lineRule="auto"/>
        <w:ind w:hanging="357"/>
        <w:rPr>
          <w:sz w:val="20"/>
          <w:szCs w:val="20"/>
        </w:rPr>
      </w:pPr>
      <w:r w:rsidRPr="00810626">
        <w:rPr>
          <w:sz w:val="20"/>
          <w:szCs w:val="20"/>
        </w:rPr>
        <w:t>Non à jeun</w:t>
      </w:r>
    </w:p>
    <w:p w14:paraId="7EBA5D7E" w14:textId="4545E479" w:rsidR="00227181" w:rsidRPr="00810626" w:rsidRDefault="00227181" w:rsidP="0052767D">
      <w:pPr>
        <w:pStyle w:val="Paragraphedeliste"/>
        <w:numPr>
          <w:ilvl w:val="0"/>
          <w:numId w:val="4"/>
        </w:numPr>
        <w:spacing w:after="0" w:line="240" w:lineRule="auto"/>
        <w:ind w:hanging="357"/>
        <w:rPr>
          <w:sz w:val="20"/>
          <w:szCs w:val="20"/>
        </w:rPr>
      </w:pPr>
      <w:r w:rsidRPr="00810626">
        <w:rPr>
          <w:sz w:val="20"/>
          <w:szCs w:val="20"/>
        </w:rPr>
        <w:t>Ingestion d’une gélule d’iodure de potassium 1h avant l’examen et 12 h après l’injection (2 gélules) :</w:t>
      </w:r>
    </w:p>
    <w:p w14:paraId="13646A9E" w14:textId="4C07F0E9" w:rsidR="00227181" w:rsidRPr="00810626" w:rsidRDefault="00227181" w:rsidP="0052767D">
      <w:pPr>
        <w:pStyle w:val="Paragraphedeliste"/>
        <w:numPr>
          <w:ilvl w:val="0"/>
          <w:numId w:val="11"/>
        </w:numPr>
        <w:spacing w:after="0" w:line="240" w:lineRule="auto"/>
        <w:ind w:hanging="357"/>
        <w:rPr>
          <w:sz w:val="20"/>
          <w:szCs w:val="20"/>
        </w:rPr>
      </w:pPr>
      <w:r w:rsidRPr="00810626">
        <w:rPr>
          <w:sz w:val="20"/>
          <w:szCs w:val="20"/>
        </w:rPr>
        <w:t>Blocage d</w:t>
      </w:r>
      <w:r w:rsidR="00242363">
        <w:rPr>
          <w:sz w:val="20"/>
          <w:szCs w:val="20"/>
        </w:rPr>
        <w:t>e la glande thyroïdienne pour</w:t>
      </w:r>
      <w:r w:rsidRPr="00810626">
        <w:rPr>
          <w:sz w:val="20"/>
          <w:szCs w:val="20"/>
        </w:rPr>
        <w:t xml:space="preserve"> protéger de l’iode 123.</w:t>
      </w:r>
    </w:p>
    <w:p w14:paraId="57B33806" w14:textId="4195520A" w:rsidR="00227181" w:rsidRPr="00810626" w:rsidRDefault="00227181" w:rsidP="0052767D">
      <w:pPr>
        <w:pStyle w:val="Paragraphedeliste"/>
        <w:numPr>
          <w:ilvl w:val="0"/>
          <w:numId w:val="12"/>
        </w:numPr>
        <w:spacing w:after="0" w:line="240" w:lineRule="auto"/>
        <w:ind w:hanging="357"/>
        <w:rPr>
          <w:sz w:val="20"/>
          <w:szCs w:val="20"/>
        </w:rPr>
      </w:pPr>
      <w:r w:rsidRPr="00810626">
        <w:rPr>
          <w:sz w:val="20"/>
          <w:szCs w:val="20"/>
        </w:rPr>
        <w:t>Hydratation abondante du patient entre injection et examen mais également après :</w:t>
      </w:r>
    </w:p>
    <w:p w14:paraId="18791AA2" w14:textId="036DEF65" w:rsidR="00227181" w:rsidRPr="00810626" w:rsidRDefault="00227181" w:rsidP="0052767D">
      <w:pPr>
        <w:pStyle w:val="Paragraphedeliste"/>
        <w:numPr>
          <w:ilvl w:val="0"/>
          <w:numId w:val="11"/>
        </w:numPr>
        <w:spacing w:after="0" w:line="240" w:lineRule="auto"/>
        <w:ind w:hanging="357"/>
        <w:rPr>
          <w:sz w:val="20"/>
          <w:szCs w:val="20"/>
        </w:rPr>
      </w:pPr>
      <w:r w:rsidRPr="00810626">
        <w:rPr>
          <w:sz w:val="20"/>
          <w:szCs w:val="20"/>
        </w:rPr>
        <w:t>Elimination par les voies urinaires</w:t>
      </w:r>
    </w:p>
    <w:p w14:paraId="1FF6E597" w14:textId="4F8811A1" w:rsidR="00227181" w:rsidRPr="00810626" w:rsidRDefault="00810626" w:rsidP="0052767D">
      <w:pPr>
        <w:pStyle w:val="Paragraphedeliste"/>
        <w:numPr>
          <w:ilvl w:val="0"/>
          <w:numId w:val="12"/>
        </w:numPr>
        <w:spacing w:after="0" w:line="240" w:lineRule="auto"/>
        <w:ind w:hanging="357"/>
        <w:rPr>
          <w:sz w:val="20"/>
          <w:szCs w:val="20"/>
        </w:rPr>
      </w:pPr>
      <w:r w:rsidRPr="00810626">
        <w:rPr>
          <w:sz w:val="20"/>
          <w:szCs w:val="20"/>
        </w:rPr>
        <w:t xml:space="preserve">Injection de </w:t>
      </w:r>
      <w:proofErr w:type="spellStart"/>
      <w:r w:rsidRPr="00810626">
        <w:rPr>
          <w:sz w:val="20"/>
          <w:szCs w:val="20"/>
        </w:rPr>
        <w:t>Ioflupane</w:t>
      </w:r>
      <w:proofErr w:type="spellEnd"/>
      <w:r>
        <w:rPr>
          <w:sz w:val="20"/>
          <w:szCs w:val="20"/>
        </w:rPr>
        <w:t xml:space="preserve"> (DATSCAN)</w:t>
      </w:r>
      <w:r w:rsidRPr="00810626">
        <w:rPr>
          <w:sz w:val="20"/>
          <w:szCs w:val="20"/>
        </w:rPr>
        <w:t xml:space="preserve"> 3 h </w:t>
      </w:r>
      <w:r>
        <w:rPr>
          <w:sz w:val="20"/>
          <w:szCs w:val="20"/>
        </w:rPr>
        <w:t xml:space="preserve">à 6 h </w:t>
      </w:r>
      <w:r w:rsidRPr="00810626">
        <w:rPr>
          <w:sz w:val="20"/>
          <w:szCs w:val="20"/>
        </w:rPr>
        <w:t xml:space="preserve">avant l’examen </w:t>
      </w:r>
    </w:p>
    <w:p w14:paraId="45D8D92C" w14:textId="1967D3D2" w:rsidR="002A0B84" w:rsidRDefault="00DB1455" w:rsidP="0052767D">
      <w:pPr>
        <w:pStyle w:val="Titre1"/>
        <w:numPr>
          <w:ilvl w:val="0"/>
          <w:numId w:val="1"/>
        </w:numPr>
        <w:spacing w:after="0"/>
        <w:ind w:left="714" w:hanging="357"/>
        <w:rPr>
          <w:color w:val="ED7D31" w:themeColor="accent2"/>
        </w:rPr>
      </w:pPr>
      <w:r w:rsidRPr="00F30B8B">
        <w:rPr>
          <w:color w:val="ED7D31" w:themeColor="accent2"/>
        </w:rPr>
        <w:t>Acquisition</w:t>
      </w:r>
    </w:p>
    <w:p w14:paraId="118CBC3A" w14:textId="77777777" w:rsidR="003C699B" w:rsidRPr="00C90D44" w:rsidRDefault="003C699B" w:rsidP="0052767D">
      <w:pPr>
        <w:pStyle w:val="Paragraphedeliste"/>
        <w:numPr>
          <w:ilvl w:val="0"/>
          <w:numId w:val="5"/>
        </w:numPr>
        <w:spacing w:after="0" w:line="240" w:lineRule="auto"/>
        <w:ind w:hanging="357"/>
        <w:rPr>
          <w:sz w:val="20"/>
          <w:szCs w:val="20"/>
        </w:rPr>
      </w:pPr>
      <w:r w:rsidRPr="00C90D44">
        <w:rPr>
          <w:sz w:val="20"/>
          <w:szCs w:val="20"/>
        </w:rPr>
        <w:t>Patient en DD, bras le long du corps</w:t>
      </w:r>
    </w:p>
    <w:p w14:paraId="5F1DC4DA" w14:textId="77777777" w:rsidR="003C699B" w:rsidRPr="00C90D44" w:rsidRDefault="003C699B" w:rsidP="0052767D">
      <w:pPr>
        <w:pStyle w:val="Paragraphedeliste"/>
        <w:numPr>
          <w:ilvl w:val="0"/>
          <w:numId w:val="5"/>
        </w:numPr>
        <w:spacing w:after="0" w:line="240" w:lineRule="auto"/>
        <w:ind w:hanging="357"/>
        <w:rPr>
          <w:sz w:val="20"/>
          <w:szCs w:val="20"/>
        </w:rPr>
      </w:pPr>
      <w:r w:rsidRPr="00C90D44">
        <w:rPr>
          <w:sz w:val="20"/>
          <w:szCs w:val="20"/>
        </w:rPr>
        <w:t>Têtière + contention bras + coussin pour les genoux : La règle d'or est de privilégier le confort du patient car c'est un examen long tout en optimisant au maximum le positionnement de la tête.</w:t>
      </w:r>
    </w:p>
    <w:p w14:paraId="1415B97D" w14:textId="75E070D5" w:rsidR="003C699B" w:rsidRPr="00C90D44" w:rsidRDefault="00810626" w:rsidP="0052767D">
      <w:pPr>
        <w:pStyle w:val="Paragraphedeliste"/>
        <w:numPr>
          <w:ilvl w:val="0"/>
          <w:numId w:val="5"/>
        </w:numPr>
        <w:spacing w:after="0" w:line="240" w:lineRule="auto"/>
        <w:ind w:hanging="357"/>
        <w:rPr>
          <w:sz w:val="20"/>
          <w:szCs w:val="20"/>
        </w:rPr>
      </w:pPr>
      <w:r>
        <w:rPr>
          <w:sz w:val="20"/>
          <w:szCs w:val="20"/>
        </w:rPr>
        <w:t>Collimateur M</w:t>
      </w:r>
      <w:r w:rsidR="003C699B" w:rsidRPr="00C90D44">
        <w:rPr>
          <w:sz w:val="20"/>
          <w:szCs w:val="20"/>
        </w:rPr>
        <w:t>EHR (ou convergent, en éventail), matrice 128*128 et zoom de 1.23</w:t>
      </w:r>
    </w:p>
    <w:p w14:paraId="20799F2B" w14:textId="77777777" w:rsidR="003C699B" w:rsidRPr="00C90D44" w:rsidRDefault="003C699B" w:rsidP="0052767D">
      <w:pPr>
        <w:pStyle w:val="Paragraphedeliste"/>
        <w:numPr>
          <w:ilvl w:val="0"/>
          <w:numId w:val="5"/>
        </w:numPr>
        <w:spacing w:after="0" w:line="240" w:lineRule="auto"/>
        <w:ind w:hanging="357"/>
        <w:rPr>
          <w:sz w:val="20"/>
          <w:szCs w:val="20"/>
        </w:rPr>
      </w:pPr>
      <w:r w:rsidRPr="00C90D44">
        <w:rPr>
          <w:sz w:val="20"/>
          <w:szCs w:val="20"/>
        </w:rPr>
        <w:t xml:space="preserve">Acquisition tomographique en mode continue 4 tours : </w:t>
      </w:r>
    </w:p>
    <w:p w14:paraId="74DBF548" w14:textId="77777777" w:rsidR="003C699B" w:rsidRPr="00C90D44" w:rsidRDefault="003C699B" w:rsidP="0052767D">
      <w:pPr>
        <w:pStyle w:val="Paragraphedeliste"/>
        <w:numPr>
          <w:ilvl w:val="0"/>
          <w:numId w:val="6"/>
        </w:numPr>
        <w:spacing w:after="0" w:line="240" w:lineRule="auto"/>
        <w:ind w:hanging="357"/>
        <w:rPr>
          <w:sz w:val="20"/>
          <w:szCs w:val="20"/>
        </w:rPr>
      </w:pPr>
      <w:r w:rsidRPr="00C90D44">
        <w:rPr>
          <w:sz w:val="20"/>
          <w:szCs w:val="20"/>
        </w:rPr>
        <w:t>Du fait des pathologies neurologiques, les patients bénéficiant de cet examen sont agités.</w:t>
      </w:r>
    </w:p>
    <w:p w14:paraId="355DC1FE" w14:textId="77777777" w:rsidR="003C699B" w:rsidRPr="00C90D44" w:rsidRDefault="003C699B" w:rsidP="0052767D">
      <w:pPr>
        <w:pStyle w:val="Paragraphedeliste"/>
        <w:numPr>
          <w:ilvl w:val="0"/>
          <w:numId w:val="6"/>
        </w:numPr>
        <w:spacing w:after="0" w:line="240" w:lineRule="auto"/>
        <w:ind w:hanging="357"/>
        <w:rPr>
          <w:sz w:val="20"/>
          <w:szCs w:val="20"/>
        </w:rPr>
      </w:pPr>
      <w:r w:rsidRPr="00C90D44">
        <w:rPr>
          <w:sz w:val="20"/>
          <w:szCs w:val="20"/>
        </w:rPr>
        <w:t>Une acquisition sur plusieurs tours permet d’en supprimer si le patient bouge en cours d’acquisitions</w:t>
      </w:r>
    </w:p>
    <w:p w14:paraId="68E80A68" w14:textId="77777777" w:rsidR="003C699B" w:rsidRPr="00C90D44" w:rsidRDefault="003C699B" w:rsidP="0052767D">
      <w:pPr>
        <w:pStyle w:val="Paragraphedeliste"/>
        <w:numPr>
          <w:ilvl w:val="0"/>
          <w:numId w:val="7"/>
        </w:numPr>
        <w:spacing w:after="0" w:line="240" w:lineRule="auto"/>
        <w:ind w:hanging="357"/>
        <w:rPr>
          <w:sz w:val="20"/>
          <w:szCs w:val="20"/>
        </w:rPr>
      </w:pPr>
      <w:r w:rsidRPr="00C90D44">
        <w:rPr>
          <w:sz w:val="20"/>
          <w:szCs w:val="20"/>
        </w:rPr>
        <w:t>Rotation :</w:t>
      </w:r>
    </w:p>
    <w:p w14:paraId="28E42F85" w14:textId="77777777" w:rsidR="003C699B" w:rsidRPr="00C90D44" w:rsidRDefault="003C699B" w:rsidP="0052767D">
      <w:pPr>
        <w:pStyle w:val="Paragraphedeliste"/>
        <w:numPr>
          <w:ilvl w:val="0"/>
          <w:numId w:val="8"/>
        </w:numPr>
        <w:spacing w:after="0" w:line="240" w:lineRule="auto"/>
        <w:ind w:hanging="357"/>
        <w:rPr>
          <w:sz w:val="20"/>
          <w:szCs w:val="20"/>
        </w:rPr>
      </w:pPr>
      <w:r w:rsidRPr="00C90D44">
        <w:rPr>
          <w:sz w:val="20"/>
          <w:szCs w:val="20"/>
        </w:rPr>
        <w:t>Circulaire centré sur le crane</w:t>
      </w:r>
    </w:p>
    <w:p w14:paraId="54FFBED5" w14:textId="77777777" w:rsidR="003C699B" w:rsidRPr="00C90D44" w:rsidRDefault="003C699B" w:rsidP="0052767D">
      <w:pPr>
        <w:pStyle w:val="Paragraphedeliste"/>
        <w:numPr>
          <w:ilvl w:val="0"/>
          <w:numId w:val="8"/>
        </w:numPr>
        <w:spacing w:after="0" w:line="240" w:lineRule="auto"/>
        <w:ind w:hanging="357"/>
        <w:rPr>
          <w:sz w:val="20"/>
          <w:szCs w:val="20"/>
        </w:rPr>
      </w:pPr>
      <w:r w:rsidRPr="00C90D44">
        <w:rPr>
          <w:sz w:val="20"/>
          <w:szCs w:val="20"/>
        </w:rPr>
        <w:t>Rayon de rotation le plus faible possible (&lt;16cm)</w:t>
      </w:r>
    </w:p>
    <w:p w14:paraId="7248D016" w14:textId="0E999105" w:rsidR="003C699B" w:rsidRPr="00C90D44" w:rsidRDefault="003C699B" w:rsidP="0052767D">
      <w:pPr>
        <w:pStyle w:val="Paragraphedeliste"/>
        <w:numPr>
          <w:ilvl w:val="0"/>
          <w:numId w:val="8"/>
        </w:numPr>
        <w:spacing w:after="0" w:line="240" w:lineRule="auto"/>
        <w:ind w:hanging="357"/>
        <w:rPr>
          <w:sz w:val="20"/>
          <w:szCs w:val="20"/>
        </w:rPr>
      </w:pPr>
      <w:r w:rsidRPr="00C90D44">
        <w:rPr>
          <w:sz w:val="20"/>
          <w:szCs w:val="20"/>
        </w:rPr>
        <w:t>60 projections sur 360° en mode continu</w:t>
      </w:r>
      <w:r w:rsidR="00436EBD">
        <w:rPr>
          <w:sz w:val="20"/>
          <w:szCs w:val="20"/>
        </w:rPr>
        <w:t xml:space="preserve"> (30 projection/ détecteurs sur 180° si double tête)</w:t>
      </w:r>
    </w:p>
    <w:p w14:paraId="6E63CC9B" w14:textId="33EE28D6" w:rsidR="003C699B" w:rsidRPr="00C90D44" w:rsidRDefault="003C699B" w:rsidP="0052767D">
      <w:pPr>
        <w:pStyle w:val="Paragraphedeliste"/>
        <w:numPr>
          <w:ilvl w:val="0"/>
          <w:numId w:val="8"/>
        </w:numPr>
        <w:spacing w:after="0" w:line="240" w:lineRule="auto"/>
        <w:ind w:hanging="357"/>
        <w:rPr>
          <w:sz w:val="20"/>
          <w:szCs w:val="20"/>
        </w:rPr>
      </w:pPr>
      <w:r w:rsidRPr="00C90D44">
        <w:rPr>
          <w:sz w:val="20"/>
          <w:szCs w:val="20"/>
        </w:rPr>
        <w:t xml:space="preserve">4 tours, </w:t>
      </w:r>
      <w:r w:rsidR="00810626">
        <w:rPr>
          <w:sz w:val="20"/>
          <w:szCs w:val="20"/>
        </w:rPr>
        <w:t xml:space="preserve">10 </w:t>
      </w:r>
      <w:r w:rsidRPr="00C90D44">
        <w:rPr>
          <w:sz w:val="20"/>
          <w:szCs w:val="20"/>
        </w:rPr>
        <w:t>min/tour, durée d’acqu</w:t>
      </w:r>
      <w:r w:rsidR="00810626">
        <w:rPr>
          <w:sz w:val="20"/>
          <w:szCs w:val="20"/>
        </w:rPr>
        <w:t>isition de 40</w:t>
      </w:r>
      <w:r w:rsidRPr="00C90D44">
        <w:rPr>
          <w:sz w:val="20"/>
          <w:szCs w:val="20"/>
        </w:rPr>
        <w:t xml:space="preserve"> minutes</w:t>
      </w:r>
    </w:p>
    <w:p w14:paraId="3F35E486" w14:textId="6AA58907" w:rsidR="003C699B" w:rsidRDefault="003C699B" w:rsidP="0052767D">
      <w:pPr>
        <w:pStyle w:val="Paragraphedeliste"/>
        <w:numPr>
          <w:ilvl w:val="0"/>
          <w:numId w:val="7"/>
        </w:numPr>
        <w:spacing w:after="0" w:line="240" w:lineRule="auto"/>
        <w:ind w:hanging="357"/>
        <w:rPr>
          <w:sz w:val="20"/>
          <w:szCs w:val="20"/>
        </w:rPr>
      </w:pPr>
      <w:r w:rsidRPr="00C90D44">
        <w:rPr>
          <w:sz w:val="20"/>
          <w:szCs w:val="20"/>
        </w:rPr>
        <w:t>Examen TDM pour la correction d’atténuation</w:t>
      </w:r>
    </w:p>
    <w:p w14:paraId="6B86C049" w14:textId="77777777" w:rsidR="00C5554C" w:rsidRDefault="00C5554C" w:rsidP="00C5554C">
      <w:pPr>
        <w:pStyle w:val="Paragraphedeliste"/>
        <w:spacing w:after="0" w:line="240" w:lineRule="auto"/>
        <w:rPr>
          <w:sz w:val="20"/>
          <w:szCs w:val="20"/>
        </w:rPr>
      </w:pPr>
    </w:p>
    <w:p w14:paraId="2BC95B69" w14:textId="77777777" w:rsidR="00810626" w:rsidRPr="00C90D44" w:rsidRDefault="00810626" w:rsidP="00810626">
      <w:pPr>
        <w:pStyle w:val="Paragraphedeliste"/>
        <w:spacing w:after="0" w:line="240" w:lineRule="auto"/>
        <w:rPr>
          <w:sz w:val="20"/>
          <w:szCs w:val="20"/>
        </w:rPr>
      </w:pPr>
    </w:p>
    <w:p w14:paraId="4F18C28B" w14:textId="51310324" w:rsidR="003C699B" w:rsidRDefault="003C699B" w:rsidP="0052767D">
      <w:pPr>
        <w:pStyle w:val="Paragraphedeliste"/>
        <w:numPr>
          <w:ilvl w:val="0"/>
          <w:numId w:val="1"/>
        </w:numPr>
        <w:rPr>
          <w:color w:val="ED7D31" w:themeColor="accent2"/>
          <w:sz w:val="32"/>
          <w:szCs w:val="32"/>
        </w:rPr>
      </w:pPr>
      <w:r w:rsidRPr="003C699B">
        <w:rPr>
          <w:color w:val="ED7D31" w:themeColor="accent2"/>
          <w:sz w:val="32"/>
          <w:szCs w:val="32"/>
        </w:rPr>
        <w:t>Traitement de l’image</w:t>
      </w:r>
    </w:p>
    <w:p w14:paraId="215AB249" w14:textId="77777777" w:rsidR="00C90D44" w:rsidRPr="00C90D44" w:rsidRDefault="00C90D44" w:rsidP="0052767D">
      <w:pPr>
        <w:pStyle w:val="Paragraphedeliste"/>
        <w:numPr>
          <w:ilvl w:val="0"/>
          <w:numId w:val="7"/>
        </w:numPr>
        <w:spacing w:after="0" w:line="240" w:lineRule="auto"/>
        <w:rPr>
          <w:b/>
        </w:rPr>
      </w:pPr>
      <w:r w:rsidRPr="00C90D44">
        <w:rPr>
          <w:b/>
        </w:rPr>
        <w:t xml:space="preserve">Reconstruction : </w:t>
      </w:r>
      <w:r w:rsidRPr="00A55339">
        <w:rPr>
          <w:sz w:val="20"/>
          <w:szCs w:val="20"/>
        </w:rPr>
        <w:t>Privilégier reconstruction itérative</w:t>
      </w:r>
    </w:p>
    <w:p w14:paraId="2F7656B1" w14:textId="77777777" w:rsidR="00C90D44" w:rsidRPr="00C90D44" w:rsidRDefault="00C90D44" w:rsidP="0052767D">
      <w:pPr>
        <w:pStyle w:val="Paragraphedeliste"/>
        <w:numPr>
          <w:ilvl w:val="0"/>
          <w:numId w:val="7"/>
        </w:numPr>
        <w:spacing w:after="0" w:line="240" w:lineRule="auto"/>
        <w:rPr>
          <w:b/>
        </w:rPr>
      </w:pPr>
      <w:r w:rsidRPr="00C90D44">
        <w:rPr>
          <w:b/>
        </w:rPr>
        <w:t>Correction de l’atténuation, du diffusé et de la réponse impulsionnelle :</w:t>
      </w:r>
      <w:r w:rsidRPr="00C90D44">
        <w:rPr>
          <w:sz w:val="20"/>
          <w:szCs w:val="20"/>
        </w:rPr>
        <w:t xml:space="preserve"> Possible mais non obligatoire du fait de la symétrie du cerveau. Le problème peut se poser en cas d’évaluation de structures profondes (noyaux gris centraux (NGC), hippocampes) ou de quantification absolue.</w:t>
      </w:r>
    </w:p>
    <w:p w14:paraId="69E8894F" w14:textId="77777777" w:rsidR="00C90D44" w:rsidRPr="00C90D44" w:rsidRDefault="00C90D44" w:rsidP="0052767D">
      <w:pPr>
        <w:pStyle w:val="Paragraphedeliste"/>
        <w:numPr>
          <w:ilvl w:val="0"/>
          <w:numId w:val="7"/>
        </w:numPr>
        <w:spacing w:after="0" w:line="240" w:lineRule="auto"/>
        <w:rPr>
          <w:b/>
        </w:rPr>
      </w:pPr>
      <w:r w:rsidRPr="00C90D44">
        <w:rPr>
          <w:b/>
        </w:rPr>
        <w:t>Réorientation :</w:t>
      </w:r>
      <w:r w:rsidRPr="00C90D44">
        <w:rPr>
          <w:sz w:val="20"/>
          <w:szCs w:val="20"/>
        </w:rPr>
        <w:t xml:space="preserve"> Dépend de la pathologie mais dans la plupart des cas, une réorientation passant par la ligne Commissure Antérieure - Commissure Postérieure (CA-CP) est la plus indiquée car elle est facilement repérable sur les coupes sagittales (</w:t>
      </w:r>
      <w:proofErr w:type="spellStart"/>
      <w:r w:rsidRPr="00C90D44">
        <w:rPr>
          <w:sz w:val="20"/>
          <w:szCs w:val="20"/>
        </w:rPr>
        <w:t>fig</w:t>
      </w:r>
      <w:proofErr w:type="spellEnd"/>
      <w:r w:rsidRPr="00C90D44">
        <w:rPr>
          <w:sz w:val="20"/>
          <w:szCs w:val="20"/>
        </w:rPr>
        <w:t xml:space="preserve"> 1).</w:t>
      </w:r>
    </w:p>
    <w:p w14:paraId="1DDDED0B" w14:textId="17FE7A5E" w:rsidR="00810626" w:rsidRDefault="00C90D44" w:rsidP="00810626">
      <w:pPr>
        <w:jc w:val="center"/>
        <w:rPr>
          <w:b/>
        </w:rPr>
      </w:pPr>
      <w:r>
        <w:rPr>
          <w:noProof/>
          <w:lang w:eastAsia="fr-FR"/>
        </w:rPr>
        <w:drawing>
          <wp:inline distT="0" distB="0" distL="0" distR="0" wp14:anchorId="161159F0" wp14:editId="32B40582">
            <wp:extent cx="2536466" cy="2246076"/>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5283" cy="2253884"/>
                    </a:xfrm>
                    <a:prstGeom prst="rect">
                      <a:avLst/>
                    </a:prstGeom>
                  </pic:spPr>
                </pic:pic>
              </a:graphicData>
            </a:graphic>
          </wp:inline>
        </w:drawing>
      </w:r>
    </w:p>
    <w:p w14:paraId="605260A1" w14:textId="15F5F726" w:rsidR="00C90D44" w:rsidRPr="0052767D" w:rsidRDefault="00810626" w:rsidP="00242363">
      <w:pPr>
        <w:pStyle w:val="Paragraphedeliste"/>
        <w:numPr>
          <w:ilvl w:val="0"/>
          <w:numId w:val="13"/>
        </w:numPr>
        <w:spacing w:after="0" w:line="240" w:lineRule="auto"/>
        <w:ind w:left="714" w:hanging="357"/>
        <w:rPr>
          <w:b/>
        </w:rPr>
      </w:pPr>
      <w:r>
        <w:rPr>
          <w:b/>
        </w:rPr>
        <w:t xml:space="preserve">Visualisation des coupes : </w:t>
      </w:r>
      <w:r w:rsidR="0052767D" w:rsidRPr="0052767D">
        <w:rPr>
          <w:sz w:val="20"/>
          <w:szCs w:val="20"/>
        </w:rPr>
        <w:t xml:space="preserve">A la différence de la scintigraphie de perfusion, l'essentiel de l'information est </w:t>
      </w:r>
      <w:r w:rsidR="00242363" w:rsidRPr="0052767D">
        <w:rPr>
          <w:sz w:val="20"/>
          <w:szCs w:val="20"/>
        </w:rPr>
        <w:t>apporté</w:t>
      </w:r>
      <w:r w:rsidR="0052767D" w:rsidRPr="0052767D">
        <w:rPr>
          <w:sz w:val="20"/>
          <w:szCs w:val="20"/>
        </w:rPr>
        <w:t xml:space="preserve"> par les coupes transversales. Celles-ci seront centrées sur les noyaux gris centraux sur des coupes d’environ 7 à 10 mm d’épaisseur.</w:t>
      </w:r>
    </w:p>
    <w:p w14:paraId="2FBC3DE4" w14:textId="65B89A00" w:rsidR="00C90D44" w:rsidRDefault="00C90D44" w:rsidP="0052767D">
      <w:pPr>
        <w:pStyle w:val="Paragraphedeliste"/>
        <w:numPr>
          <w:ilvl w:val="0"/>
          <w:numId w:val="1"/>
        </w:numPr>
        <w:rPr>
          <w:color w:val="ED7D31" w:themeColor="accent2"/>
          <w:sz w:val="32"/>
          <w:szCs w:val="32"/>
        </w:rPr>
      </w:pPr>
      <w:r w:rsidRPr="00C90D44">
        <w:rPr>
          <w:color w:val="ED7D31" w:themeColor="accent2"/>
          <w:sz w:val="32"/>
          <w:szCs w:val="32"/>
        </w:rPr>
        <w:t>Analyse de l’image</w:t>
      </w:r>
    </w:p>
    <w:p w14:paraId="75F8DE0B" w14:textId="3008A809" w:rsidR="00C90D44" w:rsidRDefault="00D06FED" w:rsidP="0052767D">
      <w:pPr>
        <w:pStyle w:val="Paragraphedeliste"/>
        <w:numPr>
          <w:ilvl w:val="0"/>
          <w:numId w:val="9"/>
        </w:numPr>
        <w:rPr>
          <w:sz w:val="20"/>
          <w:szCs w:val="20"/>
        </w:rPr>
      </w:pPr>
      <w:r w:rsidRPr="00D06FED">
        <w:rPr>
          <w:sz w:val="20"/>
          <w:szCs w:val="20"/>
        </w:rPr>
        <w:t>L’interprétation visuelle seule (c'est-à-dire sans quantification associée) reste suffisante en routine clinique</w:t>
      </w:r>
      <w:r w:rsidR="0052767D">
        <w:rPr>
          <w:sz w:val="20"/>
          <w:szCs w:val="20"/>
        </w:rPr>
        <w:t>.</w:t>
      </w:r>
    </w:p>
    <w:p w14:paraId="0262B46F" w14:textId="77777777" w:rsidR="0052767D" w:rsidRPr="0052767D" w:rsidRDefault="0052767D" w:rsidP="0052767D">
      <w:pPr>
        <w:pStyle w:val="Paragraphedeliste"/>
        <w:numPr>
          <w:ilvl w:val="0"/>
          <w:numId w:val="9"/>
        </w:numPr>
        <w:rPr>
          <w:sz w:val="20"/>
          <w:szCs w:val="20"/>
        </w:rPr>
      </w:pPr>
      <w:r w:rsidRPr="0052767D">
        <w:rPr>
          <w:sz w:val="20"/>
          <w:szCs w:val="20"/>
        </w:rPr>
        <w:t xml:space="preserve">La classification suivante peut être retenue :  </w:t>
      </w:r>
    </w:p>
    <w:p w14:paraId="6FB29912" w14:textId="77777777" w:rsidR="0052767D" w:rsidRDefault="0052767D" w:rsidP="0052767D">
      <w:pPr>
        <w:pStyle w:val="Paragraphedeliste"/>
        <w:numPr>
          <w:ilvl w:val="0"/>
          <w:numId w:val="14"/>
        </w:numPr>
        <w:rPr>
          <w:sz w:val="20"/>
          <w:szCs w:val="20"/>
        </w:rPr>
      </w:pPr>
      <w:r w:rsidRPr="0052767D">
        <w:rPr>
          <w:sz w:val="20"/>
          <w:szCs w:val="20"/>
        </w:rPr>
        <w:t>Type I : fixation normale.</w:t>
      </w:r>
    </w:p>
    <w:p w14:paraId="7A248E02" w14:textId="6C687BF1" w:rsidR="0052767D" w:rsidRDefault="0052767D" w:rsidP="0052767D">
      <w:pPr>
        <w:pStyle w:val="Paragraphedeliste"/>
        <w:numPr>
          <w:ilvl w:val="0"/>
          <w:numId w:val="14"/>
        </w:numPr>
        <w:rPr>
          <w:sz w:val="20"/>
          <w:szCs w:val="20"/>
        </w:rPr>
      </w:pPr>
      <w:r w:rsidRPr="0052767D">
        <w:rPr>
          <w:sz w:val="20"/>
          <w:szCs w:val="20"/>
        </w:rPr>
        <w:t xml:space="preserve">Type II : fixation asymétrique des </w:t>
      </w:r>
      <w:proofErr w:type="spellStart"/>
      <w:r w:rsidRPr="0052767D">
        <w:rPr>
          <w:sz w:val="20"/>
          <w:szCs w:val="20"/>
        </w:rPr>
        <w:t>putamens</w:t>
      </w:r>
      <w:proofErr w:type="spellEnd"/>
      <w:r w:rsidRPr="0052767D">
        <w:rPr>
          <w:sz w:val="20"/>
          <w:szCs w:val="20"/>
        </w:rPr>
        <w:t xml:space="preserve"> </w:t>
      </w:r>
    </w:p>
    <w:p w14:paraId="0B87DD83" w14:textId="77777777" w:rsidR="00242363" w:rsidRDefault="0052767D" w:rsidP="0052767D">
      <w:pPr>
        <w:pStyle w:val="Paragraphedeliste"/>
        <w:numPr>
          <w:ilvl w:val="0"/>
          <w:numId w:val="14"/>
        </w:numPr>
        <w:rPr>
          <w:sz w:val="20"/>
          <w:szCs w:val="20"/>
        </w:rPr>
      </w:pPr>
      <w:r w:rsidRPr="0052767D">
        <w:rPr>
          <w:sz w:val="20"/>
          <w:szCs w:val="20"/>
        </w:rPr>
        <w:t xml:space="preserve">Type III : fixation caudée exclusive </w:t>
      </w:r>
    </w:p>
    <w:p w14:paraId="4B8E570F" w14:textId="64FE5175" w:rsidR="0052767D" w:rsidRDefault="0052767D" w:rsidP="0052767D">
      <w:pPr>
        <w:pStyle w:val="Paragraphedeliste"/>
        <w:numPr>
          <w:ilvl w:val="0"/>
          <w:numId w:val="14"/>
        </w:numPr>
        <w:rPr>
          <w:sz w:val="20"/>
          <w:szCs w:val="20"/>
        </w:rPr>
      </w:pPr>
      <w:r w:rsidRPr="0052767D">
        <w:rPr>
          <w:sz w:val="20"/>
          <w:szCs w:val="20"/>
        </w:rPr>
        <w:t>Type IV : fixation caudée exclusive très faib</w:t>
      </w:r>
      <w:r>
        <w:rPr>
          <w:sz w:val="20"/>
          <w:szCs w:val="20"/>
        </w:rPr>
        <w:t>le avec bruit de fond très élevée</w:t>
      </w:r>
    </w:p>
    <w:p w14:paraId="71B99B49" w14:textId="61B203A5" w:rsidR="0052767D" w:rsidRPr="0052767D" w:rsidRDefault="0052767D" w:rsidP="0052767D">
      <w:pPr>
        <w:rPr>
          <w:sz w:val="20"/>
          <w:szCs w:val="20"/>
        </w:rPr>
      </w:pPr>
      <w:r w:rsidRPr="0052767D">
        <w:rPr>
          <w:noProof/>
          <w:sz w:val="20"/>
          <w:szCs w:val="20"/>
          <w:lang w:eastAsia="fr-FR"/>
        </w:rPr>
        <w:drawing>
          <wp:inline distT="0" distB="0" distL="0" distR="0" wp14:anchorId="38E4D54E" wp14:editId="2E89E058">
            <wp:extent cx="3314990" cy="2408715"/>
            <wp:effectExtent l="0" t="0" r="0" b="0"/>
            <wp:docPr id="6" name="Image 6" descr="D:\Telechargement\IMG_8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lechargement\IMG_844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712" t="7256" r="4018" b="3353"/>
                    <a:stretch/>
                  </pic:blipFill>
                  <pic:spPr bwMode="auto">
                    <a:xfrm>
                      <a:off x="0" y="0"/>
                      <a:ext cx="3355118" cy="2437872"/>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FR"/>
        </w:rPr>
        <w:t xml:space="preserve"> </w:t>
      </w:r>
      <w:r w:rsidRPr="0052767D">
        <w:rPr>
          <w:noProof/>
          <w:lang w:eastAsia="fr-FR"/>
        </w:rPr>
        <w:drawing>
          <wp:inline distT="0" distB="0" distL="0" distR="0" wp14:anchorId="3D52FFA5" wp14:editId="2D246D45">
            <wp:extent cx="3270611" cy="2392680"/>
            <wp:effectExtent l="0" t="0" r="6350" b="7620"/>
            <wp:docPr id="5" name="Image 5" descr="D:\Telechargement\IMG_8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elechargement\IMG_844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78" r="3903" b="9368"/>
                    <a:stretch/>
                  </pic:blipFill>
                  <pic:spPr bwMode="auto">
                    <a:xfrm>
                      <a:off x="0" y="0"/>
                      <a:ext cx="3298625" cy="2413174"/>
                    </a:xfrm>
                    <a:prstGeom prst="rect">
                      <a:avLst/>
                    </a:prstGeom>
                    <a:noFill/>
                    <a:ln>
                      <a:noFill/>
                    </a:ln>
                    <a:extLst>
                      <a:ext uri="{53640926-AAD7-44D8-BBD7-CCE9431645EC}">
                        <a14:shadowObscured xmlns:a14="http://schemas.microsoft.com/office/drawing/2010/main"/>
                      </a:ext>
                    </a:extLst>
                  </pic:spPr>
                </pic:pic>
              </a:graphicData>
            </a:graphic>
          </wp:inline>
        </w:drawing>
      </w:r>
    </w:p>
    <w:p w14:paraId="2904C393" w14:textId="32F23A5B" w:rsidR="002A0B84" w:rsidRPr="0052767D" w:rsidRDefault="002A0B84" w:rsidP="0052767D">
      <w:pPr>
        <w:tabs>
          <w:tab w:val="left" w:pos="2329"/>
        </w:tabs>
      </w:pPr>
      <w:bookmarkStart w:id="0" w:name="_GoBack"/>
      <w:bookmarkEnd w:id="0"/>
    </w:p>
    <w:sectPr w:rsidR="002A0B84" w:rsidRPr="0052767D" w:rsidSect="007C0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4FD3"/>
    <w:multiLevelType w:val="hybridMultilevel"/>
    <w:tmpl w:val="13784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263BC"/>
    <w:multiLevelType w:val="hybridMultilevel"/>
    <w:tmpl w:val="5C76B5C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76B6C06"/>
    <w:multiLevelType w:val="hybridMultilevel"/>
    <w:tmpl w:val="460E1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1D6536"/>
    <w:multiLevelType w:val="hybridMultilevel"/>
    <w:tmpl w:val="5860C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246F0F"/>
    <w:multiLevelType w:val="hybridMultilevel"/>
    <w:tmpl w:val="A5A63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406429"/>
    <w:multiLevelType w:val="hybridMultilevel"/>
    <w:tmpl w:val="911C5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D54E0F"/>
    <w:multiLevelType w:val="hybridMultilevel"/>
    <w:tmpl w:val="EE225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BA023B"/>
    <w:multiLevelType w:val="hybridMultilevel"/>
    <w:tmpl w:val="087A805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1605494"/>
    <w:multiLevelType w:val="hybridMultilevel"/>
    <w:tmpl w:val="F5626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766718"/>
    <w:multiLevelType w:val="hybridMultilevel"/>
    <w:tmpl w:val="B064620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65967776"/>
    <w:multiLevelType w:val="hybridMultilevel"/>
    <w:tmpl w:val="19A656B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6CF5999"/>
    <w:multiLevelType w:val="hybridMultilevel"/>
    <w:tmpl w:val="031ED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BC4301"/>
    <w:multiLevelType w:val="hybridMultilevel"/>
    <w:tmpl w:val="38209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F6723D"/>
    <w:multiLevelType w:val="hybridMultilevel"/>
    <w:tmpl w:val="42067328"/>
    <w:lvl w:ilvl="0" w:tplc="5D9A450A">
      <w:start w:val="1"/>
      <w:numFmt w:val="upperRoman"/>
      <w:lvlText w:val="%1."/>
      <w:lvlJc w:val="right"/>
      <w:pPr>
        <w:ind w:left="720" w:hanging="360"/>
      </w:pPr>
      <w:rPr>
        <w:rFonts w:asciiTheme="majorHAnsi" w:hAnsiTheme="majorHAnsi" w:hint="default"/>
        <w:color w:val="ED7D31" w:themeColor="accent2"/>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8"/>
  </w:num>
  <w:num w:numId="3">
    <w:abstractNumId w:val="0"/>
  </w:num>
  <w:num w:numId="4">
    <w:abstractNumId w:val="6"/>
  </w:num>
  <w:num w:numId="5">
    <w:abstractNumId w:val="5"/>
  </w:num>
  <w:num w:numId="6">
    <w:abstractNumId w:val="1"/>
  </w:num>
  <w:num w:numId="7">
    <w:abstractNumId w:val="2"/>
  </w:num>
  <w:num w:numId="8">
    <w:abstractNumId w:val="10"/>
  </w:num>
  <w:num w:numId="9">
    <w:abstractNumId w:val="12"/>
  </w:num>
  <w:num w:numId="10">
    <w:abstractNumId w:val="4"/>
  </w:num>
  <w:num w:numId="11">
    <w:abstractNumId w:val="7"/>
  </w:num>
  <w:num w:numId="12">
    <w:abstractNumId w:val="3"/>
  </w:num>
  <w:num w:numId="13">
    <w:abstractNumId w:val="11"/>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14E51"/>
    <w:rsid w:val="00026C54"/>
    <w:rsid w:val="00061DAF"/>
    <w:rsid w:val="00063B4E"/>
    <w:rsid w:val="000B305D"/>
    <w:rsid w:val="000B7190"/>
    <w:rsid w:val="000C5D79"/>
    <w:rsid w:val="000D4F80"/>
    <w:rsid w:val="00125498"/>
    <w:rsid w:val="0017487D"/>
    <w:rsid w:val="001760B8"/>
    <w:rsid w:val="00183BED"/>
    <w:rsid w:val="00185CF4"/>
    <w:rsid w:val="00227181"/>
    <w:rsid w:val="00242363"/>
    <w:rsid w:val="00260B92"/>
    <w:rsid w:val="002A0801"/>
    <w:rsid w:val="002A0B84"/>
    <w:rsid w:val="002C0BA5"/>
    <w:rsid w:val="002C4901"/>
    <w:rsid w:val="00354F9E"/>
    <w:rsid w:val="00372AEA"/>
    <w:rsid w:val="003911CA"/>
    <w:rsid w:val="003C699B"/>
    <w:rsid w:val="003F197D"/>
    <w:rsid w:val="00436EBD"/>
    <w:rsid w:val="00457C10"/>
    <w:rsid w:val="0046170C"/>
    <w:rsid w:val="00465CEE"/>
    <w:rsid w:val="0047540C"/>
    <w:rsid w:val="004D71EB"/>
    <w:rsid w:val="0051575D"/>
    <w:rsid w:val="0052767D"/>
    <w:rsid w:val="0053506C"/>
    <w:rsid w:val="00566B83"/>
    <w:rsid w:val="005B68C3"/>
    <w:rsid w:val="005E233F"/>
    <w:rsid w:val="005F5C63"/>
    <w:rsid w:val="00651641"/>
    <w:rsid w:val="006636DA"/>
    <w:rsid w:val="00663D2A"/>
    <w:rsid w:val="006B70A5"/>
    <w:rsid w:val="006C38D5"/>
    <w:rsid w:val="006D148E"/>
    <w:rsid w:val="006D3C6F"/>
    <w:rsid w:val="006F6CE7"/>
    <w:rsid w:val="00700BAE"/>
    <w:rsid w:val="00711D35"/>
    <w:rsid w:val="0075774F"/>
    <w:rsid w:val="0079679B"/>
    <w:rsid w:val="007C006E"/>
    <w:rsid w:val="00800E53"/>
    <w:rsid w:val="00810626"/>
    <w:rsid w:val="00810FE0"/>
    <w:rsid w:val="00821AAC"/>
    <w:rsid w:val="008407DA"/>
    <w:rsid w:val="00851728"/>
    <w:rsid w:val="008625AE"/>
    <w:rsid w:val="0087260F"/>
    <w:rsid w:val="0087706A"/>
    <w:rsid w:val="00935317"/>
    <w:rsid w:val="00956601"/>
    <w:rsid w:val="00985FA1"/>
    <w:rsid w:val="009867BC"/>
    <w:rsid w:val="009B2BA3"/>
    <w:rsid w:val="009F0C11"/>
    <w:rsid w:val="00A10B46"/>
    <w:rsid w:val="00A55339"/>
    <w:rsid w:val="00A73CE6"/>
    <w:rsid w:val="00AA4971"/>
    <w:rsid w:val="00AC2C8D"/>
    <w:rsid w:val="00AD13EC"/>
    <w:rsid w:val="00B04176"/>
    <w:rsid w:val="00B24EE3"/>
    <w:rsid w:val="00B2516B"/>
    <w:rsid w:val="00B3201B"/>
    <w:rsid w:val="00B5386F"/>
    <w:rsid w:val="00B567DE"/>
    <w:rsid w:val="00B60E4B"/>
    <w:rsid w:val="00B6779A"/>
    <w:rsid w:val="00B74685"/>
    <w:rsid w:val="00B7479F"/>
    <w:rsid w:val="00BB2679"/>
    <w:rsid w:val="00BC1BB1"/>
    <w:rsid w:val="00C167BE"/>
    <w:rsid w:val="00C26993"/>
    <w:rsid w:val="00C51B04"/>
    <w:rsid w:val="00C54787"/>
    <w:rsid w:val="00C5554C"/>
    <w:rsid w:val="00C70B7E"/>
    <w:rsid w:val="00C759BC"/>
    <w:rsid w:val="00C90D44"/>
    <w:rsid w:val="00CB641E"/>
    <w:rsid w:val="00CD4E6B"/>
    <w:rsid w:val="00D06FED"/>
    <w:rsid w:val="00D14DB3"/>
    <w:rsid w:val="00D44A03"/>
    <w:rsid w:val="00D56E05"/>
    <w:rsid w:val="00D75CD5"/>
    <w:rsid w:val="00D956CD"/>
    <w:rsid w:val="00DB1455"/>
    <w:rsid w:val="00DB63ED"/>
    <w:rsid w:val="00DC459F"/>
    <w:rsid w:val="00DE577C"/>
    <w:rsid w:val="00E0384B"/>
    <w:rsid w:val="00F25975"/>
    <w:rsid w:val="00F30B8B"/>
    <w:rsid w:val="00F758A8"/>
    <w:rsid w:val="00F942A9"/>
    <w:rsid w:val="00FC7896"/>
    <w:rsid w:val="00FE7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6B4E"/>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arquedecommentaire">
    <w:name w:val="annotation reference"/>
    <w:basedOn w:val="Policepardfaut"/>
    <w:uiPriority w:val="99"/>
    <w:semiHidden/>
    <w:unhideWhenUsed/>
    <w:rsid w:val="00821AAC"/>
    <w:rPr>
      <w:sz w:val="16"/>
      <w:szCs w:val="16"/>
    </w:rPr>
  </w:style>
  <w:style w:type="paragraph" w:styleId="Commentaire">
    <w:name w:val="annotation text"/>
    <w:basedOn w:val="Normal"/>
    <w:link w:val="CommentaireCar"/>
    <w:uiPriority w:val="99"/>
    <w:semiHidden/>
    <w:unhideWhenUsed/>
    <w:rsid w:val="00821AAC"/>
    <w:pPr>
      <w:spacing w:line="240" w:lineRule="auto"/>
    </w:pPr>
    <w:rPr>
      <w:sz w:val="20"/>
      <w:szCs w:val="20"/>
    </w:rPr>
  </w:style>
  <w:style w:type="character" w:customStyle="1" w:styleId="CommentaireCar">
    <w:name w:val="Commentaire Car"/>
    <w:basedOn w:val="Policepardfaut"/>
    <w:link w:val="Commentaire"/>
    <w:uiPriority w:val="99"/>
    <w:semiHidden/>
    <w:rsid w:val="00821AAC"/>
    <w:rPr>
      <w:sz w:val="20"/>
      <w:szCs w:val="20"/>
    </w:rPr>
  </w:style>
  <w:style w:type="paragraph" w:styleId="Objetducommentaire">
    <w:name w:val="annotation subject"/>
    <w:basedOn w:val="Commentaire"/>
    <w:next w:val="Commentaire"/>
    <w:link w:val="ObjetducommentaireCar"/>
    <w:uiPriority w:val="99"/>
    <w:semiHidden/>
    <w:unhideWhenUsed/>
    <w:rsid w:val="00821AAC"/>
    <w:rPr>
      <w:b/>
      <w:bCs/>
    </w:rPr>
  </w:style>
  <w:style w:type="character" w:customStyle="1" w:styleId="ObjetducommentaireCar">
    <w:name w:val="Objet du commentaire Car"/>
    <w:basedOn w:val="CommentaireCar"/>
    <w:link w:val="Objetducommentaire"/>
    <w:uiPriority w:val="99"/>
    <w:semiHidden/>
    <w:rsid w:val="00821AAC"/>
    <w:rPr>
      <w:b/>
      <w:bCs/>
      <w:sz w:val="20"/>
      <w:szCs w:val="20"/>
    </w:rPr>
  </w:style>
  <w:style w:type="paragraph" w:styleId="Textedebulles">
    <w:name w:val="Balloon Text"/>
    <w:basedOn w:val="Normal"/>
    <w:link w:val="TextedebullesCar"/>
    <w:uiPriority w:val="99"/>
    <w:semiHidden/>
    <w:unhideWhenUsed/>
    <w:rsid w:val="00821A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1AAC"/>
    <w:rPr>
      <w:rFonts w:ascii="Segoe UI" w:hAnsi="Segoe UI" w:cs="Segoe UI"/>
      <w:sz w:val="18"/>
      <w:szCs w:val="18"/>
    </w:rPr>
  </w:style>
  <w:style w:type="table" w:styleId="TableauGrille4-Accentuation2">
    <w:name w:val="Grid Table 4 Accent 2"/>
    <w:basedOn w:val="TableauNormal"/>
    <w:uiPriority w:val="49"/>
    <w:rsid w:val="00260B9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185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89ED7-F456-4CA0-951B-ED479C57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575</Words>
  <Characters>3168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9</cp:revision>
  <dcterms:created xsi:type="dcterms:W3CDTF">2016-05-07T08:21:00Z</dcterms:created>
  <dcterms:modified xsi:type="dcterms:W3CDTF">2016-05-11T11:11:00Z</dcterms:modified>
</cp:coreProperties>
</file>