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11" w:rsidRDefault="00D75CD5" w:rsidP="003911CA">
      <w:pPr>
        <w:spacing w:after="120" w:line="240" w:lineRule="auto"/>
        <w:jc w:val="center"/>
        <w:rPr>
          <w:rFonts w:ascii="Freestyle Script" w:hAnsi="Freestyle Script" w:cs="Arial"/>
          <w:sz w:val="56"/>
          <w:szCs w:val="56"/>
        </w:rPr>
      </w:pPr>
      <w:r>
        <w:rPr>
          <w:rFonts w:ascii="Freestyle Script" w:hAnsi="Freestyle Script" w:cs="Arial"/>
          <w:sz w:val="56"/>
          <w:szCs w:val="56"/>
        </w:rPr>
        <w:t xml:space="preserve">Scintigraphie </w:t>
      </w:r>
      <w:r w:rsidR="00E55E27">
        <w:rPr>
          <w:rFonts w:ascii="Freestyle Script" w:hAnsi="Freestyle Script" w:cs="Arial"/>
          <w:sz w:val="56"/>
          <w:szCs w:val="56"/>
        </w:rPr>
        <w:t>des glandes parathyroïdes</w:t>
      </w:r>
    </w:p>
    <w:p w:rsidR="002B75A9" w:rsidRPr="002B75A9" w:rsidRDefault="00956601" w:rsidP="002B75A9">
      <w:pPr>
        <w:pStyle w:val="Titre1"/>
        <w:numPr>
          <w:ilvl w:val="0"/>
          <w:numId w:val="2"/>
        </w:numPr>
        <w:spacing w:after="0"/>
        <w:ind w:left="714" w:hanging="357"/>
        <w:rPr>
          <w:color w:val="ED7D31" w:themeColor="accent2"/>
          <w:sz w:val="28"/>
          <w:szCs w:val="28"/>
        </w:rPr>
      </w:pPr>
      <w:r w:rsidRPr="00DD7024">
        <w:rPr>
          <w:color w:val="ED7D31" w:themeColor="accent2"/>
          <w:sz w:val="28"/>
          <w:szCs w:val="28"/>
        </w:rPr>
        <w:t>Principe</w:t>
      </w:r>
      <w:r w:rsidR="00D75CD5" w:rsidRPr="00DD7024">
        <w:rPr>
          <w:color w:val="ED7D31" w:themeColor="accent2"/>
          <w:sz w:val="28"/>
          <w:szCs w:val="28"/>
        </w:rPr>
        <w:t xml:space="preserve"> et définition</w:t>
      </w:r>
    </w:p>
    <w:p w:rsidR="00E55E27" w:rsidRPr="00C1681A" w:rsidRDefault="00E55E27" w:rsidP="00C1681A">
      <w:pPr>
        <w:spacing w:after="120" w:line="240" w:lineRule="auto"/>
        <w:rPr>
          <w:sz w:val="20"/>
          <w:szCs w:val="20"/>
        </w:rPr>
      </w:pPr>
      <w:r w:rsidRPr="00C1681A">
        <w:rPr>
          <w:sz w:val="20"/>
          <w:szCs w:val="20"/>
        </w:rPr>
        <w:t>La scintigraphie parathyroïdienne est un examen de localisation. Elle ne doit pas être utilisée pour poser le diagnostic positif d’une hyperparathyroïdie, qui est biologique.</w:t>
      </w:r>
    </w:p>
    <w:p w:rsidR="002B75A9" w:rsidRPr="002B75A9" w:rsidRDefault="00DD7024" w:rsidP="00341F0E">
      <w:pPr>
        <w:pStyle w:val="Titre1"/>
        <w:numPr>
          <w:ilvl w:val="0"/>
          <w:numId w:val="2"/>
        </w:numPr>
        <w:spacing w:after="0"/>
        <w:ind w:left="714" w:hanging="357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I</w:t>
      </w:r>
      <w:r w:rsidR="00D75CD5" w:rsidRPr="00DD7024">
        <w:rPr>
          <w:color w:val="ED7D31" w:themeColor="accent2"/>
          <w:sz w:val="28"/>
          <w:szCs w:val="28"/>
        </w:rPr>
        <w:t>ndications</w:t>
      </w:r>
      <w:r>
        <w:rPr>
          <w:color w:val="ED7D31" w:themeColor="accent2"/>
          <w:sz w:val="28"/>
          <w:szCs w:val="28"/>
        </w:rPr>
        <w:t xml:space="preserve"> et contre-indications</w:t>
      </w:r>
    </w:p>
    <w:p w:rsidR="00D75CD5" w:rsidRPr="00DD7024" w:rsidRDefault="00DD7024" w:rsidP="00341F0E">
      <w:pPr>
        <w:pStyle w:val="Titre1"/>
        <w:spacing w:before="0" w:after="0"/>
        <w:rPr>
          <w:rFonts w:asciiTheme="minorHAnsi" w:hAnsiTheme="minorHAnsi"/>
          <w:color w:val="auto"/>
          <w:sz w:val="22"/>
          <w:szCs w:val="22"/>
        </w:rPr>
      </w:pPr>
      <w:r w:rsidRPr="00DD7024">
        <w:rPr>
          <w:rFonts w:asciiTheme="minorHAnsi" w:hAnsiTheme="minorHAnsi"/>
          <w:color w:val="auto"/>
          <w:sz w:val="22"/>
          <w:szCs w:val="22"/>
        </w:rPr>
        <w:t>Indication :</w:t>
      </w:r>
      <w:r w:rsidR="00D75CD5" w:rsidRPr="00DD7024">
        <w:rPr>
          <w:rFonts w:asciiTheme="minorHAnsi" w:hAnsiTheme="minorHAnsi"/>
          <w:color w:val="auto"/>
          <w:sz w:val="22"/>
          <w:szCs w:val="22"/>
        </w:rPr>
        <w:t> </w:t>
      </w:r>
    </w:p>
    <w:p w:rsidR="00354F9E" w:rsidRPr="00286CCB" w:rsidRDefault="00E55E27" w:rsidP="00354F9E">
      <w:pPr>
        <w:pStyle w:val="Paragraphedeliste"/>
        <w:numPr>
          <w:ilvl w:val="0"/>
          <w:numId w:val="19"/>
        </w:numPr>
        <w:spacing w:after="0" w:line="240" w:lineRule="auto"/>
        <w:ind w:left="714" w:hanging="357"/>
        <w:rPr>
          <w:sz w:val="20"/>
          <w:szCs w:val="20"/>
        </w:rPr>
      </w:pPr>
      <w:r w:rsidRPr="00286CCB">
        <w:rPr>
          <w:sz w:val="20"/>
          <w:szCs w:val="20"/>
        </w:rPr>
        <w:t>HPT persistante ou récidivante après chirurgie.</w:t>
      </w:r>
    </w:p>
    <w:p w:rsidR="00286CCB" w:rsidRPr="00286CCB" w:rsidRDefault="00286CCB" w:rsidP="00286CCB">
      <w:pPr>
        <w:pStyle w:val="Paragraphedeliste"/>
        <w:numPr>
          <w:ilvl w:val="0"/>
          <w:numId w:val="19"/>
        </w:numPr>
        <w:spacing w:after="0" w:line="240" w:lineRule="auto"/>
        <w:rPr>
          <w:b/>
          <w:sz w:val="20"/>
          <w:szCs w:val="20"/>
        </w:rPr>
      </w:pPr>
      <w:r w:rsidRPr="00286CCB">
        <w:rPr>
          <w:bCs/>
          <w:sz w:val="20"/>
          <w:szCs w:val="20"/>
        </w:rPr>
        <w:t xml:space="preserve">Préciser la (les) localisation(s) d’une ou plusieurs lésion(s) parathyroïdiennes afin d’orienter le geste du chirurgien lorsqu’une chirurgie pour </w:t>
      </w:r>
      <w:proofErr w:type="spellStart"/>
      <w:r w:rsidRPr="00286CCB">
        <w:rPr>
          <w:bCs/>
          <w:sz w:val="20"/>
          <w:szCs w:val="20"/>
        </w:rPr>
        <w:t>hyperparathyroïdisme</w:t>
      </w:r>
      <w:proofErr w:type="spellEnd"/>
      <w:r w:rsidRPr="00286CCB">
        <w:rPr>
          <w:bCs/>
          <w:sz w:val="20"/>
          <w:szCs w:val="20"/>
        </w:rPr>
        <w:t xml:space="preserve"> primaire ou tertiaire est prévue.</w:t>
      </w:r>
    </w:p>
    <w:p w:rsidR="00825E0B" w:rsidRDefault="00DD7024" w:rsidP="00286CCB">
      <w:pPr>
        <w:spacing w:after="0" w:line="240" w:lineRule="auto"/>
        <w:rPr>
          <w:b/>
        </w:rPr>
      </w:pPr>
      <w:r w:rsidRPr="00286CCB">
        <w:rPr>
          <w:b/>
        </w:rPr>
        <w:t>Contre-indication :</w:t>
      </w:r>
    </w:p>
    <w:p w:rsidR="00DD7024" w:rsidRPr="00825E0B" w:rsidRDefault="00DD7024" w:rsidP="00825E0B">
      <w:pPr>
        <w:pStyle w:val="Paragraphedeliste"/>
        <w:numPr>
          <w:ilvl w:val="0"/>
          <w:numId w:val="36"/>
        </w:numPr>
        <w:spacing w:after="0" w:line="240" w:lineRule="auto"/>
        <w:rPr>
          <w:b/>
          <w:sz w:val="20"/>
          <w:szCs w:val="20"/>
        </w:rPr>
      </w:pPr>
      <w:r w:rsidRPr="00825E0B">
        <w:rPr>
          <w:sz w:val="20"/>
          <w:szCs w:val="20"/>
        </w:rPr>
        <w:t>Grossesse</w:t>
      </w:r>
    </w:p>
    <w:p w:rsidR="00825E0B" w:rsidRPr="00825E0B" w:rsidRDefault="00825E0B" w:rsidP="00825E0B">
      <w:pPr>
        <w:pStyle w:val="Paragraphedeliste"/>
        <w:numPr>
          <w:ilvl w:val="0"/>
          <w:numId w:val="36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Allaitement</w:t>
      </w:r>
    </w:p>
    <w:p w:rsidR="002B75A9" w:rsidRDefault="002B75A9" w:rsidP="002B75A9">
      <w:pPr>
        <w:pStyle w:val="Titre1"/>
        <w:numPr>
          <w:ilvl w:val="0"/>
          <w:numId w:val="2"/>
        </w:numPr>
        <w:spacing w:after="0"/>
        <w:rPr>
          <w:color w:val="ED7D31" w:themeColor="accent2"/>
          <w:sz w:val="28"/>
          <w:szCs w:val="28"/>
        </w:rPr>
      </w:pPr>
      <w:proofErr w:type="spellStart"/>
      <w:r w:rsidRPr="00DD7024">
        <w:rPr>
          <w:color w:val="ED7D31" w:themeColor="accent2"/>
          <w:sz w:val="28"/>
          <w:szCs w:val="28"/>
        </w:rPr>
        <w:t>Radiopharmaceutique</w:t>
      </w:r>
      <w:r>
        <w:rPr>
          <w:color w:val="ED7D31" w:themeColor="accent2"/>
          <w:sz w:val="28"/>
          <w:szCs w:val="28"/>
        </w:rPr>
        <w:t>s</w:t>
      </w:r>
      <w:proofErr w:type="spellEnd"/>
    </w:p>
    <w:p w:rsidR="002B75A9" w:rsidRPr="002C4901" w:rsidRDefault="002B75A9" w:rsidP="002B75A9">
      <w:pPr>
        <w:spacing w:after="0" w:line="240" w:lineRule="auto"/>
        <w:rPr>
          <w:b/>
        </w:rPr>
      </w:pPr>
      <w:r w:rsidRPr="002C4901">
        <w:rPr>
          <w:b/>
        </w:rPr>
        <w:t>Caractéristiques physique</w:t>
      </w:r>
      <w:r>
        <w:rPr>
          <w:b/>
        </w:rPr>
        <w:t>s</w:t>
      </w:r>
      <w:r w:rsidRPr="002C4901">
        <w:rPr>
          <w:b/>
        </w:rPr>
        <w:t xml:space="preserve"> : </w:t>
      </w:r>
    </w:p>
    <w:tbl>
      <w:tblPr>
        <w:tblStyle w:val="TableauGrille5Fonc-Accentuation2"/>
        <w:tblW w:w="10627" w:type="dxa"/>
        <w:tblLook w:val="04A0" w:firstRow="1" w:lastRow="0" w:firstColumn="1" w:lastColumn="0" w:noHBand="0" w:noVBand="1"/>
      </w:tblPr>
      <w:tblGrid>
        <w:gridCol w:w="1397"/>
        <w:gridCol w:w="3560"/>
        <w:gridCol w:w="2394"/>
        <w:gridCol w:w="866"/>
        <w:gridCol w:w="992"/>
        <w:gridCol w:w="1418"/>
      </w:tblGrid>
      <w:tr w:rsidR="002B75A9" w:rsidTr="004C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B75A9" w:rsidRPr="002C4901" w:rsidRDefault="002B75A9" w:rsidP="004C59D4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Radionucléide</w:t>
            </w:r>
          </w:p>
        </w:tc>
        <w:tc>
          <w:tcPr>
            <w:tcW w:w="3560" w:type="dxa"/>
            <w:vAlign w:val="center"/>
          </w:tcPr>
          <w:p w:rsidR="002B75A9" w:rsidRPr="002C4901" w:rsidRDefault="002B75A9" w:rsidP="004C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  <w:tc>
          <w:tcPr>
            <w:tcW w:w="2394" w:type="dxa"/>
            <w:vAlign w:val="center"/>
          </w:tcPr>
          <w:p w:rsidR="002B75A9" w:rsidRPr="002C4901" w:rsidRDefault="002B75A9" w:rsidP="004C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Mode de décroissance</w:t>
            </w:r>
          </w:p>
        </w:tc>
        <w:tc>
          <w:tcPr>
            <w:tcW w:w="866" w:type="dxa"/>
            <w:vAlign w:val="center"/>
          </w:tcPr>
          <w:p w:rsidR="002B75A9" w:rsidRPr="002C4901" w:rsidRDefault="002B75A9" w:rsidP="004C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Période</w:t>
            </w:r>
          </w:p>
        </w:tc>
        <w:tc>
          <w:tcPr>
            <w:tcW w:w="992" w:type="dxa"/>
            <w:vAlign w:val="center"/>
          </w:tcPr>
          <w:p w:rsidR="002B75A9" w:rsidRPr="002C4901" w:rsidRDefault="002B75A9" w:rsidP="004C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β</w:t>
            </w:r>
          </w:p>
        </w:tc>
        <w:tc>
          <w:tcPr>
            <w:tcW w:w="1418" w:type="dxa"/>
            <w:vAlign w:val="center"/>
          </w:tcPr>
          <w:p w:rsidR="002B75A9" w:rsidRPr="002C4901" w:rsidRDefault="002B75A9" w:rsidP="004C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X ou γ</w:t>
            </w:r>
          </w:p>
        </w:tc>
      </w:tr>
      <w:tr w:rsidR="002B75A9" w:rsidTr="004C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B75A9" w:rsidRPr="002C4901" w:rsidRDefault="002B75A9" w:rsidP="004C59D4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  <w:vertAlign w:val="superscript"/>
              </w:rPr>
              <w:t>99m</w:t>
            </w:r>
            <w:r w:rsidRPr="002C4901">
              <w:rPr>
                <w:sz w:val="20"/>
                <w:szCs w:val="20"/>
              </w:rPr>
              <w:t>Tc</w:t>
            </w:r>
          </w:p>
        </w:tc>
        <w:tc>
          <w:tcPr>
            <w:tcW w:w="3560" w:type="dxa"/>
            <w:vAlign w:val="center"/>
          </w:tcPr>
          <w:p w:rsidR="002B75A9" w:rsidRPr="00183BED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BED">
              <w:rPr>
                <w:sz w:val="20"/>
                <w:szCs w:val="20"/>
              </w:rPr>
              <w:t>Générateur à Tc</w:t>
            </w:r>
          </w:p>
          <w:p w:rsidR="002B75A9" w:rsidRPr="00183BED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vertAlign w:val="superscript"/>
              </w:rPr>
            </w:pPr>
            <w:proofErr w:type="gramStart"/>
            <w:r w:rsidRPr="00183BED">
              <w:rPr>
                <w:sz w:val="20"/>
                <w:szCs w:val="20"/>
              </w:rPr>
              <w:t>β</w:t>
            </w:r>
            <w:proofErr w:type="gramEnd"/>
            <w:r w:rsidRPr="00183BED">
              <w:rPr>
                <w:sz w:val="20"/>
                <w:szCs w:val="20"/>
                <w:vertAlign w:val="superscript"/>
              </w:rPr>
              <w:t xml:space="preserve">-  </w:t>
            </w:r>
            <w:r w:rsidRPr="00183BED">
              <w:rPr>
                <w:sz w:val="20"/>
                <w:szCs w:val="20"/>
              </w:rPr>
              <w:t xml:space="preserve">: </w:t>
            </w:r>
            <w:r w:rsidRPr="00183BED">
              <w:rPr>
                <w:sz w:val="20"/>
                <w:szCs w:val="20"/>
                <w:vertAlign w:val="superscript"/>
              </w:rPr>
              <w:t>99</w:t>
            </w:r>
            <w:r w:rsidRPr="00183BED">
              <w:rPr>
                <w:sz w:val="20"/>
                <w:szCs w:val="20"/>
              </w:rPr>
              <w:t xml:space="preserve">Mo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</w:t>
            </w:r>
            <w:r w:rsidRPr="00183BED">
              <w:rPr>
                <w:sz w:val="20"/>
                <w:szCs w:val="20"/>
                <w:vertAlign w:val="superscript"/>
              </w:rPr>
              <w:t>99m</w:t>
            </w:r>
            <w:r w:rsidRPr="00183BED">
              <w:rPr>
                <w:sz w:val="20"/>
                <w:szCs w:val="20"/>
              </w:rPr>
              <w:t>Tc + e</w:t>
            </w:r>
            <w:r w:rsidRPr="00183BED">
              <w:rPr>
                <w:i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2394" w:type="dxa"/>
            <w:vAlign w:val="center"/>
          </w:tcPr>
          <w:p w:rsidR="002B75A9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 xml:space="preserve">Désexcitation </w:t>
            </w:r>
            <w:proofErr w:type="spellStart"/>
            <w:r w:rsidRPr="002C4901">
              <w:rPr>
                <w:sz w:val="20"/>
                <w:szCs w:val="20"/>
              </w:rPr>
              <w:t>isomérique</w:t>
            </w:r>
            <w:proofErr w:type="spellEnd"/>
          </w:p>
          <w:p w:rsidR="002B75A9" w:rsidRPr="002C4901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56CD">
              <w:rPr>
                <w:sz w:val="20"/>
                <w:szCs w:val="20"/>
                <w:vertAlign w:val="superscript"/>
              </w:rPr>
              <w:t>99m</w:t>
            </w:r>
            <w:r w:rsidRPr="00D956CD">
              <w:rPr>
                <w:sz w:val="20"/>
                <w:szCs w:val="20"/>
              </w:rPr>
              <w:t>Tc</w:t>
            </w:r>
            <w:r w:rsidRPr="00D956C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  <w:vertAlign w:val="superscript"/>
              </w:rPr>
              <w:t>99</w:t>
            </w:r>
            <w:r w:rsidRPr="00D956C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 xml:space="preserve"> + γ</w:t>
            </w:r>
          </w:p>
        </w:tc>
        <w:tc>
          <w:tcPr>
            <w:tcW w:w="866" w:type="dxa"/>
            <w:vAlign w:val="center"/>
          </w:tcPr>
          <w:p w:rsidR="002B75A9" w:rsidRPr="002C4901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  <w:r w:rsidRPr="002C4901">
              <w:rPr>
                <w:sz w:val="20"/>
                <w:szCs w:val="20"/>
              </w:rPr>
              <w:t>h</w:t>
            </w:r>
          </w:p>
        </w:tc>
        <w:tc>
          <w:tcPr>
            <w:tcW w:w="992" w:type="dxa"/>
            <w:vAlign w:val="center"/>
          </w:tcPr>
          <w:p w:rsidR="002B75A9" w:rsidRPr="002C4901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B75A9" w:rsidRPr="002C4901" w:rsidRDefault="002B75A9" w:rsidP="004C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 xml:space="preserve">140 </w:t>
            </w:r>
            <w:proofErr w:type="spellStart"/>
            <w:r w:rsidRPr="002C4901">
              <w:rPr>
                <w:sz w:val="20"/>
                <w:szCs w:val="20"/>
              </w:rPr>
              <w:t>keV</w:t>
            </w:r>
            <w:proofErr w:type="spellEnd"/>
          </w:p>
        </w:tc>
      </w:tr>
      <w:tr w:rsidR="002B75A9" w:rsidTr="004C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B75A9" w:rsidRPr="002C4901" w:rsidRDefault="002B75A9" w:rsidP="004C59D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354F9E">
              <w:rPr>
                <w:sz w:val="20"/>
                <w:szCs w:val="20"/>
                <w:vertAlign w:val="superscript"/>
              </w:rPr>
              <w:t>123</w:t>
            </w:r>
            <w:r w:rsidRPr="00354F9E">
              <w:rPr>
                <w:sz w:val="20"/>
                <w:szCs w:val="20"/>
              </w:rPr>
              <w:t>I</w:t>
            </w:r>
          </w:p>
        </w:tc>
        <w:tc>
          <w:tcPr>
            <w:tcW w:w="3560" w:type="dxa"/>
            <w:vAlign w:val="center"/>
          </w:tcPr>
          <w:p w:rsidR="002B75A9" w:rsidRPr="00183BED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BED">
              <w:rPr>
                <w:sz w:val="20"/>
                <w:szCs w:val="20"/>
              </w:rPr>
              <w:t>Cyclotron</w:t>
            </w:r>
          </w:p>
          <w:p w:rsidR="002B75A9" w:rsidRPr="00183BED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BED">
              <w:rPr>
                <w:sz w:val="20"/>
                <w:szCs w:val="20"/>
                <w:vertAlign w:val="superscript"/>
              </w:rPr>
              <w:t>124</w:t>
            </w:r>
            <w:r w:rsidRPr="00183BED">
              <w:rPr>
                <w:sz w:val="20"/>
                <w:szCs w:val="20"/>
              </w:rPr>
              <w:t xml:space="preserve">I + p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2n + </w:t>
            </w:r>
            <w:r w:rsidRPr="00183BED">
              <w:rPr>
                <w:sz w:val="20"/>
                <w:szCs w:val="20"/>
                <w:vertAlign w:val="superscript"/>
              </w:rPr>
              <w:t>123</w:t>
            </w:r>
            <w:r w:rsidRPr="00183BED">
              <w:rPr>
                <w:sz w:val="20"/>
                <w:szCs w:val="20"/>
              </w:rPr>
              <w:t xml:space="preserve">I ou </w:t>
            </w:r>
            <w:r w:rsidRPr="00183BED">
              <w:rPr>
                <w:sz w:val="20"/>
                <w:szCs w:val="20"/>
                <w:vertAlign w:val="superscript"/>
              </w:rPr>
              <w:t>127</w:t>
            </w:r>
            <w:r w:rsidRPr="00183BED">
              <w:rPr>
                <w:sz w:val="20"/>
                <w:szCs w:val="20"/>
              </w:rPr>
              <w:t xml:space="preserve">I + p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5n + </w:t>
            </w:r>
            <w:r w:rsidRPr="00183BED">
              <w:rPr>
                <w:sz w:val="20"/>
                <w:szCs w:val="20"/>
                <w:vertAlign w:val="superscript"/>
              </w:rPr>
              <w:t>123</w:t>
            </w:r>
            <w:r w:rsidRPr="00183BED">
              <w:rPr>
                <w:sz w:val="20"/>
                <w:szCs w:val="20"/>
              </w:rPr>
              <w:t>I</w:t>
            </w:r>
          </w:p>
        </w:tc>
        <w:tc>
          <w:tcPr>
            <w:tcW w:w="2394" w:type="dxa"/>
            <w:vAlign w:val="center"/>
          </w:tcPr>
          <w:p w:rsidR="002B75A9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électronique</w:t>
            </w:r>
          </w:p>
          <w:p w:rsidR="002B75A9" w:rsidRPr="00183BED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F9E">
              <w:rPr>
                <w:sz w:val="20"/>
                <w:szCs w:val="20"/>
                <w:vertAlign w:val="superscript"/>
              </w:rPr>
              <w:t>123</w:t>
            </w:r>
            <w:r w:rsidRPr="00354F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+ e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83BE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>123</w:t>
            </w:r>
            <w:r>
              <w:rPr>
                <w:sz w:val="20"/>
                <w:szCs w:val="20"/>
              </w:rPr>
              <w:t xml:space="preserve">Xe + </w:t>
            </w:r>
            <w:r w:rsidRPr="00711D35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ν</w:t>
            </w:r>
          </w:p>
        </w:tc>
        <w:tc>
          <w:tcPr>
            <w:tcW w:w="866" w:type="dxa"/>
            <w:vAlign w:val="center"/>
          </w:tcPr>
          <w:p w:rsidR="002B75A9" w:rsidRPr="002C4901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 h</w:t>
            </w:r>
          </w:p>
        </w:tc>
        <w:tc>
          <w:tcPr>
            <w:tcW w:w="992" w:type="dxa"/>
            <w:vAlign w:val="center"/>
          </w:tcPr>
          <w:p w:rsidR="002B75A9" w:rsidRPr="002C4901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B75A9" w:rsidRPr="002C4901" w:rsidRDefault="002B75A9" w:rsidP="004C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159 </w:t>
            </w:r>
            <w:proofErr w:type="spellStart"/>
            <w:r>
              <w:rPr>
                <w:sz w:val="20"/>
                <w:szCs w:val="20"/>
              </w:rPr>
              <w:t>keV</w:t>
            </w:r>
            <w:proofErr w:type="spellEnd"/>
          </w:p>
        </w:tc>
      </w:tr>
    </w:tbl>
    <w:p w:rsidR="002B75A9" w:rsidRDefault="002B75A9" w:rsidP="002B75A9">
      <w:pPr>
        <w:spacing w:after="0" w:line="240" w:lineRule="auto"/>
        <w:rPr>
          <w:b/>
        </w:rPr>
      </w:pPr>
      <w:r w:rsidRPr="00B7479F">
        <w:rPr>
          <w:b/>
        </w:rPr>
        <w:t>Caractéristiques des molécules vectrices utilisées :</w:t>
      </w:r>
      <w:r>
        <w:rPr>
          <w:b/>
        </w:rPr>
        <w:t xml:space="preserve"> </w:t>
      </w:r>
    </w:p>
    <w:p w:rsidR="002B75A9" w:rsidRPr="000A273F" w:rsidRDefault="002B75A9" w:rsidP="002B75A9">
      <w:pPr>
        <w:pStyle w:val="Paragraphedeliste"/>
        <w:numPr>
          <w:ilvl w:val="0"/>
          <w:numId w:val="26"/>
        </w:numPr>
        <w:spacing w:after="0" w:line="240" w:lineRule="auto"/>
        <w:ind w:left="714" w:hanging="357"/>
      </w:pPr>
      <w:r w:rsidRPr="00E55E27">
        <w:rPr>
          <w:sz w:val="20"/>
          <w:szCs w:val="20"/>
          <w:vertAlign w:val="superscript"/>
        </w:rPr>
        <w:t>99m</w:t>
      </w:r>
      <w:r w:rsidRPr="00E55E27">
        <w:rPr>
          <w:sz w:val="20"/>
          <w:szCs w:val="20"/>
        </w:rPr>
        <w:t>Tc -</w:t>
      </w:r>
      <w:proofErr w:type="spellStart"/>
      <w:r w:rsidRPr="00E55E27">
        <w:rPr>
          <w:sz w:val="20"/>
          <w:szCs w:val="20"/>
        </w:rPr>
        <w:t>sestamibi</w:t>
      </w:r>
      <w:proofErr w:type="spellEnd"/>
    </w:p>
    <w:p w:rsidR="000A273F" w:rsidRPr="000A273F" w:rsidRDefault="000A273F" w:rsidP="002B75A9">
      <w:pPr>
        <w:pStyle w:val="Paragraphedeliste"/>
        <w:numPr>
          <w:ilvl w:val="0"/>
          <w:numId w:val="26"/>
        </w:numPr>
        <w:spacing w:after="0" w:line="240" w:lineRule="auto"/>
        <w:ind w:left="714" w:hanging="357"/>
      </w:pPr>
      <w:r w:rsidRPr="000A273F">
        <w:rPr>
          <w:sz w:val="20"/>
          <w:szCs w:val="20"/>
          <w:vertAlign w:val="superscript"/>
        </w:rPr>
        <w:t>99m</w:t>
      </w:r>
      <w:r w:rsidRPr="000A273F">
        <w:rPr>
          <w:sz w:val="20"/>
          <w:szCs w:val="20"/>
        </w:rPr>
        <w:t>Tc O</w:t>
      </w:r>
      <w:r w:rsidRPr="000A273F">
        <w:rPr>
          <w:sz w:val="20"/>
          <w:szCs w:val="20"/>
          <w:vertAlign w:val="superscript"/>
        </w:rPr>
        <w:t>4-</w:t>
      </w:r>
      <w:r>
        <w:rPr>
          <w:sz w:val="20"/>
          <w:szCs w:val="20"/>
          <w:vertAlign w:val="superscript"/>
        </w:rPr>
        <w:t> </w:t>
      </w:r>
      <w:r>
        <w:rPr>
          <w:sz w:val="20"/>
          <w:szCs w:val="20"/>
        </w:rPr>
        <w:t xml:space="preserve">: </w:t>
      </w:r>
      <w:proofErr w:type="spellStart"/>
      <w:r w:rsidRPr="000A273F">
        <w:rPr>
          <w:sz w:val="20"/>
          <w:szCs w:val="20"/>
        </w:rPr>
        <w:t>pertechnetate</w:t>
      </w:r>
      <w:proofErr w:type="spellEnd"/>
      <w:r w:rsidRPr="000A273F">
        <w:rPr>
          <w:sz w:val="20"/>
          <w:szCs w:val="20"/>
        </w:rPr>
        <w:t xml:space="preserve"> de sodium</w:t>
      </w:r>
    </w:p>
    <w:p w:rsidR="000A273F" w:rsidRPr="002B75A9" w:rsidRDefault="000A273F" w:rsidP="002B75A9">
      <w:pPr>
        <w:pStyle w:val="Paragraphedeliste"/>
        <w:numPr>
          <w:ilvl w:val="0"/>
          <w:numId w:val="26"/>
        </w:numPr>
        <w:spacing w:after="0" w:line="240" w:lineRule="auto"/>
        <w:ind w:left="714" w:hanging="357"/>
      </w:pPr>
      <w:r w:rsidRPr="000A273F">
        <w:rPr>
          <w:sz w:val="20"/>
          <w:szCs w:val="20"/>
          <w:vertAlign w:val="superscript"/>
        </w:rPr>
        <w:t>123</w:t>
      </w:r>
      <w:r w:rsidRPr="000A273F">
        <w:rPr>
          <w:sz w:val="20"/>
          <w:szCs w:val="20"/>
        </w:rPr>
        <w:t>I</w:t>
      </w:r>
    </w:p>
    <w:p w:rsidR="00E55E27" w:rsidRDefault="002B75A9" w:rsidP="00E55E27">
      <w:pPr>
        <w:pStyle w:val="Titre1"/>
        <w:numPr>
          <w:ilvl w:val="0"/>
          <w:numId w:val="2"/>
        </w:numPr>
        <w:spacing w:after="0"/>
        <w:rPr>
          <w:color w:val="ED7D31" w:themeColor="accent2"/>
          <w:sz w:val="28"/>
          <w:szCs w:val="28"/>
        </w:rPr>
      </w:pPr>
      <w:r w:rsidRPr="002B75A9">
        <w:rPr>
          <w:color w:val="ED7D31" w:themeColor="accent2"/>
          <w:sz w:val="28"/>
          <w:szCs w:val="28"/>
        </w:rPr>
        <w:t>Réalisation de l’examen </w:t>
      </w:r>
    </w:p>
    <w:p w:rsidR="002B75A9" w:rsidRPr="000A273F" w:rsidRDefault="002B75A9" w:rsidP="002B75A9">
      <w:pPr>
        <w:spacing w:after="0" w:line="240" w:lineRule="auto"/>
        <w:rPr>
          <w:sz w:val="20"/>
          <w:szCs w:val="20"/>
        </w:rPr>
      </w:pPr>
      <w:r w:rsidRPr="000A273F">
        <w:rPr>
          <w:sz w:val="20"/>
          <w:szCs w:val="20"/>
        </w:rPr>
        <w:t xml:space="preserve">Une des difficultés principales de la scintigraphie au 99mTc-sestamibi est de distinguer l’activité parathyroïdienne de l’activité thyroïdienne. </w:t>
      </w:r>
    </w:p>
    <w:p w:rsidR="002B75A9" w:rsidRPr="000A273F" w:rsidRDefault="002B75A9" w:rsidP="002B75A9">
      <w:pPr>
        <w:spacing w:after="0" w:line="240" w:lineRule="auto"/>
        <w:rPr>
          <w:sz w:val="20"/>
          <w:szCs w:val="20"/>
        </w:rPr>
      </w:pPr>
      <w:r w:rsidRPr="000A273F">
        <w:rPr>
          <w:sz w:val="20"/>
          <w:szCs w:val="20"/>
        </w:rPr>
        <w:t xml:space="preserve">Plusieurs protocoles ont été proposés. Schématiquement on distingue deux types d’approches : </w:t>
      </w:r>
    </w:p>
    <w:p w:rsidR="002B75A9" w:rsidRPr="000A273F" w:rsidRDefault="002B75A9" w:rsidP="002B75A9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Les méthodes double-traceur (de soustraction) basées sur les différences de distribution du </w:t>
      </w:r>
      <w:r w:rsidRPr="000A273F">
        <w:rPr>
          <w:sz w:val="20"/>
          <w:szCs w:val="20"/>
          <w:vertAlign w:val="superscript"/>
        </w:rPr>
        <w:t>99m</w:t>
      </w:r>
      <w:r w:rsidRPr="000A273F">
        <w:rPr>
          <w:sz w:val="20"/>
          <w:szCs w:val="20"/>
        </w:rPr>
        <w:t>Tc -</w:t>
      </w:r>
      <w:proofErr w:type="spellStart"/>
      <w:r w:rsidRPr="000A273F">
        <w:rPr>
          <w:sz w:val="20"/>
          <w:szCs w:val="20"/>
        </w:rPr>
        <w:t>sestamibi</w:t>
      </w:r>
      <w:proofErr w:type="spellEnd"/>
      <w:r w:rsidRPr="000A273F">
        <w:rPr>
          <w:sz w:val="20"/>
          <w:szCs w:val="20"/>
        </w:rPr>
        <w:t xml:space="preserve"> et d’un radio-pharmaceutique spécifique de la thyroïde, soit </w:t>
      </w:r>
      <w:r w:rsidRPr="000A273F">
        <w:rPr>
          <w:sz w:val="20"/>
          <w:szCs w:val="20"/>
          <w:vertAlign w:val="superscript"/>
        </w:rPr>
        <w:t>99m</w:t>
      </w:r>
      <w:r w:rsidRPr="000A273F">
        <w:rPr>
          <w:sz w:val="20"/>
          <w:szCs w:val="20"/>
        </w:rPr>
        <w:t>Tc O</w:t>
      </w:r>
      <w:r w:rsidRPr="000A273F">
        <w:rPr>
          <w:sz w:val="20"/>
          <w:szCs w:val="20"/>
          <w:vertAlign w:val="superscript"/>
        </w:rPr>
        <w:t>4-</w:t>
      </w:r>
      <w:r w:rsidRPr="000A273F">
        <w:rPr>
          <w:sz w:val="20"/>
          <w:szCs w:val="20"/>
        </w:rPr>
        <w:t xml:space="preserve"> (voir méthode d’acquisition successive) ou </w:t>
      </w:r>
      <w:r w:rsidRPr="000A273F">
        <w:rPr>
          <w:sz w:val="20"/>
          <w:szCs w:val="20"/>
          <w:vertAlign w:val="superscript"/>
        </w:rPr>
        <w:t>123</w:t>
      </w:r>
      <w:r w:rsidRPr="000A273F">
        <w:rPr>
          <w:sz w:val="20"/>
          <w:szCs w:val="20"/>
        </w:rPr>
        <w:t xml:space="preserve">I (voir méthode d’acquisition simultanée).   </w:t>
      </w:r>
    </w:p>
    <w:p w:rsidR="002B75A9" w:rsidRPr="000A273F" w:rsidRDefault="002B75A9" w:rsidP="002B75A9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 Les méthodes simple-traceur qui exploitent les différences de cinétique de captation et de rétention du traceur entre tissu thyroïdien et tissu parathyroïdien : méthode (double-phase) et méthode d’Analyse Factorielle d’une Structure Dynamique (AFSD).</w:t>
      </w:r>
    </w:p>
    <w:p w:rsidR="003C7CA2" w:rsidRPr="00341F0E" w:rsidRDefault="003C7CA2" w:rsidP="003C7CA2">
      <w:pPr>
        <w:spacing w:after="0" w:line="240" w:lineRule="auto"/>
        <w:rPr>
          <w:b/>
          <w:u w:val="single"/>
        </w:rPr>
      </w:pPr>
      <w:r w:rsidRPr="00341F0E">
        <w:rPr>
          <w:b/>
          <w:u w:val="single"/>
        </w:rPr>
        <w:t>Méthode double traceur :</w:t>
      </w:r>
    </w:p>
    <w:p w:rsidR="003C7CA2" w:rsidRPr="000A273F" w:rsidRDefault="003C7CA2" w:rsidP="003C7CA2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A273F">
        <w:rPr>
          <w:sz w:val="20"/>
          <w:szCs w:val="20"/>
        </w:rPr>
        <w:t>Patient DD, tête en hypertension et immobilisée</w:t>
      </w:r>
    </w:p>
    <w:p w:rsidR="003C7CA2" w:rsidRPr="000A273F" w:rsidRDefault="003C7CA2" w:rsidP="002103F1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A273F">
        <w:rPr>
          <w:sz w:val="20"/>
          <w:szCs w:val="20"/>
        </w:rPr>
        <w:t>Collimateur LEHR</w:t>
      </w:r>
      <w:r w:rsidR="000A273F">
        <w:rPr>
          <w:sz w:val="20"/>
          <w:szCs w:val="20"/>
        </w:rPr>
        <w:t xml:space="preserve"> post</w:t>
      </w:r>
      <w:r w:rsidRPr="000A273F">
        <w:rPr>
          <w:sz w:val="20"/>
          <w:szCs w:val="20"/>
        </w:rPr>
        <w:t xml:space="preserve"> + </w:t>
      </w:r>
      <w:proofErr w:type="spellStart"/>
      <w:r w:rsidRPr="000A273F">
        <w:rPr>
          <w:sz w:val="20"/>
          <w:szCs w:val="20"/>
        </w:rPr>
        <w:t>Pinhole</w:t>
      </w:r>
      <w:proofErr w:type="spellEnd"/>
      <w:r w:rsidR="000A273F">
        <w:rPr>
          <w:sz w:val="20"/>
          <w:szCs w:val="20"/>
        </w:rPr>
        <w:t xml:space="preserve"> </w:t>
      </w:r>
      <w:proofErr w:type="spellStart"/>
      <w:r w:rsidR="000A273F">
        <w:rPr>
          <w:sz w:val="20"/>
          <w:szCs w:val="20"/>
        </w:rPr>
        <w:t>ant</w:t>
      </w:r>
      <w:proofErr w:type="spellEnd"/>
      <w:r w:rsidRPr="000A273F">
        <w:rPr>
          <w:sz w:val="20"/>
          <w:szCs w:val="20"/>
        </w:rPr>
        <w:t xml:space="preserve"> et mise en place d’une voie veineuse indispensable pour évite</w:t>
      </w:r>
      <w:r w:rsidR="002103F1" w:rsidRPr="000A273F">
        <w:rPr>
          <w:sz w:val="20"/>
          <w:szCs w:val="20"/>
        </w:rPr>
        <w:t xml:space="preserve">r le mouvement du patient entre les deux acquisition </w:t>
      </w:r>
      <w:r w:rsidR="002103F1" w:rsidRPr="000A273F">
        <w:rPr>
          <w:sz w:val="20"/>
          <w:szCs w:val="20"/>
          <w:vertAlign w:val="superscript"/>
        </w:rPr>
        <w:t>99m</w:t>
      </w:r>
      <w:r w:rsidR="002103F1" w:rsidRPr="000A273F">
        <w:rPr>
          <w:sz w:val="20"/>
          <w:szCs w:val="20"/>
        </w:rPr>
        <w:t>Tc -</w:t>
      </w:r>
      <w:proofErr w:type="spellStart"/>
      <w:r w:rsidR="002103F1" w:rsidRPr="000A273F">
        <w:rPr>
          <w:sz w:val="20"/>
          <w:szCs w:val="20"/>
        </w:rPr>
        <w:t>sestamibi</w:t>
      </w:r>
      <w:proofErr w:type="spellEnd"/>
      <w:r w:rsidR="002103F1" w:rsidRPr="000A273F">
        <w:rPr>
          <w:sz w:val="20"/>
          <w:szCs w:val="20"/>
        </w:rPr>
        <w:t xml:space="preserve"> / </w:t>
      </w:r>
      <w:r w:rsidR="002103F1" w:rsidRPr="000A273F">
        <w:rPr>
          <w:sz w:val="20"/>
          <w:szCs w:val="20"/>
          <w:vertAlign w:val="superscript"/>
        </w:rPr>
        <w:t>99m</w:t>
      </w:r>
      <w:r w:rsidR="002103F1" w:rsidRPr="000A273F">
        <w:rPr>
          <w:sz w:val="20"/>
          <w:szCs w:val="20"/>
        </w:rPr>
        <w:t>Tc O</w:t>
      </w:r>
      <w:r w:rsidR="002103F1" w:rsidRPr="000A273F">
        <w:rPr>
          <w:sz w:val="20"/>
          <w:szCs w:val="20"/>
          <w:vertAlign w:val="superscript"/>
        </w:rPr>
        <w:t>4-</w:t>
      </w:r>
    </w:p>
    <w:p w:rsidR="002103F1" w:rsidRPr="000A273F" w:rsidRDefault="002103F1" w:rsidP="002103F1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A273F">
        <w:rPr>
          <w:b/>
          <w:sz w:val="20"/>
          <w:szCs w:val="20"/>
        </w:rPr>
        <w:t xml:space="preserve">Méthode </w:t>
      </w:r>
      <w:r w:rsidRPr="000A273F">
        <w:rPr>
          <w:b/>
          <w:sz w:val="20"/>
          <w:szCs w:val="20"/>
          <w:vertAlign w:val="superscript"/>
        </w:rPr>
        <w:t>99m</w:t>
      </w:r>
      <w:r w:rsidRPr="000A273F">
        <w:rPr>
          <w:b/>
          <w:sz w:val="20"/>
          <w:szCs w:val="20"/>
        </w:rPr>
        <w:t>Tc -</w:t>
      </w:r>
      <w:proofErr w:type="spellStart"/>
      <w:r w:rsidRPr="000A273F">
        <w:rPr>
          <w:b/>
          <w:sz w:val="20"/>
          <w:szCs w:val="20"/>
        </w:rPr>
        <w:t>sestamibi</w:t>
      </w:r>
      <w:proofErr w:type="spellEnd"/>
      <w:r w:rsidRPr="000A273F">
        <w:rPr>
          <w:b/>
          <w:sz w:val="20"/>
          <w:szCs w:val="20"/>
        </w:rPr>
        <w:t xml:space="preserve"> / </w:t>
      </w:r>
      <w:r w:rsidRPr="000A273F">
        <w:rPr>
          <w:b/>
          <w:sz w:val="20"/>
          <w:szCs w:val="20"/>
          <w:vertAlign w:val="superscript"/>
        </w:rPr>
        <w:t>99m</w:t>
      </w:r>
      <w:r w:rsidRPr="000A273F">
        <w:rPr>
          <w:b/>
          <w:sz w:val="20"/>
          <w:szCs w:val="20"/>
        </w:rPr>
        <w:t>Tc O</w:t>
      </w:r>
      <w:r w:rsidRPr="000A273F">
        <w:rPr>
          <w:b/>
          <w:sz w:val="20"/>
          <w:szCs w:val="20"/>
          <w:vertAlign w:val="superscript"/>
        </w:rPr>
        <w:t>4</w:t>
      </w:r>
      <w:r w:rsidRPr="000A273F">
        <w:rPr>
          <w:sz w:val="20"/>
          <w:szCs w:val="20"/>
          <w:vertAlign w:val="superscript"/>
        </w:rPr>
        <w:t>-</w:t>
      </w:r>
    </w:p>
    <w:p w:rsidR="002103F1" w:rsidRPr="000A273F" w:rsidRDefault="002103F1" w:rsidP="002103F1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0A273F">
        <w:rPr>
          <w:sz w:val="20"/>
          <w:szCs w:val="20"/>
        </w:rPr>
        <w:t>Une immobilité parfaite du patient entre les différentes séquences d’imagerie est nécessaire.</w:t>
      </w:r>
    </w:p>
    <w:p w:rsidR="002103F1" w:rsidRPr="00C1681A" w:rsidRDefault="002103F1" w:rsidP="002103F1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C1681A">
        <w:rPr>
          <w:sz w:val="20"/>
          <w:szCs w:val="20"/>
        </w:rPr>
        <w:t xml:space="preserve">Injection d’environ 75 </w:t>
      </w:r>
      <w:proofErr w:type="spellStart"/>
      <w:r w:rsidRPr="00C1681A">
        <w:rPr>
          <w:sz w:val="20"/>
          <w:szCs w:val="20"/>
        </w:rPr>
        <w:t>MBq</w:t>
      </w:r>
      <w:proofErr w:type="spellEnd"/>
      <w:r w:rsidRPr="00C1681A">
        <w:rPr>
          <w:sz w:val="20"/>
          <w:szCs w:val="20"/>
        </w:rPr>
        <w:t xml:space="preserve"> de </w:t>
      </w:r>
      <w:r w:rsidRPr="00C1681A">
        <w:rPr>
          <w:sz w:val="20"/>
          <w:szCs w:val="20"/>
          <w:vertAlign w:val="superscript"/>
        </w:rPr>
        <w:t>99m</w:t>
      </w:r>
      <w:r w:rsidRPr="00C1681A">
        <w:rPr>
          <w:sz w:val="20"/>
          <w:szCs w:val="20"/>
        </w:rPr>
        <w:t>Tc O</w:t>
      </w:r>
      <w:r w:rsidRPr="00C1681A">
        <w:rPr>
          <w:sz w:val="20"/>
          <w:szCs w:val="20"/>
          <w:vertAlign w:val="superscript"/>
        </w:rPr>
        <w:t>4-</w:t>
      </w:r>
    </w:p>
    <w:p w:rsidR="002103F1" w:rsidRPr="00C1681A" w:rsidRDefault="002103F1" w:rsidP="002103F1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C1681A">
        <w:rPr>
          <w:sz w:val="20"/>
          <w:szCs w:val="20"/>
        </w:rPr>
        <w:t>Attente 10 à 15 mn puis acquisition de l’image thyroïdienne avec le collimateur sténopé (matrice 256 x 256, en pré-temps = 300 à 600 sec)</w:t>
      </w:r>
    </w:p>
    <w:p w:rsidR="002103F1" w:rsidRPr="000A273F" w:rsidRDefault="002103F1" w:rsidP="002103F1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C1681A">
        <w:rPr>
          <w:sz w:val="20"/>
          <w:szCs w:val="20"/>
        </w:rPr>
        <w:t xml:space="preserve">Injection d’environ </w:t>
      </w:r>
      <w:r w:rsidR="00286CCB" w:rsidRPr="00C1681A">
        <w:rPr>
          <w:sz w:val="20"/>
          <w:szCs w:val="20"/>
        </w:rPr>
        <w:t>700</w:t>
      </w:r>
      <w:r w:rsidRPr="00C1681A">
        <w:rPr>
          <w:sz w:val="20"/>
          <w:szCs w:val="20"/>
        </w:rPr>
        <w:t xml:space="preserve"> </w:t>
      </w:r>
      <w:proofErr w:type="spellStart"/>
      <w:r w:rsidRPr="00C1681A">
        <w:rPr>
          <w:sz w:val="20"/>
          <w:szCs w:val="20"/>
        </w:rPr>
        <w:t>MBq</w:t>
      </w:r>
      <w:proofErr w:type="spellEnd"/>
      <w:r w:rsidRPr="00C1681A">
        <w:rPr>
          <w:sz w:val="20"/>
          <w:szCs w:val="20"/>
        </w:rPr>
        <w:t xml:space="preserve"> de 99mTc-sestamibi, attente 5 mn puis acquisition </w:t>
      </w:r>
      <w:r w:rsidRPr="000A273F">
        <w:rPr>
          <w:sz w:val="20"/>
          <w:szCs w:val="20"/>
        </w:rPr>
        <w:t>de l’image thyroïdienne et parathyroïdienne avec le collimateur sténopé (matrice</w:t>
      </w:r>
      <w:r w:rsidR="007A6C83" w:rsidRPr="000A273F">
        <w:rPr>
          <w:sz w:val="20"/>
          <w:szCs w:val="20"/>
        </w:rPr>
        <w:t>, en pré temps = 600 à 900 sec)</w:t>
      </w:r>
    </w:p>
    <w:p w:rsidR="002103F1" w:rsidRPr="000A273F" w:rsidRDefault="002103F1" w:rsidP="002103F1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0A273F">
        <w:rPr>
          <w:sz w:val="20"/>
          <w:szCs w:val="20"/>
        </w:rPr>
        <w:t>Acquisition de l’image cervico-thoracique avec le collimateur parallèle (environ 300 sec, matrice 256x256)</w:t>
      </w:r>
    </w:p>
    <w:p w:rsidR="007A6C83" w:rsidRPr="000A273F" w:rsidRDefault="007A6C83" w:rsidP="007A6C83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0A273F">
        <w:rPr>
          <w:sz w:val="20"/>
          <w:szCs w:val="20"/>
        </w:rPr>
        <w:t>Une acquisition tomographique cervico-thoracique peut compléter l’acquisition planaire.</w:t>
      </w:r>
    </w:p>
    <w:p w:rsidR="007A6C83" w:rsidRPr="000A273F" w:rsidRDefault="007A6C83" w:rsidP="007A6C83">
      <w:pPr>
        <w:pStyle w:val="Paragraphedeliste"/>
        <w:numPr>
          <w:ilvl w:val="0"/>
          <w:numId w:val="32"/>
        </w:numPr>
        <w:rPr>
          <w:b/>
        </w:rPr>
      </w:pPr>
      <w:r w:rsidRPr="000A273F">
        <w:rPr>
          <w:b/>
        </w:rPr>
        <w:t xml:space="preserve">Méthode d’acquisition simultanée </w:t>
      </w:r>
      <w:r w:rsidRPr="000A273F">
        <w:rPr>
          <w:b/>
          <w:vertAlign w:val="superscript"/>
        </w:rPr>
        <w:t>99m</w:t>
      </w:r>
      <w:r w:rsidRPr="000A273F">
        <w:rPr>
          <w:b/>
        </w:rPr>
        <w:t>Tc -</w:t>
      </w:r>
      <w:proofErr w:type="spellStart"/>
      <w:r w:rsidRPr="000A273F">
        <w:rPr>
          <w:b/>
        </w:rPr>
        <w:t>sestamibi</w:t>
      </w:r>
      <w:proofErr w:type="spellEnd"/>
      <w:r w:rsidRPr="000A273F">
        <w:rPr>
          <w:b/>
        </w:rPr>
        <w:t xml:space="preserve"> / </w:t>
      </w:r>
      <w:r w:rsidRPr="000A273F">
        <w:rPr>
          <w:b/>
          <w:sz w:val="20"/>
          <w:szCs w:val="20"/>
          <w:vertAlign w:val="superscript"/>
        </w:rPr>
        <w:t>123</w:t>
      </w:r>
      <w:r w:rsidRPr="000A273F">
        <w:rPr>
          <w:b/>
          <w:sz w:val="20"/>
          <w:szCs w:val="20"/>
        </w:rPr>
        <w:t>I</w:t>
      </w:r>
    </w:p>
    <w:p w:rsidR="007A6C83" w:rsidRPr="00C1681A" w:rsidRDefault="007A6C83" w:rsidP="007A6C83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Toutes les images sont enregistrées en mode d’acquisition double isotope avec des fenêtres de spectrométrie réduites </w:t>
      </w:r>
      <w:r w:rsidRPr="00C1681A">
        <w:rPr>
          <w:sz w:val="20"/>
          <w:szCs w:val="20"/>
        </w:rPr>
        <w:t xml:space="preserve">pour éviter un chevauchement : deux fenêtres symétriques de 5% centrée sur 140 </w:t>
      </w:r>
      <w:proofErr w:type="spellStart"/>
      <w:r w:rsidRPr="00C1681A">
        <w:rPr>
          <w:sz w:val="20"/>
          <w:szCs w:val="20"/>
        </w:rPr>
        <w:t>keV</w:t>
      </w:r>
      <w:proofErr w:type="spellEnd"/>
      <w:r w:rsidRPr="00C1681A">
        <w:rPr>
          <w:sz w:val="20"/>
          <w:szCs w:val="20"/>
        </w:rPr>
        <w:t xml:space="preserve"> et 159 </w:t>
      </w:r>
      <w:proofErr w:type="spellStart"/>
      <w:r w:rsidRPr="00C1681A">
        <w:rPr>
          <w:sz w:val="20"/>
          <w:szCs w:val="20"/>
        </w:rPr>
        <w:t>keV</w:t>
      </w:r>
      <w:proofErr w:type="spellEnd"/>
    </w:p>
    <w:p w:rsidR="007A6C83" w:rsidRPr="00C1681A" w:rsidRDefault="007A6C83" w:rsidP="007A6C83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C1681A">
        <w:rPr>
          <w:sz w:val="20"/>
          <w:szCs w:val="20"/>
        </w:rPr>
        <w:t xml:space="preserve">Injection IV d’environ 12 </w:t>
      </w:r>
      <w:proofErr w:type="spellStart"/>
      <w:r w:rsidRPr="00C1681A">
        <w:rPr>
          <w:sz w:val="20"/>
          <w:szCs w:val="20"/>
        </w:rPr>
        <w:t>MBq</w:t>
      </w:r>
      <w:proofErr w:type="spellEnd"/>
      <w:r w:rsidRPr="00C1681A">
        <w:rPr>
          <w:sz w:val="20"/>
          <w:szCs w:val="20"/>
        </w:rPr>
        <w:t xml:space="preserve"> d’iode 123 ; attente 2 à 3 heures. </w:t>
      </w:r>
    </w:p>
    <w:p w:rsidR="007A6C83" w:rsidRPr="00C1681A" w:rsidRDefault="007A6C83" w:rsidP="007A6C83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C1681A">
        <w:rPr>
          <w:sz w:val="20"/>
          <w:szCs w:val="20"/>
        </w:rPr>
        <w:t xml:space="preserve">Injection IV d’environ 600 </w:t>
      </w:r>
      <w:proofErr w:type="spellStart"/>
      <w:r w:rsidRPr="00C1681A">
        <w:rPr>
          <w:sz w:val="20"/>
          <w:szCs w:val="20"/>
        </w:rPr>
        <w:t>MBq</w:t>
      </w:r>
      <w:proofErr w:type="spellEnd"/>
      <w:r w:rsidRPr="00C1681A">
        <w:rPr>
          <w:sz w:val="20"/>
          <w:szCs w:val="20"/>
        </w:rPr>
        <w:t xml:space="preserve"> 99mTc-sestamibi ; attente 5 mn </w:t>
      </w:r>
    </w:p>
    <w:p w:rsidR="007A6C83" w:rsidRPr="00C1681A" w:rsidRDefault="007A6C83" w:rsidP="007A6C83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C1681A">
        <w:rPr>
          <w:sz w:val="20"/>
          <w:szCs w:val="20"/>
        </w:rPr>
        <w:t>Acquisition de l’image cervico-thoracique avec le collimateur parallèle (matrice 256 x 256, pré temps 300 sec, zoom 2 à adapter).</w:t>
      </w:r>
    </w:p>
    <w:p w:rsidR="007A6C83" w:rsidRPr="000A273F" w:rsidRDefault="007A6C83" w:rsidP="007A6C83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0A273F">
        <w:rPr>
          <w:sz w:val="20"/>
          <w:szCs w:val="20"/>
        </w:rPr>
        <w:lastRenderedPageBreak/>
        <w:t xml:space="preserve">Acquisition de l’image </w:t>
      </w:r>
      <w:r w:rsidRPr="00C1681A">
        <w:rPr>
          <w:sz w:val="20"/>
          <w:szCs w:val="20"/>
        </w:rPr>
        <w:t>thyroïdienne et parathyroïdienne avec le collimateur sténopé (préinstallé si la caméra double-tête le permet), matrice 256 x 256, 600 à 900 sec.</w:t>
      </w:r>
    </w:p>
    <w:p w:rsidR="007A6C83" w:rsidRPr="000A273F" w:rsidRDefault="007A6C83" w:rsidP="007A6C83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0A273F">
        <w:rPr>
          <w:sz w:val="20"/>
          <w:szCs w:val="20"/>
        </w:rPr>
        <w:t>Une acquisition tomographique en simple isotope ou double-isotope</w:t>
      </w:r>
    </w:p>
    <w:p w:rsidR="003911CA" w:rsidRDefault="0075774F" w:rsidP="002B75A9">
      <w:pPr>
        <w:pStyle w:val="Titre1"/>
        <w:numPr>
          <w:ilvl w:val="0"/>
          <w:numId w:val="2"/>
        </w:numPr>
        <w:spacing w:after="0"/>
        <w:rPr>
          <w:color w:val="ED7D31" w:themeColor="accent2"/>
          <w:sz w:val="28"/>
          <w:szCs w:val="28"/>
        </w:rPr>
      </w:pPr>
      <w:r w:rsidRPr="002B75A9">
        <w:rPr>
          <w:color w:val="ED7D31" w:themeColor="accent2"/>
          <w:sz w:val="28"/>
          <w:szCs w:val="28"/>
        </w:rPr>
        <w:t>Activité injectée, mode d’administration et données dosimétriques</w:t>
      </w:r>
    </w:p>
    <w:p w:rsidR="00825E0B" w:rsidRDefault="002B75A9" w:rsidP="002B75A9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Pour le </w:t>
      </w:r>
      <w:r w:rsidRPr="000A273F">
        <w:rPr>
          <w:sz w:val="20"/>
          <w:szCs w:val="20"/>
          <w:vertAlign w:val="superscript"/>
        </w:rPr>
        <w:t>99m</w:t>
      </w:r>
      <w:r w:rsidRPr="000A273F">
        <w:rPr>
          <w:sz w:val="20"/>
          <w:szCs w:val="20"/>
        </w:rPr>
        <w:t>T -</w:t>
      </w:r>
      <w:proofErr w:type="spellStart"/>
      <w:r w:rsidRPr="000A273F">
        <w:rPr>
          <w:sz w:val="20"/>
          <w:szCs w:val="20"/>
        </w:rPr>
        <w:t>sestamibi</w:t>
      </w:r>
      <w:proofErr w:type="spellEnd"/>
      <w:r w:rsidRPr="000A273F">
        <w:rPr>
          <w:sz w:val="20"/>
          <w:szCs w:val="20"/>
        </w:rPr>
        <w:t xml:space="preserve"> : </w:t>
      </w:r>
    </w:p>
    <w:p w:rsidR="002B75A9" w:rsidRDefault="002B75A9" w:rsidP="00825E0B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400 à 740 </w:t>
      </w:r>
      <w:proofErr w:type="spellStart"/>
      <w:r w:rsidRPr="000A273F">
        <w:rPr>
          <w:sz w:val="20"/>
          <w:szCs w:val="20"/>
        </w:rPr>
        <w:t>MBq</w:t>
      </w:r>
      <w:proofErr w:type="spellEnd"/>
      <w:r w:rsidRPr="000A273F">
        <w:rPr>
          <w:sz w:val="20"/>
          <w:szCs w:val="20"/>
        </w:rPr>
        <w:t xml:space="preserve"> en fonction du poids et de la méthode utilisée.</w:t>
      </w:r>
    </w:p>
    <w:p w:rsidR="00825E0B" w:rsidRPr="000A273F" w:rsidRDefault="00825E0B" w:rsidP="00825E0B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Dose efficace : 8.5 µSv/</w:t>
      </w:r>
      <w:proofErr w:type="spellStart"/>
      <w:r>
        <w:rPr>
          <w:sz w:val="20"/>
          <w:szCs w:val="20"/>
        </w:rPr>
        <w:t>MBq</w:t>
      </w:r>
      <w:proofErr w:type="spellEnd"/>
    </w:p>
    <w:p w:rsidR="00825E0B" w:rsidRDefault="002B75A9" w:rsidP="002B75A9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0A273F">
        <w:rPr>
          <w:sz w:val="20"/>
          <w:szCs w:val="20"/>
        </w:rPr>
        <w:t>Pour l’</w:t>
      </w:r>
      <w:r w:rsidRPr="000A273F">
        <w:rPr>
          <w:sz w:val="20"/>
          <w:szCs w:val="20"/>
          <w:vertAlign w:val="superscript"/>
        </w:rPr>
        <w:t>123</w:t>
      </w:r>
      <w:proofErr w:type="gramStart"/>
      <w:r w:rsidRPr="000A273F">
        <w:rPr>
          <w:sz w:val="20"/>
          <w:szCs w:val="20"/>
        </w:rPr>
        <w:t>I  (</w:t>
      </w:r>
      <w:proofErr w:type="gramEnd"/>
      <w:r w:rsidRPr="000A273F">
        <w:rPr>
          <w:sz w:val="20"/>
          <w:szCs w:val="20"/>
        </w:rPr>
        <w:t xml:space="preserve">iodure de sodium) : </w:t>
      </w:r>
    </w:p>
    <w:p w:rsidR="002B75A9" w:rsidRDefault="002B75A9" w:rsidP="00825E0B">
      <w:pPr>
        <w:pStyle w:val="Paragraphedeliste"/>
        <w:numPr>
          <w:ilvl w:val="0"/>
          <w:numId w:val="38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10 à 15 </w:t>
      </w:r>
      <w:proofErr w:type="spellStart"/>
      <w:r w:rsidRPr="000A273F">
        <w:rPr>
          <w:sz w:val="20"/>
          <w:szCs w:val="20"/>
        </w:rPr>
        <w:t>MBq</w:t>
      </w:r>
      <w:proofErr w:type="spellEnd"/>
      <w:r w:rsidRPr="000A273F">
        <w:rPr>
          <w:sz w:val="20"/>
          <w:szCs w:val="20"/>
        </w:rPr>
        <w:t>.</w:t>
      </w:r>
    </w:p>
    <w:p w:rsidR="00825E0B" w:rsidRPr="000A273F" w:rsidRDefault="00825E0B" w:rsidP="00825E0B">
      <w:pPr>
        <w:pStyle w:val="Paragraphedelist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178 µSv/</w:t>
      </w:r>
      <w:proofErr w:type="spellStart"/>
      <w:r>
        <w:rPr>
          <w:sz w:val="20"/>
          <w:szCs w:val="20"/>
        </w:rPr>
        <w:t>MBq</w:t>
      </w:r>
      <w:proofErr w:type="spellEnd"/>
    </w:p>
    <w:p w:rsidR="00825E0B" w:rsidRDefault="002B75A9" w:rsidP="002B75A9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Pour le </w:t>
      </w:r>
      <w:r w:rsidRPr="000A273F">
        <w:rPr>
          <w:sz w:val="20"/>
          <w:szCs w:val="20"/>
          <w:vertAlign w:val="superscript"/>
        </w:rPr>
        <w:t>99m</w:t>
      </w:r>
      <w:r w:rsidRPr="000A273F">
        <w:rPr>
          <w:sz w:val="20"/>
          <w:szCs w:val="20"/>
        </w:rPr>
        <w:t>Tc O4- (</w:t>
      </w:r>
      <w:proofErr w:type="spellStart"/>
      <w:r w:rsidRPr="000A273F">
        <w:rPr>
          <w:sz w:val="20"/>
          <w:szCs w:val="20"/>
        </w:rPr>
        <w:t>pertechnetate</w:t>
      </w:r>
      <w:proofErr w:type="spellEnd"/>
      <w:r w:rsidRPr="000A273F">
        <w:rPr>
          <w:sz w:val="20"/>
          <w:szCs w:val="20"/>
        </w:rPr>
        <w:t xml:space="preserve"> de sodium) : </w:t>
      </w:r>
    </w:p>
    <w:p w:rsidR="002B75A9" w:rsidRDefault="002B75A9" w:rsidP="00825E0B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0A273F">
        <w:rPr>
          <w:sz w:val="20"/>
          <w:szCs w:val="20"/>
        </w:rPr>
        <w:t xml:space="preserve">50 à 150 </w:t>
      </w:r>
      <w:proofErr w:type="spellStart"/>
      <w:r w:rsidRPr="000A273F">
        <w:rPr>
          <w:sz w:val="20"/>
          <w:szCs w:val="20"/>
        </w:rPr>
        <w:t>MBq</w:t>
      </w:r>
      <w:proofErr w:type="spellEnd"/>
      <w:r w:rsidRPr="000A273F">
        <w:rPr>
          <w:sz w:val="20"/>
          <w:szCs w:val="20"/>
        </w:rPr>
        <w:t>.</w:t>
      </w:r>
    </w:p>
    <w:p w:rsidR="00825E0B" w:rsidRPr="00825E0B" w:rsidRDefault="00825E0B" w:rsidP="00825E0B">
      <w:pPr>
        <w:pStyle w:val="Paragraphedeliste"/>
        <w:numPr>
          <w:ilvl w:val="0"/>
          <w:numId w:val="39"/>
        </w:numPr>
        <w:spacing w:after="120" w:line="240" w:lineRule="auto"/>
        <w:ind w:left="1434" w:hanging="357"/>
        <w:rPr>
          <w:sz w:val="20"/>
          <w:szCs w:val="20"/>
        </w:rPr>
      </w:pPr>
      <w:r>
        <w:rPr>
          <w:sz w:val="20"/>
          <w:szCs w:val="20"/>
        </w:rPr>
        <w:t>12 µSv/</w:t>
      </w:r>
      <w:proofErr w:type="spellStart"/>
      <w:r>
        <w:rPr>
          <w:sz w:val="20"/>
          <w:szCs w:val="20"/>
        </w:rPr>
        <w:t>MBq</w:t>
      </w:r>
      <w:proofErr w:type="spellEnd"/>
    </w:p>
    <w:p w:rsidR="005D01FA" w:rsidRDefault="005D01FA" w:rsidP="005D01FA">
      <w:pPr>
        <w:pStyle w:val="Titre1"/>
        <w:numPr>
          <w:ilvl w:val="0"/>
          <w:numId w:val="2"/>
        </w:numPr>
        <w:spacing w:after="0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Traitement des images</w:t>
      </w:r>
    </w:p>
    <w:p w:rsidR="005E233F" w:rsidRPr="00C1681A" w:rsidRDefault="005D01FA" w:rsidP="00825E0B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sz w:val="20"/>
          <w:szCs w:val="20"/>
        </w:rPr>
      </w:pPr>
      <w:r w:rsidRPr="00C1681A">
        <w:rPr>
          <w:sz w:val="20"/>
          <w:szCs w:val="20"/>
        </w:rPr>
        <w:t>Le traitement est basé sur la soustraction digitale des images recueillies avec les deux isotopes.</w:t>
      </w:r>
    </w:p>
    <w:p w:rsidR="005D01FA" w:rsidRPr="00C1681A" w:rsidRDefault="005D01FA" w:rsidP="00825E0B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sz w:val="20"/>
          <w:szCs w:val="20"/>
        </w:rPr>
      </w:pPr>
      <w:r w:rsidRPr="00C1681A">
        <w:rPr>
          <w:sz w:val="20"/>
          <w:szCs w:val="20"/>
        </w:rPr>
        <w:t xml:space="preserve">Un programme permet de choisir de manière interactive, et visuelle, le pourcentage de l'image iode 123 (ou 99mTcO4-) à soustraire de l’image </w:t>
      </w:r>
      <w:proofErr w:type="spellStart"/>
      <w:r w:rsidRPr="00C1681A">
        <w:rPr>
          <w:sz w:val="20"/>
          <w:szCs w:val="20"/>
        </w:rPr>
        <w:t>sestamibi</w:t>
      </w:r>
      <w:proofErr w:type="spellEnd"/>
      <w:r w:rsidRPr="00C1681A">
        <w:rPr>
          <w:sz w:val="20"/>
          <w:szCs w:val="20"/>
        </w:rPr>
        <w:t>.</w:t>
      </w:r>
    </w:p>
    <w:p w:rsidR="005D01FA" w:rsidRPr="00C1681A" w:rsidRDefault="005D01FA" w:rsidP="00825E0B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sz w:val="20"/>
          <w:szCs w:val="20"/>
        </w:rPr>
      </w:pPr>
      <w:r w:rsidRPr="00C1681A">
        <w:rPr>
          <w:sz w:val="20"/>
          <w:szCs w:val="20"/>
        </w:rPr>
        <w:t>La soustraction est considérée avoir atteint un niveau optimal lorsque l'activité restante du 99mTc-sestamibi dans l'aire thyroïdienne devient presque identique à celle des tissus voisins.</w:t>
      </w:r>
    </w:p>
    <w:p w:rsidR="005D01FA" w:rsidRPr="00C1681A" w:rsidRDefault="005D01FA" w:rsidP="00825E0B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sz w:val="20"/>
          <w:szCs w:val="20"/>
        </w:rPr>
      </w:pPr>
      <w:r w:rsidRPr="00C1681A">
        <w:rPr>
          <w:sz w:val="20"/>
          <w:szCs w:val="20"/>
        </w:rPr>
        <w:t>Dans le cas de la technique 99mTc-sestamibi-99mTcO4-, l’acquisition des images étant effectuée de manière successive, il peut s’avérer nécessaire d’utiliser un programme de recalage des images avant la soustraction.</w:t>
      </w:r>
    </w:p>
    <w:p w:rsidR="005D01FA" w:rsidRPr="00C1681A" w:rsidRDefault="005D01FA" w:rsidP="00825E0B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sz w:val="20"/>
          <w:szCs w:val="20"/>
        </w:rPr>
      </w:pPr>
      <w:r w:rsidRPr="00C1681A">
        <w:rPr>
          <w:sz w:val="20"/>
          <w:szCs w:val="20"/>
        </w:rPr>
        <w:t>Dans l’aire thyroïdienne : Tout foyer résiduel après soustraction des images sera considéré comme pouvant correspondre à une glande parathyroïdienne anormale.</w:t>
      </w:r>
    </w:p>
    <w:p w:rsidR="005D01FA" w:rsidRPr="005D01FA" w:rsidRDefault="005D01FA" w:rsidP="00825E0B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sz w:val="20"/>
          <w:szCs w:val="20"/>
        </w:rPr>
      </w:pPr>
      <w:r w:rsidRPr="00C1681A">
        <w:rPr>
          <w:sz w:val="20"/>
          <w:szCs w:val="20"/>
        </w:rPr>
        <w:t>En dehors de l’aire thyroïdienne : Toute im</w:t>
      </w:r>
      <w:bookmarkStart w:id="0" w:name="_GoBack"/>
      <w:bookmarkEnd w:id="0"/>
      <w:r w:rsidRPr="00C1681A">
        <w:rPr>
          <w:sz w:val="20"/>
          <w:szCs w:val="20"/>
        </w:rPr>
        <w:t xml:space="preserve">age focalisée située dans le cou </w:t>
      </w:r>
      <w:r w:rsidRPr="005D01FA">
        <w:rPr>
          <w:sz w:val="20"/>
          <w:szCs w:val="20"/>
        </w:rPr>
        <w:t xml:space="preserve">ou le médiastin dans les sites possibles de glandes parathyroïdiennes indépendante des sites de fixations physiologiques du </w:t>
      </w:r>
      <w:proofErr w:type="spellStart"/>
      <w:r w:rsidRPr="005D01FA">
        <w:rPr>
          <w:sz w:val="20"/>
          <w:szCs w:val="20"/>
        </w:rPr>
        <w:t>radiopharmaceutique</w:t>
      </w:r>
      <w:proofErr w:type="spellEnd"/>
      <w:r w:rsidRPr="005D01FA">
        <w:rPr>
          <w:sz w:val="20"/>
          <w:szCs w:val="20"/>
        </w:rPr>
        <w:t xml:space="preserve"> (glandes salivaires, myocardique, notamment), sera considérée comme pouvant correspondre à une glande parathyroïdienne anormale.</w:t>
      </w:r>
    </w:p>
    <w:sectPr w:rsidR="005D01FA" w:rsidRPr="005D01FA" w:rsidSect="009F0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779"/>
    <w:multiLevelType w:val="hybridMultilevel"/>
    <w:tmpl w:val="C37C1D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96E"/>
    <w:multiLevelType w:val="hybridMultilevel"/>
    <w:tmpl w:val="1B946A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EE6"/>
    <w:multiLevelType w:val="hybridMultilevel"/>
    <w:tmpl w:val="237A7E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3F11"/>
    <w:multiLevelType w:val="hybridMultilevel"/>
    <w:tmpl w:val="5CC6A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7E94"/>
    <w:multiLevelType w:val="hybridMultilevel"/>
    <w:tmpl w:val="8C2A9D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C729E"/>
    <w:multiLevelType w:val="hybridMultilevel"/>
    <w:tmpl w:val="1030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365A"/>
    <w:multiLevelType w:val="hybridMultilevel"/>
    <w:tmpl w:val="220C7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A6235"/>
    <w:multiLevelType w:val="hybridMultilevel"/>
    <w:tmpl w:val="CB96AE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97AA6"/>
    <w:multiLevelType w:val="hybridMultilevel"/>
    <w:tmpl w:val="5C080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86F2B"/>
    <w:multiLevelType w:val="hybridMultilevel"/>
    <w:tmpl w:val="F3FED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350C2"/>
    <w:multiLevelType w:val="hybridMultilevel"/>
    <w:tmpl w:val="919C803A"/>
    <w:lvl w:ilvl="0" w:tplc="C862E7C8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366F1"/>
    <w:multiLevelType w:val="hybridMultilevel"/>
    <w:tmpl w:val="060C40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672AD"/>
    <w:multiLevelType w:val="hybridMultilevel"/>
    <w:tmpl w:val="545A5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703C"/>
    <w:multiLevelType w:val="hybridMultilevel"/>
    <w:tmpl w:val="115A0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F7EFF"/>
    <w:multiLevelType w:val="hybridMultilevel"/>
    <w:tmpl w:val="7E282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160F2"/>
    <w:multiLevelType w:val="hybridMultilevel"/>
    <w:tmpl w:val="09E28C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756F0"/>
    <w:multiLevelType w:val="hybridMultilevel"/>
    <w:tmpl w:val="1E227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75E5"/>
    <w:multiLevelType w:val="hybridMultilevel"/>
    <w:tmpl w:val="30CA08F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C4757"/>
    <w:multiLevelType w:val="hybridMultilevel"/>
    <w:tmpl w:val="1DF80DC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A12AC6"/>
    <w:multiLevelType w:val="hybridMultilevel"/>
    <w:tmpl w:val="4CBC4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C05B6"/>
    <w:multiLevelType w:val="hybridMultilevel"/>
    <w:tmpl w:val="A82A085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0704"/>
    <w:multiLevelType w:val="hybridMultilevel"/>
    <w:tmpl w:val="C17A100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481990"/>
    <w:multiLevelType w:val="hybridMultilevel"/>
    <w:tmpl w:val="BB2E42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E35BB"/>
    <w:multiLevelType w:val="hybridMultilevel"/>
    <w:tmpl w:val="9F76240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7B1A87"/>
    <w:multiLevelType w:val="hybridMultilevel"/>
    <w:tmpl w:val="D01AE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D65D2"/>
    <w:multiLevelType w:val="hybridMultilevel"/>
    <w:tmpl w:val="EEA247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15660"/>
    <w:multiLevelType w:val="hybridMultilevel"/>
    <w:tmpl w:val="C6A05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A07B2"/>
    <w:multiLevelType w:val="hybridMultilevel"/>
    <w:tmpl w:val="EA9E4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648E2"/>
    <w:multiLevelType w:val="hybridMultilevel"/>
    <w:tmpl w:val="8BCEC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F2E85"/>
    <w:multiLevelType w:val="hybridMultilevel"/>
    <w:tmpl w:val="1BE68C2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0" w15:restartNumberingAfterBreak="0">
    <w:nsid w:val="5D99116E"/>
    <w:multiLevelType w:val="hybridMultilevel"/>
    <w:tmpl w:val="D9AAD70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A063E9"/>
    <w:multiLevelType w:val="hybridMultilevel"/>
    <w:tmpl w:val="45948E2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865AD"/>
    <w:multiLevelType w:val="hybridMultilevel"/>
    <w:tmpl w:val="14E02A6A"/>
    <w:lvl w:ilvl="0" w:tplc="BCD24F34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E1A89"/>
    <w:multiLevelType w:val="hybridMultilevel"/>
    <w:tmpl w:val="62B07AA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6FE50FA"/>
    <w:multiLevelType w:val="hybridMultilevel"/>
    <w:tmpl w:val="B720F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6723D"/>
    <w:multiLevelType w:val="hybridMultilevel"/>
    <w:tmpl w:val="6FE41146"/>
    <w:lvl w:ilvl="0" w:tplc="D03045B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80A46"/>
    <w:multiLevelType w:val="hybridMultilevel"/>
    <w:tmpl w:val="D4C8B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47B90"/>
    <w:multiLevelType w:val="hybridMultilevel"/>
    <w:tmpl w:val="498E1C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024BA"/>
    <w:multiLevelType w:val="hybridMultilevel"/>
    <w:tmpl w:val="7D8E4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32"/>
  </w:num>
  <w:num w:numId="4">
    <w:abstractNumId w:val="26"/>
  </w:num>
  <w:num w:numId="5">
    <w:abstractNumId w:val="29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37"/>
  </w:num>
  <w:num w:numId="11">
    <w:abstractNumId w:val="2"/>
  </w:num>
  <w:num w:numId="12">
    <w:abstractNumId w:val="28"/>
  </w:num>
  <w:num w:numId="13">
    <w:abstractNumId w:val="16"/>
  </w:num>
  <w:num w:numId="14">
    <w:abstractNumId w:val="1"/>
  </w:num>
  <w:num w:numId="15">
    <w:abstractNumId w:val="31"/>
  </w:num>
  <w:num w:numId="16">
    <w:abstractNumId w:val="24"/>
  </w:num>
  <w:num w:numId="17">
    <w:abstractNumId w:val="13"/>
  </w:num>
  <w:num w:numId="18">
    <w:abstractNumId w:val="15"/>
  </w:num>
  <w:num w:numId="19">
    <w:abstractNumId w:val="34"/>
  </w:num>
  <w:num w:numId="20">
    <w:abstractNumId w:val="4"/>
  </w:num>
  <w:num w:numId="21">
    <w:abstractNumId w:val="0"/>
  </w:num>
  <w:num w:numId="22">
    <w:abstractNumId w:val="7"/>
  </w:num>
  <w:num w:numId="23">
    <w:abstractNumId w:val="11"/>
  </w:num>
  <w:num w:numId="24">
    <w:abstractNumId w:val="14"/>
  </w:num>
  <w:num w:numId="25">
    <w:abstractNumId w:val="12"/>
  </w:num>
  <w:num w:numId="26">
    <w:abstractNumId w:val="38"/>
  </w:num>
  <w:num w:numId="27">
    <w:abstractNumId w:val="22"/>
  </w:num>
  <w:num w:numId="28">
    <w:abstractNumId w:val="10"/>
  </w:num>
  <w:num w:numId="29">
    <w:abstractNumId w:val="36"/>
  </w:num>
  <w:num w:numId="30">
    <w:abstractNumId w:val="3"/>
  </w:num>
  <w:num w:numId="31">
    <w:abstractNumId w:val="23"/>
  </w:num>
  <w:num w:numId="32">
    <w:abstractNumId w:val="19"/>
  </w:num>
  <w:num w:numId="33">
    <w:abstractNumId w:val="18"/>
  </w:num>
  <w:num w:numId="34">
    <w:abstractNumId w:val="25"/>
  </w:num>
  <w:num w:numId="35">
    <w:abstractNumId w:val="27"/>
  </w:num>
  <w:num w:numId="36">
    <w:abstractNumId w:val="33"/>
  </w:num>
  <w:num w:numId="37">
    <w:abstractNumId w:val="17"/>
  </w:num>
  <w:num w:numId="38">
    <w:abstractNumId w:val="3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1"/>
    <w:rsid w:val="000A273F"/>
    <w:rsid w:val="000B7190"/>
    <w:rsid w:val="000D4AF9"/>
    <w:rsid w:val="000D4F80"/>
    <w:rsid w:val="00125498"/>
    <w:rsid w:val="00183BED"/>
    <w:rsid w:val="001C6FB1"/>
    <w:rsid w:val="002103F1"/>
    <w:rsid w:val="00286CCB"/>
    <w:rsid w:val="002A0801"/>
    <w:rsid w:val="002B75A9"/>
    <w:rsid w:val="002C0BA5"/>
    <w:rsid w:val="002C4901"/>
    <w:rsid w:val="00341F0E"/>
    <w:rsid w:val="00354F9E"/>
    <w:rsid w:val="00372AEA"/>
    <w:rsid w:val="003911CA"/>
    <w:rsid w:val="003C7CA2"/>
    <w:rsid w:val="003F197D"/>
    <w:rsid w:val="00442FF7"/>
    <w:rsid w:val="0047540C"/>
    <w:rsid w:val="0051575D"/>
    <w:rsid w:val="005D01FA"/>
    <w:rsid w:val="005E233F"/>
    <w:rsid w:val="005F5C63"/>
    <w:rsid w:val="006636DA"/>
    <w:rsid w:val="006F6CE7"/>
    <w:rsid w:val="00711D35"/>
    <w:rsid w:val="0075774F"/>
    <w:rsid w:val="0079679B"/>
    <w:rsid w:val="007A6C83"/>
    <w:rsid w:val="00800E53"/>
    <w:rsid w:val="00825E0B"/>
    <w:rsid w:val="00935317"/>
    <w:rsid w:val="00956601"/>
    <w:rsid w:val="009F0C11"/>
    <w:rsid w:val="00A73CE6"/>
    <w:rsid w:val="00AD13EC"/>
    <w:rsid w:val="00B42BE5"/>
    <w:rsid w:val="00B5386F"/>
    <w:rsid w:val="00B567DE"/>
    <w:rsid w:val="00B7479F"/>
    <w:rsid w:val="00C1681A"/>
    <w:rsid w:val="00C70B7E"/>
    <w:rsid w:val="00C727BA"/>
    <w:rsid w:val="00C759BC"/>
    <w:rsid w:val="00D44A03"/>
    <w:rsid w:val="00D75CD5"/>
    <w:rsid w:val="00D956CD"/>
    <w:rsid w:val="00DC459F"/>
    <w:rsid w:val="00DD7024"/>
    <w:rsid w:val="00E55E27"/>
    <w:rsid w:val="00F61849"/>
    <w:rsid w:val="00F758A8"/>
    <w:rsid w:val="00F942A9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4D9F"/>
  <w15:chartTrackingRefBased/>
  <w15:docId w15:val="{15CCBD6B-6B53-4C1C-A559-04EEA94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40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C1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54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2C4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2">
    <w:name w:val="Grid Table 5 Dark Accent 2"/>
    <w:basedOn w:val="TableauNormal"/>
    <w:uiPriority w:val="50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DefaultParagraphFontParaCharCarCarCarCarCarCarCarCarCarCarCarCarCarCar">
    <w:name w:val="Default Paragraph Font Para Char Car Car Car Car Car Car Car Car Car Car Car Car Car Car"/>
    <w:basedOn w:val="Normal"/>
    <w:rsid w:val="00286CCB"/>
    <w:pPr>
      <w:spacing w:line="240" w:lineRule="exact"/>
    </w:pPr>
    <w:rPr>
      <w:rFonts w:ascii="Trebuchet MS" w:eastAsia="Times New Roman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194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5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4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6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7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4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89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62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37587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63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63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75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877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73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938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41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902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539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2600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425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116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620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5567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88183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50290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jsalv</dc:creator>
  <cp:keywords/>
  <dc:description/>
  <cp:lastModifiedBy>jsalv</cp:lastModifiedBy>
  <cp:revision>9</cp:revision>
  <dcterms:created xsi:type="dcterms:W3CDTF">2016-04-28T18:46:00Z</dcterms:created>
  <dcterms:modified xsi:type="dcterms:W3CDTF">2016-05-11T11:26:00Z</dcterms:modified>
</cp:coreProperties>
</file>