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C11" w:rsidRDefault="00D75CD5" w:rsidP="003911CA">
      <w:pPr>
        <w:spacing w:after="120" w:line="240" w:lineRule="auto"/>
        <w:jc w:val="center"/>
        <w:rPr>
          <w:rFonts w:ascii="Freestyle Script" w:hAnsi="Freestyle Script" w:cs="Arial"/>
          <w:sz w:val="56"/>
          <w:szCs w:val="56"/>
        </w:rPr>
      </w:pPr>
      <w:r>
        <w:rPr>
          <w:rFonts w:ascii="Freestyle Script" w:hAnsi="Freestyle Script" w:cs="Arial"/>
          <w:sz w:val="56"/>
          <w:szCs w:val="56"/>
        </w:rPr>
        <w:t>Scintigraphie thyroïdienne diagnostique</w:t>
      </w:r>
    </w:p>
    <w:p w:rsidR="009F0C11" w:rsidRPr="000A37A4" w:rsidRDefault="00956601" w:rsidP="00DD7024">
      <w:pPr>
        <w:pStyle w:val="Titre1"/>
        <w:numPr>
          <w:ilvl w:val="0"/>
          <w:numId w:val="2"/>
        </w:numPr>
        <w:spacing w:after="0"/>
        <w:ind w:left="714" w:hanging="357"/>
        <w:rPr>
          <w:color w:val="ED7D31" w:themeColor="accent2"/>
        </w:rPr>
      </w:pPr>
      <w:r w:rsidRPr="000A37A4">
        <w:rPr>
          <w:color w:val="ED7D31" w:themeColor="accent2"/>
        </w:rPr>
        <w:t>Principe</w:t>
      </w:r>
      <w:r w:rsidR="00D75CD5" w:rsidRPr="000A37A4">
        <w:rPr>
          <w:color w:val="ED7D31" w:themeColor="accent2"/>
        </w:rPr>
        <w:t xml:space="preserve"> et définition</w:t>
      </w:r>
    </w:p>
    <w:p w:rsidR="00D75CD5" w:rsidRPr="00D75CD5" w:rsidRDefault="00D75CD5" w:rsidP="00DD7024">
      <w:pPr>
        <w:spacing w:after="0" w:line="240" w:lineRule="auto"/>
        <w:jc w:val="both"/>
        <w:rPr>
          <w:color w:val="000000"/>
          <w:sz w:val="20"/>
          <w:szCs w:val="20"/>
        </w:rPr>
      </w:pPr>
      <w:r w:rsidRPr="00D75CD5">
        <w:rPr>
          <w:color w:val="000000"/>
          <w:sz w:val="20"/>
          <w:szCs w:val="20"/>
        </w:rPr>
        <w:t>Avec l’</w:t>
      </w:r>
      <w:r w:rsidRPr="00DD7024">
        <w:rPr>
          <w:color w:val="000000"/>
          <w:sz w:val="20"/>
          <w:szCs w:val="20"/>
          <w:vertAlign w:val="superscript"/>
        </w:rPr>
        <w:t>123</w:t>
      </w:r>
      <w:r w:rsidRPr="00D75CD5">
        <w:rPr>
          <w:color w:val="000000"/>
          <w:sz w:val="20"/>
          <w:szCs w:val="20"/>
        </w:rPr>
        <w:t>I, la scintigraphie thyroïdienne réalise une imagerie moléculaire et fonctionnelle. Cette image reflète non seulement le processus de captage cellulaire (transporteur de l’iode ou NIS=</w:t>
      </w:r>
      <w:proofErr w:type="spellStart"/>
      <w:r w:rsidRPr="00D75CD5">
        <w:rPr>
          <w:color w:val="000000"/>
          <w:sz w:val="20"/>
          <w:szCs w:val="20"/>
        </w:rPr>
        <w:t>Human</w:t>
      </w:r>
      <w:proofErr w:type="spellEnd"/>
      <w:r w:rsidRPr="00D75CD5">
        <w:rPr>
          <w:color w:val="000000"/>
          <w:sz w:val="20"/>
          <w:szCs w:val="20"/>
        </w:rPr>
        <w:t xml:space="preserve"> Sodium-</w:t>
      </w:r>
      <w:proofErr w:type="spellStart"/>
      <w:r w:rsidRPr="00D75CD5">
        <w:rPr>
          <w:color w:val="000000"/>
          <w:sz w:val="20"/>
          <w:szCs w:val="20"/>
        </w:rPr>
        <w:t>iodide</w:t>
      </w:r>
      <w:proofErr w:type="spellEnd"/>
      <w:r w:rsidRPr="00D75CD5">
        <w:rPr>
          <w:color w:val="000000"/>
          <w:sz w:val="20"/>
          <w:szCs w:val="20"/>
        </w:rPr>
        <w:t xml:space="preserve"> </w:t>
      </w:r>
      <w:proofErr w:type="spellStart"/>
      <w:r w:rsidRPr="00D75CD5">
        <w:rPr>
          <w:color w:val="000000"/>
          <w:sz w:val="20"/>
          <w:szCs w:val="20"/>
        </w:rPr>
        <w:t>symporter</w:t>
      </w:r>
      <w:proofErr w:type="spellEnd"/>
      <w:r w:rsidRPr="00D75CD5">
        <w:rPr>
          <w:color w:val="000000"/>
          <w:sz w:val="20"/>
          <w:szCs w:val="20"/>
        </w:rPr>
        <w:t xml:space="preserve">) à la phase précoce (&lt; 30 minutes) correspondant à une fixation physiologique globale de 3 – 5 %, mais surtout le processus </w:t>
      </w:r>
      <w:proofErr w:type="spellStart"/>
      <w:r w:rsidRPr="00D75CD5">
        <w:rPr>
          <w:color w:val="000000"/>
          <w:sz w:val="20"/>
          <w:szCs w:val="20"/>
        </w:rPr>
        <w:t>organification</w:t>
      </w:r>
      <w:proofErr w:type="spellEnd"/>
      <w:r w:rsidRPr="00D75CD5">
        <w:rPr>
          <w:color w:val="000000"/>
          <w:sz w:val="20"/>
          <w:szCs w:val="20"/>
        </w:rPr>
        <w:t xml:space="preserve"> et de stockage intra colloïdal qui domine dès 60 minutes pour atteindre un maximum vers 6 – 24 heures, correspondant à une fixation physiologique globale de 30 à 50 %.</w:t>
      </w:r>
    </w:p>
    <w:p w:rsidR="00D75CD5" w:rsidRDefault="00D75CD5" w:rsidP="00DD7024">
      <w:pPr>
        <w:spacing w:after="0" w:line="240" w:lineRule="auto"/>
        <w:jc w:val="both"/>
        <w:rPr>
          <w:color w:val="000000"/>
          <w:sz w:val="20"/>
          <w:szCs w:val="20"/>
        </w:rPr>
      </w:pPr>
      <w:r w:rsidRPr="00D75CD5">
        <w:rPr>
          <w:color w:val="000000"/>
          <w:sz w:val="20"/>
          <w:szCs w:val="20"/>
        </w:rPr>
        <w:t xml:space="preserve">On peut également utiliser le </w:t>
      </w:r>
      <w:proofErr w:type="spellStart"/>
      <w:r w:rsidRPr="00D75CD5">
        <w:rPr>
          <w:color w:val="000000"/>
          <w:sz w:val="20"/>
          <w:szCs w:val="20"/>
        </w:rPr>
        <w:t>pertechnétate</w:t>
      </w:r>
      <w:proofErr w:type="spellEnd"/>
      <w:r w:rsidRPr="00D75CD5">
        <w:rPr>
          <w:color w:val="000000"/>
          <w:sz w:val="20"/>
          <w:szCs w:val="20"/>
        </w:rPr>
        <w:t xml:space="preserve"> 99mTc, mais ce </w:t>
      </w:r>
      <w:proofErr w:type="spellStart"/>
      <w:r w:rsidRPr="00D75CD5">
        <w:rPr>
          <w:color w:val="000000"/>
          <w:sz w:val="20"/>
          <w:szCs w:val="20"/>
        </w:rPr>
        <w:t>radiopharmaceutique</w:t>
      </w:r>
      <w:proofErr w:type="spellEnd"/>
      <w:r w:rsidRPr="00D75CD5">
        <w:rPr>
          <w:color w:val="000000"/>
          <w:sz w:val="20"/>
          <w:szCs w:val="20"/>
        </w:rPr>
        <w:t xml:space="preserve"> substrat du NIS a un captage cellulaire exclusif expliquant une fixation globale physiologique modérée (1 à 3,75%). Le contraste de l’image </w:t>
      </w:r>
      <w:proofErr w:type="spellStart"/>
      <w:r w:rsidRPr="00D75CD5">
        <w:rPr>
          <w:color w:val="000000"/>
          <w:sz w:val="20"/>
          <w:szCs w:val="20"/>
        </w:rPr>
        <w:t>scintigraphique</w:t>
      </w:r>
      <w:proofErr w:type="spellEnd"/>
      <w:r w:rsidRPr="00D75CD5">
        <w:rPr>
          <w:color w:val="000000"/>
          <w:sz w:val="20"/>
          <w:szCs w:val="20"/>
        </w:rPr>
        <w:t xml:space="preserve"> reflète la concentration et l’épaisseur du tissu. Le rapport S/B est souvent supérieur à 20 :1 en </w:t>
      </w:r>
      <w:r w:rsidRPr="00DD7024">
        <w:rPr>
          <w:color w:val="000000"/>
          <w:sz w:val="20"/>
          <w:szCs w:val="20"/>
          <w:vertAlign w:val="superscript"/>
        </w:rPr>
        <w:t>123</w:t>
      </w:r>
      <w:r w:rsidRPr="00D75CD5">
        <w:rPr>
          <w:color w:val="000000"/>
          <w:sz w:val="20"/>
          <w:szCs w:val="20"/>
        </w:rPr>
        <w:t xml:space="preserve">I et de l’ordre de 5 :1 en </w:t>
      </w:r>
      <w:r w:rsidRPr="00DD7024">
        <w:rPr>
          <w:color w:val="000000"/>
          <w:sz w:val="20"/>
          <w:szCs w:val="20"/>
          <w:vertAlign w:val="superscript"/>
        </w:rPr>
        <w:t>99m</w:t>
      </w:r>
      <w:r w:rsidRPr="00D75CD5">
        <w:rPr>
          <w:color w:val="000000"/>
          <w:sz w:val="20"/>
          <w:szCs w:val="20"/>
        </w:rPr>
        <w:t xml:space="preserve">Tc. La scintigraphie thyroïdienne doit être une image bien résolue (&lt; 8 mm), adaptée à la pathologie nodulaire dont le seuil d’exploration est fixé de façon consensuelle à 10 </w:t>
      </w:r>
      <w:proofErr w:type="spellStart"/>
      <w:r w:rsidRPr="00D75CD5">
        <w:rPr>
          <w:color w:val="000000"/>
          <w:sz w:val="20"/>
          <w:szCs w:val="20"/>
        </w:rPr>
        <w:t>mm.</w:t>
      </w:r>
      <w:proofErr w:type="spellEnd"/>
    </w:p>
    <w:p w:rsidR="00DD7024" w:rsidRPr="000A37A4" w:rsidRDefault="00DD7024" w:rsidP="000A37A4">
      <w:pPr>
        <w:pStyle w:val="Titre1"/>
        <w:numPr>
          <w:ilvl w:val="0"/>
          <w:numId w:val="2"/>
        </w:numPr>
        <w:spacing w:after="0"/>
        <w:ind w:left="714" w:hanging="357"/>
        <w:rPr>
          <w:color w:val="ED7D31" w:themeColor="accent2"/>
        </w:rPr>
      </w:pPr>
      <w:r w:rsidRPr="000A37A4">
        <w:rPr>
          <w:color w:val="ED7D31" w:themeColor="accent2"/>
        </w:rPr>
        <w:t>I</w:t>
      </w:r>
      <w:r w:rsidR="00D75CD5" w:rsidRPr="000A37A4">
        <w:rPr>
          <w:color w:val="ED7D31" w:themeColor="accent2"/>
        </w:rPr>
        <w:t>ndications</w:t>
      </w:r>
      <w:r w:rsidRPr="000A37A4">
        <w:rPr>
          <w:color w:val="ED7D31" w:themeColor="accent2"/>
        </w:rPr>
        <w:t xml:space="preserve"> et contre-indications</w:t>
      </w:r>
    </w:p>
    <w:p w:rsidR="00D75CD5" w:rsidRPr="00DD7024" w:rsidRDefault="00DD7024" w:rsidP="000A37A4">
      <w:pPr>
        <w:pStyle w:val="Titre1"/>
        <w:spacing w:before="0" w:after="0"/>
        <w:rPr>
          <w:rFonts w:asciiTheme="minorHAnsi" w:hAnsiTheme="minorHAnsi"/>
          <w:color w:val="auto"/>
          <w:sz w:val="22"/>
          <w:szCs w:val="22"/>
        </w:rPr>
      </w:pPr>
      <w:r w:rsidRPr="00DD7024">
        <w:rPr>
          <w:rFonts w:asciiTheme="minorHAnsi" w:hAnsiTheme="minorHAnsi"/>
          <w:color w:val="auto"/>
          <w:sz w:val="22"/>
          <w:szCs w:val="22"/>
        </w:rPr>
        <w:t>Indication :</w:t>
      </w:r>
      <w:r w:rsidR="00D75CD5" w:rsidRPr="00DD7024">
        <w:rPr>
          <w:rFonts w:asciiTheme="minorHAnsi" w:hAnsiTheme="minorHAnsi"/>
          <w:color w:val="auto"/>
          <w:sz w:val="22"/>
          <w:szCs w:val="22"/>
        </w:rPr>
        <w:t> </w:t>
      </w:r>
    </w:p>
    <w:p w:rsidR="00D75CD5" w:rsidRPr="00572CF2" w:rsidRDefault="00D75CD5" w:rsidP="00354F9E">
      <w:pPr>
        <w:pStyle w:val="Paragraphedeliste"/>
        <w:numPr>
          <w:ilvl w:val="0"/>
          <w:numId w:val="19"/>
        </w:numPr>
        <w:spacing w:after="0" w:line="240" w:lineRule="auto"/>
        <w:ind w:left="714" w:hanging="357"/>
        <w:rPr>
          <w:sz w:val="20"/>
          <w:szCs w:val="20"/>
        </w:rPr>
      </w:pPr>
      <w:r w:rsidRPr="00572CF2">
        <w:rPr>
          <w:sz w:val="20"/>
          <w:szCs w:val="20"/>
        </w:rPr>
        <w:t>Imagerie de référence pour le diagnostic de l’hyperthyroïdie</w:t>
      </w:r>
    </w:p>
    <w:p w:rsidR="00354F9E" w:rsidRPr="00572CF2" w:rsidRDefault="00D75CD5" w:rsidP="00354F9E">
      <w:pPr>
        <w:pStyle w:val="Paragraphedeliste"/>
        <w:numPr>
          <w:ilvl w:val="0"/>
          <w:numId w:val="19"/>
        </w:numPr>
        <w:spacing w:after="0" w:line="240" w:lineRule="auto"/>
        <w:ind w:left="714" w:hanging="357"/>
        <w:rPr>
          <w:sz w:val="20"/>
          <w:szCs w:val="20"/>
        </w:rPr>
      </w:pPr>
      <w:r w:rsidRPr="00572CF2">
        <w:rPr>
          <w:sz w:val="20"/>
          <w:szCs w:val="20"/>
        </w:rPr>
        <w:t>Scintigraphie thyroïdienne avec mesure de fixation est nécessaire pour la prescription de l’</w:t>
      </w:r>
      <w:r w:rsidRPr="00572CF2">
        <w:rPr>
          <w:sz w:val="20"/>
          <w:szCs w:val="20"/>
          <w:vertAlign w:val="superscript"/>
        </w:rPr>
        <w:t>131</w:t>
      </w:r>
      <w:r w:rsidRPr="00572CF2">
        <w:rPr>
          <w:sz w:val="20"/>
          <w:szCs w:val="20"/>
        </w:rPr>
        <w:t>I dans le traitement des hyperthyroïdies</w:t>
      </w:r>
      <w:r w:rsidR="00354F9E" w:rsidRPr="00572CF2">
        <w:rPr>
          <w:sz w:val="20"/>
          <w:szCs w:val="20"/>
        </w:rPr>
        <w:t>.</w:t>
      </w:r>
    </w:p>
    <w:p w:rsidR="00D75CD5" w:rsidRPr="00DD7024" w:rsidRDefault="00354F9E" w:rsidP="00354F9E">
      <w:pPr>
        <w:pStyle w:val="Paragraphedeliste"/>
        <w:numPr>
          <w:ilvl w:val="0"/>
          <w:numId w:val="19"/>
        </w:numPr>
        <w:spacing w:after="0" w:line="240" w:lineRule="auto"/>
        <w:ind w:left="714" w:hanging="357"/>
        <w:rPr>
          <w:sz w:val="20"/>
          <w:szCs w:val="20"/>
        </w:rPr>
      </w:pPr>
      <w:r w:rsidRPr="00DD7024">
        <w:rPr>
          <w:sz w:val="20"/>
          <w:szCs w:val="20"/>
        </w:rPr>
        <w:t xml:space="preserve">Scintigraphie thyroïdienne avec mesure de fixation </w:t>
      </w:r>
      <w:r w:rsidR="00D75CD5" w:rsidRPr="00DD7024">
        <w:rPr>
          <w:sz w:val="20"/>
          <w:szCs w:val="20"/>
        </w:rPr>
        <w:t xml:space="preserve">pour le test de l’autonomie de fonction. </w:t>
      </w:r>
      <w:r w:rsidRPr="00DD7024">
        <w:rPr>
          <w:sz w:val="20"/>
          <w:szCs w:val="20"/>
        </w:rPr>
        <w:t xml:space="preserve">L’autonomie de fonction est une hypersécrétion non auto-immune et non </w:t>
      </w:r>
      <w:proofErr w:type="spellStart"/>
      <w:r w:rsidRPr="00DD7024">
        <w:rPr>
          <w:sz w:val="20"/>
          <w:szCs w:val="20"/>
        </w:rPr>
        <w:t>freinable</w:t>
      </w:r>
      <w:proofErr w:type="spellEnd"/>
      <w:r w:rsidRPr="00DD7024">
        <w:rPr>
          <w:sz w:val="20"/>
          <w:szCs w:val="20"/>
        </w:rPr>
        <w:t xml:space="preserve"> par l’hormone thyroïdienne.</w:t>
      </w:r>
    </w:p>
    <w:p w:rsidR="00354F9E" w:rsidRDefault="00354F9E" w:rsidP="00354F9E">
      <w:pPr>
        <w:pStyle w:val="Paragraphedeliste"/>
        <w:numPr>
          <w:ilvl w:val="0"/>
          <w:numId w:val="19"/>
        </w:numPr>
        <w:spacing w:after="0" w:line="240" w:lineRule="auto"/>
        <w:ind w:left="714" w:hanging="357"/>
      </w:pPr>
      <w:r>
        <w:t>…</w:t>
      </w:r>
    </w:p>
    <w:p w:rsidR="00DD7024" w:rsidRPr="00DD7024" w:rsidRDefault="00DD7024" w:rsidP="00DD7024">
      <w:pPr>
        <w:spacing w:after="0" w:line="240" w:lineRule="auto"/>
        <w:rPr>
          <w:b/>
        </w:rPr>
      </w:pPr>
      <w:r w:rsidRPr="00DD7024">
        <w:rPr>
          <w:b/>
        </w:rPr>
        <w:t xml:space="preserve">Contre-indication : </w:t>
      </w:r>
      <w:r w:rsidRPr="00DD7024">
        <w:t>Grossesse</w:t>
      </w:r>
    </w:p>
    <w:p w:rsidR="009F0C11" w:rsidRPr="000A37A4" w:rsidRDefault="0047540C" w:rsidP="00DD7024">
      <w:pPr>
        <w:pStyle w:val="Titre1"/>
        <w:numPr>
          <w:ilvl w:val="0"/>
          <w:numId w:val="2"/>
        </w:numPr>
        <w:spacing w:after="0"/>
        <w:rPr>
          <w:color w:val="ED7D31" w:themeColor="accent2"/>
        </w:rPr>
      </w:pPr>
      <w:proofErr w:type="spellStart"/>
      <w:r w:rsidRPr="000A37A4">
        <w:rPr>
          <w:color w:val="ED7D31" w:themeColor="accent2"/>
        </w:rPr>
        <w:t>Radiopharmaceutiques</w:t>
      </w:r>
      <w:proofErr w:type="spellEnd"/>
    </w:p>
    <w:p w:rsidR="0047540C" w:rsidRPr="002C4901" w:rsidRDefault="0047540C" w:rsidP="00C759BC">
      <w:pPr>
        <w:spacing w:after="0" w:line="240" w:lineRule="auto"/>
        <w:rPr>
          <w:b/>
        </w:rPr>
      </w:pPr>
      <w:r w:rsidRPr="002C4901">
        <w:rPr>
          <w:b/>
        </w:rPr>
        <w:t>Caractéristiques physique</w:t>
      </w:r>
      <w:r w:rsidR="00DC459F">
        <w:rPr>
          <w:b/>
        </w:rPr>
        <w:t>s</w:t>
      </w:r>
      <w:r w:rsidRPr="002C4901">
        <w:rPr>
          <w:b/>
        </w:rPr>
        <w:t xml:space="preserve"> : </w:t>
      </w:r>
    </w:p>
    <w:tbl>
      <w:tblPr>
        <w:tblStyle w:val="TableauGrille5Fonc-Accentuation2"/>
        <w:tblW w:w="10627" w:type="dxa"/>
        <w:tblLook w:val="04A0" w:firstRow="1" w:lastRow="0" w:firstColumn="1" w:lastColumn="0" w:noHBand="0" w:noVBand="1"/>
      </w:tblPr>
      <w:tblGrid>
        <w:gridCol w:w="1397"/>
        <w:gridCol w:w="3560"/>
        <w:gridCol w:w="2394"/>
        <w:gridCol w:w="866"/>
        <w:gridCol w:w="992"/>
        <w:gridCol w:w="1418"/>
      </w:tblGrid>
      <w:tr w:rsidR="00711D35" w:rsidTr="00711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54F9E" w:rsidRPr="002C4901" w:rsidRDefault="00354F9E" w:rsidP="00C759BC">
            <w:pPr>
              <w:jc w:val="center"/>
              <w:rPr>
                <w:sz w:val="20"/>
                <w:szCs w:val="20"/>
              </w:rPr>
            </w:pPr>
            <w:r w:rsidRPr="002C4901">
              <w:rPr>
                <w:sz w:val="20"/>
                <w:szCs w:val="20"/>
              </w:rPr>
              <w:t>Radionucléide</w:t>
            </w:r>
          </w:p>
        </w:tc>
        <w:tc>
          <w:tcPr>
            <w:tcW w:w="3560" w:type="dxa"/>
            <w:vAlign w:val="center"/>
          </w:tcPr>
          <w:p w:rsidR="00354F9E" w:rsidRPr="002C4901" w:rsidRDefault="00D956CD"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Production</w:t>
            </w:r>
          </w:p>
        </w:tc>
        <w:tc>
          <w:tcPr>
            <w:tcW w:w="2394" w:type="dxa"/>
            <w:vAlign w:val="center"/>
          </w:tcPr>
          <w:p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Mode de décroissance</w:t>
            </w:r>
          </w:p>
        </w:tc>
        <w:tc>
          <w:tcPr>
            <w:tcW w:w="866" w:type="dxa"/>
            <w:vAlign w:val="center"/>
          </w:tcPr>
          <w:p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Période</w:t>
            </w:r>
          </w:p>
        </w:tc>
        <w:tc>
          <w:tcPr>
            <w:tcW w:w="992" w:type="dxa"/>
            <w:vAlign w:val="center"/>
          </w:tcPr>
          <w:p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β</w:t>
            </w:r>
          </w:p>
        </w:tc>
        <w:tc>
          <w:tcPr>
            <w:tcW w:w="1418" w:type="dxa"/>
            <w:vAlign w:val="center"/>
          </w:tcPr>
          <w:p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X ou γ</w:t>
            </w:r>
          </w:p>
        </w:tc>
      </w:tr>
      <w:tr w:rsidR="00711D35" w:rsidTr="0071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54F9E" w:rsidRPr="002C4901" w:rsidRDefault="00354F9E" w:rsidP="00C759BC">
            <w:pPr>
              <w:jc w:val="center"/>
              <w:rPr>
                <w:sz w:val="20"/>
                <w:szCs w:val="20"/>
              </w:rPr>
            </w:pPr>
            <w:r w:rsidRPr="002C4901">
              <w:rPr>
                <w:sz w:val="20"/>
                <w:szCs w:val="20"/>
                <w:vertAlign w:val="superscript"/>
              </w:rPr>
              <w:t>99m</w:t>
            </w:r>
            <w:r w:rsidRPr="002C4901">
              <w:rPr>
                <w:sz w:val="20"/>
                <w:szCs w:val="20"/>
              </w:rPr>
              <w:t>Tc</w:t>
            </w:r>
            <w:r w:rsidR="000A37A4">
              <w:rPr>
                <w:sz w:val="20"/>
                <w:szCs w:val="20"/>
              </w:rPr>
              <w:t>-O</w:t>
            </w:r>
            <w:r w:rsidR="000A37A4" w:rsidRPr="000A37A4">
              <w:rPr>
                <w:sz w:val="20"/>
                <w:szCs w:val="20"/>
                <w:vertAlign w:val="superscript"/>
              </w:rPr>
              <w:t>4-</w:t>
            </w:r>
          </w:p>
        </w:tc>
        <w:tc>
          <w:tcPr>
            <w:tcW w:w="3560" w:type="dxa"/>
            <w:vAlign w:val="center"/>
          </w:tcPr>
          <w:p w:rsidR="00354F9E" w:rsidRPr="00183BED" w:rsidRDefault="00D956CD"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3BED">
              <w:rPr>
                <w:sz w:val="20"/>
                <w:szCs w:val="20"/>
              </w:rPr>
              <w:t>Générateur à Tc</w:t>
            </w:r>
          </w:p>
          <w:p w:rsidR="00D956CD" w:rsidRPr="00183BED" w:rsidRDefault="00D956CD" w:rsidP="00C759BC">
            <w:pPr>
              <w:jc w:val="center"/>
              <w:cnfStyle w:val="000000100000" w:firstRow="0" w:lastRow="0" w:firstColumn="0" w:lastColumn="0" w:oddVBand="0" w:evenVBand="0" w:oddHBand="1" w:evenHBand="0" w:firstRowFirstColumn="0" w:firstRowLastColumn="0" w:lastRowFirstColumn="0" w:lastRowLastColumn="0"/>
              <w:rPr>
                <w:i/>
                <w:sz w:val="20"/>
                <w:szCs w:val="20"/>
                <w:vertAlign w:val="superscript"/>
              </w:rPr>
            </w:pPr>
            <w:r w:rsidRPr="00183BED">
              <w:rPr>
                <w:sz w:val="20"/>
                <w:szCs w:val="20"/>
              </w:rPr>
              <w:t>β</w:t>
            </w:r>
            <w:r w:rsidRPr="00183BED">
              <w:rPr>
                <w:sz w:val="20"/>
                <w:szCs w:val="20"/>
                <w:vertAlign w:val="superscript"/>
              </w:rPr>
              <w:t xml:space="preserve">-  </w:t>
            </w:r>
            <w:r w:rsidRPr="00183BED">
              <w:rPr>
                <w:sz w:val="20"/>
                <w:szCs w:val="20"/>
              </w:rPr>
              <w:t xml:space="preserve">: </w:t>
            </w:r>
            <w:r w:rsidRPr="00183BED">
              <w:rPr>
                <w:sz w:val="20"/>
                <w:szCs w:val="20"/>
                <w:vertAlign w:val="superscript"/>
              </w:rPr>
              <w:t>99</w:t>
            </w:r>
            <w:r w:rsidRPr="00183BED">
              <w:rPr>
                <w:sz w:val="20"/>
                <w:szCs w:val="20"/>
              </w:rPr>
              <w:t xml:space="preserve">Mo </w:t>
            </w:r>
            <w:r w:rsidRPr="00183BED">
              <w:rPr>
                <w:sz w:val="20"/>
                <w:szCs w:val="20"/>
              </w:rPr>
              <w:sym w:font="Wingdings" w:char="F0E0"/>
            </w:r>
            <w:r w:rsidRPr="00183BED">
              <w:rPr>
                <w:sz w:val="20"/>
                <w:szCs w:val="20"/>
              </w:rPr>
              <w:t xml:space="preserve"> </w:t>
            </w:r>
            <w:r w:rsidRPr="00183BED">
              <w:rPr>
                <w:sz w:val="20"/>
                <w:szCs w:val="20"/>
                <w:vertAlign w:val="superscript"/>
              </w:rPr>
              <w:t>99m</w:t>
            </w:r>
            <w:r w:rsidRPr="00183BED">
              <w:rPr>
                <w:sz w:val="20"/>
                <w:szCs w:val="20"/>
              </w:rPr>
              <w:t>Tc + e</w:t>
            </w:r>
            <w:r w:rsidRPr="00183BED">
              <w:rPr>
                <w:i/>
                <w:sz w:val="20"/>
                <w:szCs w:val="20"/>
                <w:vertAlign w:val="superscript"/>
              </w:rPr>
              <w:t>-</w:t>
            </w:r>
          </w:p>
        </w:tc>
        <w:tc>
          <w:tcPr>
            <w:tcW w:w="2394" w:type="dxa"/>
            <w:vAlign w:val="center"/>
          </w:tcPr>
          <w:p w:rsidR="00354F9E" w:rsidRDefault="00354F9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 xml:space="preserve">Désexcitation </w:t>
            </w:r>
            <w:proofErr w:type="spellStart"/>
            <w:r w:rsidRPr="002C4901">
              <w:rPr>
                <w:sz w:val="20"/>
                <w:szCs w:val="20"/>
              </w:rPr>
              <w:t>isomérique</w:t>
            </w:r>
            <w:proofErr w:type="spellEnd"/>
          </w:p>
          <w:p w:rsidR="00D956CD" w:rsidRPr="002C4901" w:rsidRDefault="00D956CD"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D956CD">
              <w:rPr>
                <w:sz w:val="20"/>
                <w:szCs w:val="20"/>
                <w:vertAlign w:val="superscript"/>
              </w:rPr>
              <w:t>99m</w:t>
            </w:r>
            <w:r w:rsidRPr="00D956CD">
              <w:rPr>
                <w:sz w:val="20"/>
                <w:szCs w:val="20"/>
              </w:rPr>
              <w:t>Tc</w:t>
            </w:r>
            <w:r w:rsidRPr="00D956CD">
              <w:rPr>
                <w:sz w:val="20"/>
                <w:szCs w:val="20"/>
              </w:rPr>
              <w:sym w:font="Wingdings" w:char="F0E0"/>
            </w:r>
            <w:r>
              <w:rPr>
                <w:sz w:val="20"/>
                <w:szCs w:val="20"/>
                <w:vertAlign w:val="superscript"/>
              </w:rPr>
              <w:t>99</w:t>
            </w:r>
            <w:r w:rsidRPr="00D956CD">
              <w:rPr>
                <w:sz w:val="20"/>
                <w:szCs w:val="20"/>
              </w:rPr>
              <w:t>Tc</w:t>
            </w:r>
            <w:r>
              <w:rPr>
                <w:sz w:val="20"/>
                <w:szCs w:val="20"/>
              </w:rPr>
              <w:t xml:space="preserve"> + γ</w:t>
            </w:r>
          </w:p>
        </w:tc>
        <w:tc>
          <w:tcPr>
            <w:tcW w:w="866" w:type="dxa"/>
            <w:vAlign w:val="center"/>
          </w:tcPr>
          <w:p w:rsidR="00354F9E" w:rsidRPr="002C4901" w:rsidRDefault="00354F9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6</w:t>
            </w:r>
            <w:r w:rsidR="00711D35">
              <w:rPr>
                <w:sz w:val="20"/>
                <w:szCs w:val="20"/>
              </w:rPr>
              <w:t xml:space="preserve"> </w:t>
            </w:r>
            <w:r w:rsidRPr="002C4901">
              <w:rPr>
                <w:sz w:val="20"/>
                <w:szCs w:val="20"/>
              </w:rPr>
              <w:t>h</w:t>
            </w:r>
          </w:p>
        </w:tc>
        <w:tc>
          <w:tcPr>
            <w:tcW w:w="992" w:type="dxa"/>
            <w:vAlign w:val="center"/>
          </w:tcPr>
          <w:p w:rsidR="00354F9E" w:rsidRPr="002C4901" w:rsidRDefault="00354F9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vAlign w:val="center"/>
          </w:tcPr>
          <w:p w:rsidR="00354F9E" w:rsidRPr="002C4901" w:rsidRDefault="00354F9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 xml:space="preserve">140 </w:t>
            </w:r>
            <w:proofErr w:type="spellStart"/>
            <w:r w:rsidRPr="002C4901">
              <w:rPr>
                <w:sz w:val="20"/>
                <w:szCs w:val="20"/>
              </w:rPr>
              <w:t>keV</w:t>
            </w:r>
            <w:proofErr w:type="spellEnd"/>
          </w:p>
        </w:tc>
      </w:tr>
      <w:tr w:rsidR="00711D35" w:rsidTr="00711D35">
        <w:tc>
          <w:tcPr>
            <w:cnfStyle w:val="001000000000" w:firstRow="0" w:lastRow="0" w:firstColumn="1" w:lastColumn="0" w:oddVBand="0" w:evenVBand="0" w:oddHBand="0" w:evenHBand="0" w:firstRowFirstColumn="0" w:firstRowLastColumn="0" w:lastRowFirstColumn="0" w:lastRowLastColumn="0"/>
            <w:tcW w:w="0" w:type="auto"/>
            <w:vAlign w:val="center"/>
          </w:tcPr>
          <w:p w:rsidR="00354F9E" w:rsidRPr="002C4901" w:rsidRDefault="00354F9E" w:rsidP="00C759BC">
            <w:pPr>
              <w:jc w:val="center"/>
              <w:rPr>
                <w:sz w:val="20"/>
                <w:szCs w:val="20"/>
                <w:vertAlign w:val="superscript"/>
              </w:rPr>
            </w:pPr>
            <w:r w:rsidRPr="00354F9E">
              <w:rPr>
                <w:sz w:val="20"/>
                <w:szCs w:val="20"/>
                <w:vertAlign w:val="superscript"/>
              </w:rPr>
              <w:t>123</w:t>
            </w:r>
            <w:r w:rsidRPr="00354F9E">
              <w:rPr>
                <w:sz w:val="20"/>
                <w:szCs w:val="20"/>
              </w:rPr>
              <w:t>I</w:t>
            </w:r>
          </w:p>
        </w:tc>
        <w:tc>
          <w:tcPr>
            <w:tcW w:w="3560" w:type="dxa"/>
            <w:vAlign w:val="center"/>
          </w:tcPr>
          <w:p w:rsidR="00354F9E" w:rsidRPr="00183BED" w:rsidRDefault="00D956CD" w:rsidP="00C759BC">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3BED">
              <w:rPr>
                <w:sz w:val="20"/>
                <w:szCs w:val="20"/>
              </w:rPr>
              <w:t>Cyclotron</w:t>
            </w:r>
          </w:p>
          <w:p w:rsidR="00D956CD" w:rsidRPr="00183BED" w:rsidRDefault="00183BED" w:rsidP="00C759BC">
            <w:pPr>
              <w:jc w:val="center"/>
              <w:cnfStyle w:val="000000000000" w:firstRow="0" w:lastRow="0" w:firstColumn="0" w:lastColumn="0" w:oddVBand="0" w:evenVBand="0" w:oddHBand="0" w:evenHBand="0" w:firstRowFirstColumn="0" w:firstRowLastColumn="0" w:lastRowFirstColumn="0" w:lastRowLastColumn="0"/>
              <w:rPr>
                <w:sz w:val="20"/>
                <w:szCs w:val="20"/>
              </w:rPr>
            </w:pPr>
            <w:r w:rsidRPr="00183BED">
              <w:rPr>
                <w:sz w:val="20"/>
                <w:szCs w:val="20"/>
                <w:vertAlign w:val="superscript"/>
              </w:rPr>
              <w:t>124</w:t>
            </w:r>
            <w:r w:rsidRPr="00183BED">
              <w:rPr>
                <w:sz w:val="20"/>
                <w:szCs w:val="20"/>
              </w:rPr>
              <w:t xml:space="preserve">I + p </w:t>
            </w:r>
            <w:r w:rsidRPr="00183BED">
              <w:rPr>
                <w:sz w:val="20"/>
                <w:szCs w:val="20"/>
              </w:rPr>
              <w:sym w:font="Wingdings" w:char="F0E0"/>
            </w:r>
            <w:r w:rsidRPr="00183BED">
              <w:rPr>
                <w:sz w:val="20"/>
                <w:szCs w:val="20"/>
              </w:rPr>
              <w:t xml:space="preserve"> 2n + </w:t>
            </w:r>
            <w:r w:rsidRPr="00183BED">
              <w:rPr>
                <w:sz w:val="20"/>
                <w:szCs w:val="20"/>
                <w:vertAlign w:val="superscript"/>
              </w:rPr>
              <w:t>123</w:t>
            </w:r>
            <w:r w:rsidRPr="00183BED">
              <w:rPr>
                <w:sz w:val="20"/>
                <w:szCs w:val="20"/>
              </w:rPr>
              <w:t xml:space="preserve">I ou </w:t>
            </w:r>
            <w:r w:rsidRPr="00183BED">
              <w:rPr>
                <w:sz w:val="20"/>
                <w:szCs w:val="20"/>
                <w:vertAlign w:val="superscript"/>
              </w:rPr>
              <w:t>127</w:t>
            </w:r>
            <w:r w:rsidRPr="00183BED">
              <w:rPr>
                <w:sz w:val="20"/>
                <w:szCs w:val="20"/>
              </w:rPr>
              <w:t xml:space="preserve">I + p </w:t>
            </w:r>
            <w:r w:rsidRPr="00183BED">
              <w:rPr>
                <w:sz w:val="20"/>
                <w:szCs w:val="20"/>
              </w:rPr>
              <w:sym w:font="Wingdings" w:char="F0E0"/>
            </w:r>
            <w:r w:rsidRPr="00183BED">
              <w:rPr>
                <w:sz w:val="20"/>
                <w:szCs w:val="20"/>
              </w:rPr>
              <w:t xml:space="preserve"> 5n + </w:t>
            </w:r>
            <w:r w:rsidRPr="00183BED">
              <w:rPr>
                <w:sz w:val="20"/>
                <w:szCs w:val="20"/>
                <w:vertAlign w:val="superscript"/>
              </w:rPr>
              <w:t>123</w:t>
            </w:r>
            <w:r w:rsidRPr="00183BED">
              <w:rPr>
                <w:sz w:val="20"/>
                <w:szCs w:val="20"/>
              </w:rPr>
              <w:t>I</w:t>
            </w:r>
          </w:p>
        </w:tc>
        <w:tc>
          <w:tcPr>
            <w:tcW w:w="2394" w:type="dxa"/>
            <w:vAlign w:val="center"/>
          </w:tcPr>
          <w:p w:rsidR="00354F9E" w:rsidRDefault="00354F9E" w:rsidP="00C759B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Capture électronique</w:t>
            </w:r>
          </w:p>
          <w:p w:rsidR="00183BED" w:rsidRPr="00183BED" w:rsidRDefault="00183BED" w:rsidP="00C759BC">
            <w:pPr>
              <w:jc w:val="center"/>
              <w:cnfStyle w:val="000000000000" w:firstRow="0" w:lastRow="0" w:firstColumn="0" w:lastColumn="0" w:oddVBand="0" w:evenVBand="0" w:oddHBand="0" w:evenHBand="0" w:firstRowFirstColumn="0" w:firstRowLastColumn="0" w:lastRowFirstColumn="0" w:lastRowLastColumn="0"/>
              <w:rPr>
                <w:sz w:val="20"/>
                <w:szCs w:val="20"/>
              </w:rPr>
            </w:pPr>
            <w:r w:rsidRPr="00354F9E">
              <w:rPr>
                <w:sz w:val="20"/>
                <w:szCs w:val="20"/>
                <w:vertAlign w:val="superscript"/>
              </w:rPr>
              <w:t>123</w:t>
            </w:r>
            <w:r w:rsidRPr="00354F9E">
              <w:rPr>
                <w:sz w:val="20"/>
                <w:szCs w:val="20"/>
              </w:rPr>
              <w:t>I</w:t>
            </w:r>
            <w:r>
              <w:rPr>
                <w:sz w:val="20"/>
                <w:szCs w:val="20"/>
              </w:rPr>
              <w:t xml:space="preserve"> + e</w:t>
            </w:r>
            <w:r>
              <w:rPr>
                <w:sz w:val="20"/>
                <w:szCs w:val="20"/>
                <w:vertAlign w:val="superscript"/>
              </w:rPr>
              <w:t>-</w:t>
            </w:r>
            <w:r>
              <w:rPr>
                <w:sz w:val="20"/>
                <w:szCs w:val="20"/>
              </w:rPr>
              <w:t xml:space="preserve"> </w:t>
            </w:r>
            <w:r w:rsidRPr="00183BED">
              <w:rPr>
                <w:sz w:val="20"/>
                <w:szCs w:val="20"/>
              </w:rPr>
              <w:sym w:font="Wingdings" w:char="F0E0"/>
            </w:r>
            <w:r>
              <w:rPr>
                <w:sz w:val="20"/>
                <w:szCs w:val="20"/>
              </w:rPr>
              <w:t xml:space="preserve"> </w:t>
            </w:r>
            <w:r>
              <w:rPr>
                <w:sz w:val="20"/>
                <w:szCs w:val="20"/>
                <w:vertAlign w:val="superscript"/>
              </w:rPr>
              <w:t>123</w:t>
            </w:r>
            <w:r>
              <w:rPr>
                <w:sz w:val="20"/>
                <w:szCs w:val="20"/>
              </w:rPr>
              <w:t xml:space="preserve">Xe + </w:t>
            </w:r>
            <w:r w:rsidR="00711D35" w:rsidRPr="00711D35">
              <w:rPr>
                <w:sz w:val="20"/>
                <w:szCs w:val="20"/>
                <w:vertAlign w:val="superscript"/>
              </w:rPr>
              <w:t>0</w:t>
            </w:r>
            <w:r w:rsidR="00711D35">
              <w:rPr>
                <w:sz w:val="20"/>
                <w:szCs w:val="20"/>
              </w:rPr>
              <w:t>ν</w:t>
            </w:r>
          </w:p>
        </w:tc>
        <w:tc>
          <w:tcPr>
            <w:tcW w:w="866" w:type="dxa"/>
            <w:vAlign w:val="center"/>
          </w:tcPr>
          <w:p w:rsidR="00354F9E" w:rsidRPr="002C4901" w:rsidRDefault="00354F9E" w:rsidP="00C759B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13.6</w:t>
            </w:r>
            <w:r w:rsidR="00711D35">
              <w:rPr>
                <w:sz w:val="20"/>
                <w:szCs w:val="20"/>
              </w:rPr>
              <w:t xml:space="preserve"> </w:t>
            </w:r>
            <w:r>
              <w:rPr>
                <w:sz w:val="20"/>
                <w:szCs w:val="20"/>
              </w:rPr>
              <w:t>h</w:t>
            </w:r>
          </w:p>
        </w:tc>
        <w:tc>
          <w:tcPr>
            <w:tcW w:w="992" w:type="dxa"/>
            <w:vAlign w:val="center"/>
          </w:tcPr>
          <w:p w:rsidR="00354F9E" w:rsidRPr="002C4901" w:rsidRDefault="00354F9E" w:rsidP="00C759BC">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8" w:type="dxa"/>
            <w:vAlign w:val="center"/>
          </w:tcPr>
          <w:p w:rsidR="00354F9E" w:rsidRPr="002C4901" w:rsidRDefault="00354F9E" w:rsidP="00C759B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159</w:t>
            </w:r>
            <w:r w:rsidR="00711D35">
              <w:rPr>
                <w:sz w:val="20"/>
                <w:szCs w:val="20"/>
              </w:rPr>
              <w:t xml:space="preserve"> </w:t>
            </w:r>
            <w:proofErr w:type="spellStart"/>
            <w:r w:rsidR="00711D35">
              <w:rPr>
                <w:sz w:val="20"/>
                <w:szCs w:val="20"/>
              </w:rPr>
              <w:t>keV</w:t>
            </w:r>
            <w:proofErr w:type="spellEnd"/>
          </w:p>
        </w:tc>
      </w:tr>
      <w:tr w:rsidR="00711D35" w:rsidTr="0071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54F9E" w:rsidRPr="00354F9E" w:rsidRDefault="00183BED" w:rsidP="00C759BC">
            <w:pPr>
              <w:jc w:val="center"/>
              <w:rPr>
                <w:sz w:val="20"/>
                <w:szCs w:val="20"/>
                <w:vertAlign w:val="superscript"/>
              </w:rPr>
            </w:pPr>
            <w:r>
              <w:rPr>
                <w:sz w:val="20"/>
                <w:szCs w:val="20"/>
                <w:vertAlign w:val="superscript"/>
              </w:rPr>
              <w:t>201</w:t>
            </w:r>
            <w:r>
              <w:rPr>
                <w:sz w:val="20"/>
                <w:szCs w:val="20"/>
              </w:rPr>
              <w:t>Tl</w:t>
            </w:r>
          </w:p>
        </w:tc>
        <w:tc>
          <w:tcPr>
            <w:tcW w:w="3560" w:type="dxa"/>
            <w:vAlign w:val="center"/>
          </w:tcPr>
          <w:p w:rsidR="00354F9E" w:rsidRDefault="00183BED"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Cyclotron</w:t>
            </w:r>
          </w:p>
          <w:p w:rsidR="00183BED" w:rsidRDefault="00183BED"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vertAlign w:val="superscript"/>
              </w:rPr>
              <w:t>203</w:t>
            </w:r>
            <w:r>
              <w:rPr>
                <w:sz w:val="20"/>
                <w:szCs w:val="20"/>
              </w:rPr>
              <w:t xml:space="preserve">Tl + p </w:t>
            </w:r>
            <w:r w:rsidRPr="00183BED">
              <w:rPr>
                <w:sz w:val="20"/>
                <w:szCs w:val="20"/>
              </w:rPr>
              <w:sym w:font="Wingdings" w:char="F0E0"/>
            </w:r>
            <w:r>
              <w:rPr>
                <w:sz w:val="20"/>
                <w:szCs w:val="20"/>
              </w:rPr>
              <w:t xml:space="preserve"> </w:t>
            </w:r>
            <w:r>
              <w:rPr>
                <w:sz w:val="20"/>
                <w:szCs w:val="20"/>
                <w:vertAlign w:val="superscript"/>
              </w:rPr>
              <w:t>201</w:t>
            </w:r>
            <w:r>
              <w:rPr>
                <w:sz w:val="20"/>
                <w:szCs w:val="20"/>
              </w:rPr>
              <w:t xml:space="preserve">Pb + 3n puis CE vers </w:t>
            </w:r>
            <w:r>
              <w:rPr>
                <w:sz w:val="20"/>
                <w:szCs w:val="20"/>
                <w:vertAlign w:val="superscript"/>
              </w:rPr>
              <w:t>201</w:t>
            </w:r>
            <w:r>
              <w:rPr>
                <w:sz w:val="20"/>
                <w:szCs w:val="20"/>
              </w:rPr>
              <w:t>Tl</w:t>
            </w:r>
          </w:p>
        </w:tc>
        <w:tc>
          <w:tcPr>
            <w:tcW w:w="2394" w:type="dxa"/>
            <w:vAlign w:val="center"/>
          </w:tcPr>
          <w:p w:rsidR="00354F9E" w:rsidRDefault="00183BED"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Capture électronique</w:t>
            </w:r>
          </w:p>
          <w:p w:rsidR="00183BED" w:rsidRPr="00183BED" w:rsidRDefault="00183BED"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vertAlign w:val="superscript"/>
              </w:rPr>
              <w:t>201</w:t>
            </w:r>
            <w:r>
              <w:rPr>
                <w:sz w:val="20"/>
                <w:szCs w:val="20"/>
              </w:rPr>
              <w:t>Tl + e</w:t>
            </w:r>
            <w:r>
              <w:rPr>
                <w:sz w:val="20"/>
                <w:szCs w:val="20"/>
                <w:vertAlign w:val="superscript"/>
              </w:rPr>
              <w:t>-</w:t>
            </w:r>
            <w:r>
              <w:rPr>
                <w:sz w:val="20"/>
                <w:szCs w:val="20"/>
              </w:rPr>
              <w:t xml:space="preserve"> </w:t>
            </w:r>
            <w:r w:rsidRPr="00183BED">
              <w:rPr>
                <w:sz w:val="20"/>
                <w:szCs w:val="20"/>
              </w:rPr>
              <w:sym w:font="Wingdings" w:char="F0E0"/>
            </w:r>
            <w:r>
              <w:rPr>
                <w:sz w:val="20"/>
                <w:szCs w:val="20"/>
              </w:rPr>
              <w:t xml:space="preserve"> </w:t>
            </w:r>
            <w:r>
              <w:rPr>
                <w:sz w:val="20"/>
                <w:szCs w:val="20"/>
                <w:vertAlign w:val="superscript"/>
              </w:rPr>
              <w:t>201</w:t>
            </w:r>
            <w:r>
              <w:rPr>
                <w:sz w:val="20"/>
                <w:szCs w:val="20"/>
              </w:rPr>
              <w:t>Hg</w:t>
            </w:r>
            <w:r w:rsidR="00711D35">
              <w:rPr>
                <w:sz w:val="20"/>
                <w:szCs w:val="20"/>
              </w:rPr>
              <w:t xml:space="preserve"> + </w:t>
            </w:r>
            <w:r w:rsidR="00711D35" w:rsidRPr="00711D35">
              <w:rPr>
                <w:sz w:val="20"/>
                <w:szCs w:val="20"/>
                <w:vertAlign w:val="superscript"/>
              </w:rPr>
              <w:t>0</w:t>
            </w:r>
            <w:r w:rsidR="00711D35">
              <w:rPr>
                <w:sz w:val="20"/>
                <w:szCs w:val="20"/>
              </w:rPr>
              <w:t>ν</w:t>
            </w:r>
          </w:p>
        </w:tc>
        <w:tc>
          <w:tcPr>
            <w:tcW w:w="866" w:type="dxa"/>
            <w:vAlign w:val="center"/>
          </w:tcPr>
          <w:p w:rsidR="00354F9E" w:rsidRDefault="00711D35"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3.04 j</w:t>
            </w:r>
          </w:p>
        </w:tc>
        <w:tc>
          <w:tcPr>
            <w:tcW w:w="992" w:type="dxa"/>
            <w:vAlign w:val="center"/>
          </w:tcPr>
          <w:p w:rsidR="00354F9E" w:rsidRPr="002C4901" w:rsidRDefault="00354F9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vAlign w:val="center"/>
          </w:tcPr>
          <w:p w:rsidR="00354F9E" w:rsidRDefault="00711D35"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69-80 </w:t>
            </w:r>
            <w:proofErr w:type="spellStart"/>
            <w:r>
              <w:rPr>
                <w:sz w:val="20"/>
                <w:szCs w:val="20"/>
              </w:rPr>
              <w:t>keV</w:t>
            </w:r>
            <w:proofErr w:type="spellEnd"/>
            <w:r>
              <w:rPr>
                <w:sz w:val="20"/>
                <w:szCs w:val="20"/>
              </w:rPr>
              <w:t xml:space="preserve"> (X) et 167 </w:t>
            </w:r>
            <w:proofErr w:type="spellStart"/>
            <w:r>
              <w:rPr>
                <w:sz w:val="20"/>
                <w:szCs w:val="20"/>
              </w:rPr>
              <w:t>keV</w:t>
            </w:r>
            <w:proofErr w:type="spellEnd"/>
            <w:r>
              <w:rPr>
                <w:sz w:val="20"/>
                <w:szCs w:val="20"/>
              </w:rPr>
              <w:t xml:space="preserve"> (</w:t>
            </w:r>
            <w:r w:rsidRPr="002C4901">
              <w:rPr>
                <w:sz w:val="20"/>
                <w:szCs w:val="20"/>
              </w:rPr>
              <w:t>γ</w:t>
            </w:r>
            <w:r>
              <w:rPr>
                <w:sz w:val="20"/>
                <w:szCs w:val="20"/>
              </w:rPr>
              <w:t>)</w:t>
            </w:r>
          </w:p>
        </w:tc>
      </w:tr>
    </w:tbl>
    <w:p w:rsidR="00711D35" w:rsidRPr="0079679B" w:rsidRDefault="00B7479F" w:rsidP="00B7479F">
      <w:pPr>
        <w:spacing w:before="120" w:after="0" w:line="240" w:lineRule="auto"/>
      </w:pPr>
      <w:r w:rsidRPr="00B7479F">
        <w:rPr>
          <w:b/>
        </w:rPr>
        <w:t>Caractéristiques des molécules vectrices utilisées :</w:t>
      </w:r>
      <w:r w:rsidR="00711D35">
        <w:rPr>
          <w:b/>
        </w:rPr>
        <w:t xml:space="preserve"> </w:t>
      </w:r>
      <w:r w:rsidR="00711D35" w:rsidRPr="00B1742C">
        <w:rPr>
          <w:sz w:val="20"/>
          <w:szCs w:val="20"/>
        </w:rPr>
        <w:t>Pas de molécule vectrice</w:t>
      </w:r>
    </w:p>
    <w:p w:rsidR="003911CA" w:rsidRPr="000A37A4" w:rsidRDefault="0075774F" w:rsidP="00DD7024">
      <w:pPr>
        <w:pStyle w:val="Titre1"/>
        <w:numPr>
          <w:ilvl w:val="0"/>
          <w:numId w:val="2"/>
        </w:numPr>
        <w:spacing w:after="0"/>
        <w:rPr>
          <w:color w:val="ED7D31" w:themeColor="accent2"/>
        </w:rPr>
      </w:pPr>
      <w:r w:rsidRPr="000A37A4">
        <w:rPr>
          <w:color w:val="ED7D31" w:themeColor="accent2"/>
        </w:rPr>
        <w:t>Activité injectée, mode d’administration et données dosimétriques</w:t>
      </w:r>
    </w:p>
    <w:tbl>
      <w:tblPr>
        <w:tblStyle w:val="TableauGrille5Fonc-Accentuation2"/>
        <w:tblW w:w="5000" w:type="pct"/>
        <w:tblLook w:val="04A0" w:firstRow="1" w:lastRow="0" w:firstColumn="1" w:lastColumn="0" w:noHBand="0" w:noVBand="1"/>
      </w:tblPr>
      <w:tblGrid>
        <w:gridCol w:w="719"/>
        <w:gridCol w:w="1761"/>
        <w:gridCol w:w="2829"/>
        <w:gridCol w:w="874"/>
        <w:gridCol w:w="1899"/>
        <w:gridCol w:w="2374"/>
      </w:tblGrid>
      <w:tr w:rsidR="00DC459F" w:rsidTr="00B5386F">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44" w:type="pct"/>
            <w:vAlign w:val="center"/>
          </w:tcPr>
          <w:p w:rsidR="00DC459F" w:rsidRPr="00C70B7E" w:rsidRDefault="00DC459F" w:rsidP="00C70B7E">
            <w:pPr>
              <w:jc w:val="center"/>
              <w:rPr>
                <w:sz w:val="20"/>
                <w:szCs w:val="20"/>
              </w:rPr>
            </w:pPr>
          </w:p>
        </w:tc>
        <w:tc>
          <w:tcPr>
            <w:tcW w:w="842" w:type="pct"/>
            <w:vAlign w:val="center"/>
          </w:tcPr>
          <w:p w:rsidR="00DC459F" w:rsidRPr="00C70B7E" w:rsidRDefault="00DC459F" w:rsidP="00DC459F">
            <w:pPr>
              <w:jc w:val="center"/>
              <w:cnfStyle w:val="100000000000" w:firstRow="1" w:lastRow="0" w:firstColumn="0" w:lastColumn="0" w:oddVBand="0" w:evenVBand="0" w:oddHBand="0" w:evenHBand="0" w:firstRowFirstColumn="0" w:firstRowLastColumn="0" w:lastRowFirstColumn="0" w:lastRowLastColumn="0"/>
              <w:rPr>
                <w:sz w:val="20"/>
                <w:szCs w:val="20"/>
              </w:rPr>
            </w:pPr>
            <w:r w:rsidRPr="00C70B7E">
              <w:rPr>
                <w:sz w:val="20"/>
                <w:szCs w:val="20"/>
              </w:rPr>
              <w:t xml:space="preserve">Activité injectée </w:t>
            </w:r>
          </w:p>
        </w:tc>
        <w:tc>
          <w:tcPr>
            <w:tcW w:w="1353" w:type="pct"/>
            <w:vAlign w:val="center"/>
          </w:tcPr>
          <w:p w:rsidR="00DC459F" w:rsidRPr="00C70B7E" w:rsidRDefault="00DC459F" w:rsidP="00C70B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C70B7E">
              <w:rPr>
                <w:sz w:val="20"/>
                <w:szCs w:val="20"/>
              </w:rPr>
              <w:t>Délai</w:t>
            </w:r>
          </w:p>
        </w:tc>
        <w:tc>
          <w:tcPr>
            <w:tcW w:w="418" w:type="pct"/>
            <w:vAlign w:val="center"/>
          </w:tcPr>
          <w:p w:rsidR="00DC459F" w:rsidRPr="00C70B7E" w:rsidRDefault="00DC459F" w:rsidP="00C70B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C70B7E">
              <w:rPr>
                <w:sz w:val="20"/>
                <w:szCs w:val="20"/>
              </w:rPr>
              <w:t>Durée</w:t>
            </w:r>
            <w:r>
              <w:rPr>
                <w:sz w:val="20"/>
                <w:szCs w:val="20"/>
              </w:rPr>
              <w:t xml:space="preserve"> </w:t>
            </w:r>
          </w:p>
        </w:tc>
        <w:tc>
          <w:tcPr>
            <w:tcW w:w="908" w:type="pct"/>
            <w:vAlign w:val="center"/>
          </w:tcPr>
          <w:p w:rsidR="00DC459F" w:rsidRPr="00C70B7E" w:rsidRDefault="00DC459F" w:rsidP="00C70B7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Nombre de coups</w:t>
            </w:r>
          </w:p>
        </w:tc>
        <w:tc>
          <w:tcPr>
            <w:tcW w:w="1135" w:type="pct"/>
            <w:vAlign w:val="center"/>
          </w:tcPr>
          <w:p w:rsidR="00DC459F" w:rsidRDefault="00DC459F" w:rsidP="00C70B7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DPUI  homme adulte </w:t>
            </w:r>
          </w:p>
        </w:tc>
      </w:tr>
      <w:tr w:rsidR="00DC459F" w:rsidTr="00B5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DC459F" w:rsidRPr="00C70B7E" w:rsidRDefault="00DC459F" w:rsidP="00C70B7E">
            <w:pPr>
              <w:jc w:val="center"/>
              <w:rPr>
                <w:sz w:val="20"/>
                <w:szCs w:val="20"/>
              </w:rPr>
            </w:pPr>
            <w:r w:rsidRPr="00C70B7E">
              <w:rPr>
                <w:sz w:val="20"/>
                <w:szCs w:val="20"/>
                <w:vertAlign w:val="superscript"/>
              </w:rPr>
              <w:t>99m</w:t>
            </w:r>
            <w:r w:rsidRPr="00C70B7E">
              <w:rPr>
                <w:sz w:val="20"/>
                <w:szCs w:val="20"/>
              </w:rPr>
              <w:t>Tc</w:t>
            </w:r>
          </w:p>
        </w:tc>
        <w:tc>
          <w:tcPr>
            <w:tcW w:w="842" w:type="pct"/>
            <w:vAlign w:val="center"/>
          </w:tcPr>
          <w:p w:rsidR="00DC459F" w:rsidRPr="00C70B7E" w:rsidRDefault="000A37A4"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 xml:space="preserve">80 </w:t>
            </w:r>
            <w:r w:rsidR="00DC459F">
              <w:rPr>
                <w:sz w:val="20"/>
                <w:szCs w:val="20"/>
              </w:rPr>
              <w:t xml:space="preserve"> </w:t>
            </w:r>
            <w:proofErr w:type="spellStart"/>
            <w:r w:rsidR="00DC459F">
              <w:rPr>
                <w:sz w:val="20"/>
                <w:szCs w:val="20"/>
              </w:rPr>
              <w:t>MBq</w:t>
            </w:r>
            <w:proofErr w:type="spellEnd"/>
            <w:proofErr w:type="gramEnd"/>
          </w:p>
        </w:tc>
        <w:tc>
          <w:tcPr>
            <w:tcW w:w="1353" w:type="pct"/>
            <w:vAlign w:val="center"/>
          </w:tcPr>
          <w:p w:rsidR="00DC459F" w:rsidRPr="00C70B7E" w:rsidRDefault="000A37A4"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 xml:space="preserve">20 </w:t>
            </w:r>
            <w:r w:rsidR="00DC459F" w:rsidRPr="00C70B7E">
              <w:rPr>
                <w:sz w:val="20"/>
                <w:szCs w:val="20"/>
              </w:rPr>
              <w:t xml:space="preserve"> min</w:t>
            </w:r>
            <w:proofErr w:type="gramEnd"/>
          </w:p>
        </w:tc>
        <w:tc>
          <w:tcPr>
            <w:tcW w:w="418" w:type="pct"/>
            <w:vAlign w:val="center"/>
          </w:tcPr>
          <w:p w:rsidR="00DC459F" w:rsidRPr="00C70B7E" w:rsidRDefault="00DC459F"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sidRPr="00C70B7E">
              <w:rPr>
                <w:sz w:val="20"/>
                <w:szCs w:val="20"/>
              </w:rPr>
              <w:t>10</w:t>
            </w:r>
          </w:p>
        </w:tc>
        <w:tc>
          <w:tcPr>
            <w:tcW w:w="908" w:type="pct"/>
            <w:vAlign w:val="center"/>
          </w:tcPr>
          <w:p w:rsidR="00DC459F" w:rsidRPr="00C70B7E" w:rsidRDefault="00DC459F"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70-100 </w:t>
            </w:r>
            <w:proofErr w:type="spellStart"/>
            <w:r>
              <w:rPr>
                <w:sz w:val="20"/>
                <w:szCs w:val="20"/>
              </w:rPr>
              <w:t>kcps</w:t>
            </w:r>
            <w:proofErr w:type="spellEnd"/>
          </w:p>
        </w:tc>
        <w:tc>
          <w:tcPr>
            <w:tcW w:w="1135" w:type="pct"/>
            <w:vAlign w:val="center"/>
          </w:tcPr>
          <w:p w:rsidR="00DC459F" w:rsidRDefault="00DC459F"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 µSv/</w:t>
            </w:r>
            <w:proofErr w:type="spellStart"/>
            <w:r>
              <w:rPr>
                <w:sz w:val="20"/>
                <w:szCs w:val="20"/>
              </w:rPr>
              <w:t>MBq</w:t>
            </w:r>
            <w:proofErr w:type="spellEnd"/>
            <w:r>
              <w:rPr>
                <w:sz w:val="20"/>
                <w:szCs w:val="20"/>
              </w:rPr>
              <w:t xml:space="preserve"> (CIPR 53)</w:t>
            </w:r>
          </w:p>
        </w:tc>
      </w:tr>
      <w:tr w:rsidR="00DC459F" w:rsidTr="00B5386F">
        <w:tc>
          <w:tcPr>
            <w:cnfStyle w:val="001000000000" w:firstRow="0" w:lastRow="0" w:firstColumn="1" w:lastColumn="0" w:oddVBand="0" w:evenVBand="0" w:oddHBand="0" w:evenHBand="0" w:firstRowFirstColumn="0" w:firstRowLastColumn="0" w:lastRowFirstColumn="0" w:lastRowLastColumn="0"/>
            <w:tcW w:w="344" w:type="pct"/>
            <w:vAlign w:val="center"/>
          </w:tcPr>
          <w:p w:rsidR="00DC459F" w:rsidRPr="00C70B7E" w:rsidRDefault="00DC459F" w:rsidP="00C70B7E">
            <w:pPr>
              <w:jc w:val="center"/>
              <w:rPr>
                <w:sz w:val="20"/>
                <w:szCs w:val="20"/>
                <w:vertAlign w:val="superscript"/>
              </w:rPr>
            </w:pPr>
            <w:r w:rsidRPr="00C70B7E">
              <w:rPr>
                <w:sz w:val="20"/>
                <w:szCs w:val="20"/>
                <w:vertAlign w:val="superscript"/>
              </w:rPr>
              <w:t>123</w:t>
            </w:r>
            <w:r w:rsidRPr="00C70B7E">
              <w:rPr>
                <w:sz w:val="20"/>
                <w:szCs w:val="20"/>
              </w:rPr>
              <w:t>I</w:t>
            </w:r>
          </w:p>
        </w:tc>
        <w:tc>
          <w:tcPr>
            <w:tcW w:w="842" w:type="pct"/>
            <w:vAlign w:val="center"/>
          </w:tcPr>
          <w:p w:rsidR="00DC459F" w:rsidRPr="00C70B7E" w:rsidRDefault="00DC459F" w:rsidP="00C70B7E">
            <w:pPr>
              <w:jc w:val="center"/>
              <w:cnfStyle w:val="000000000000" w:firstRow="0" w:lastRow="0" w:firstColumn="0" w:lastColumn="0" w:oddVBand="0" w:evenVBand="0" w:oddHBand="0" w:evenHBand="0" w:firstRowFirstColumn="0" w:firstRowLastColumn="0" w:lastRowFirstColumn="0" w:lastRowLastColumn="0"/>
              <w:rPr>
                <w:sz w:val="20"/>
                <w:szCs w:val="20"/>
              </w:rPr>
            </w:pPr>
            <w:r w:rsidRPr="00C70B7E">
              <w:rPr>
                <w:sz w:val="20"/>
                <w:szCs w:val="20"/>
              </w:rPr>
              <w:t>7-20</w:t>
            </w:r>
            <w:r>
              <w:rPr>
                <w:sz w:val="20"/>
                <w:szCs w:val="20"/>
              </w:rPr>
              <w:t xml:space="preserve"> </w:t>
            </w:r>
            <w:proofErr w:type="spellStart"/>
            <w:r>
              <w:rPr>
                <w:sz w:val="20"/>
                <w:szCs w:val="20"/>
              </w:rPr>
              <w:t>MBq</w:t>
            </w:r>
            <w:proofErr w:type="spellEnd"/>
          </w:p>
        </w:tc>
        <w:tc>
          <w:tcPr>
            <w:tcW w:w="1353" w:type="pct"/>
            <w:vAlign w:val="center"/>
          </w:tcPr>
          <w:p w:rsidR="00DC459F" w:rsidRPr="00C70B7E" w:rsidRDefault="00DC459F" w:rsidP="00C70B7E">
            <w:pPr>
              <w:jc w:val="center"/>
              <w:cnfStyle w:val="000000000000" w:firstRow="0" w:lastRow="0" w:firstColumn="0" w:lastColumn="0" w:oddVBand="0" w:evenVBand="0" w:oddHBand="0" w:evenHBand="0" w:firstRowFirstColumn="0" w:firstRowLastColumn="0" w:lastRowFirstColumn="0" w:lastRowLastColumn="0"/>
              <w:rPr>
                <w:sz w:val="20"/>
                <w:szCs w:val="20"/>
              </w:rPr>
            </w:pPr>
            <w:r w:rsidRPr="00C70B7E">
              <w:rPr>
                <w:sz w:val="20"/>
                <w:szCs w:val="20"/>
              </w:rPr>
              <w:t>60 min - 24 h</w:t>
            </w:r>
          </w:p>
        </w:tc>
        <w:tc>
          <w:tcPr>
            <w:tcW w:w="418" w:type="pct"/>
            <w:vAlign w:val="center"/>
          </w:tcPr>
          <w:p w:rsidR="00DC459F" w:rsidRPr="00C70B7E" w:rsidRDefault="00DC459F" w:rsidP="00C70B7E">
            <w:pPr>
              <w:jc w:val="center"/>
              <w:cnfStyle w:val="000000000000" w:firstRow="0" w:lastRow="0" w:firstColumn="0" w:lastColumn="0" w:oddVBand="0" w:evenVBand="0" w:oddHBand="0" w:evenHBand="0" w:firstRowFirstColumn="0" w:firstRowLastColumn="0" w:lastRowFirstColumn="0" w:lastRowLastColumn="0"/>
              <w:rPr>
                <w:sz w:val="20"/>
                <w:szCs w:val="20"/>
              </w:rPr>
            </w:pPr>
            <w:r w:rsidRPr="00C70B7E">
              <w:rPr>
                <w:sz w:val="20"/>
                <w:szCs w:val="20"/>
              </w:rPr>
              <w:t>10-15</w:t>
            </w:r>
          </w:p>
        </w:tc>
        <w:tc>
          <w:tcPr>
            <w:tcW w:w="908" w:type="pct"/>
            <w:vAlign w:val="center"/>
          </w:tcPr>
          <w:p w:rsidR="00DC459F" w:rsidRPr="00C70B7E" w:rsidRDefault="00DC459F" w:rsidP="00C70B7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70-100 </w:t>
            </w:r>
            <w:proofErr w:type="spellStart"/>
            <w:r>
              <w:rPr>
                <w:sz w:val="20"/>
                <w:szCs w:val="20"/>
              </w:rPr>
              <w:t>kcps</w:t>
            </w:r>
            <w:proofErr w:type="spellEnd"/>
          </w:p>
        </w:tc>
        <w:tc>
          <w:tcPr>
            <w:tcW w:w="1135" w:type="pct"/>
            <w:vAlign w:val="center"/>
          </w:tcPr>
          <w:p w:rsidR="00DC459F" w:rsidRDefault="00DC459F" w:rsidP="00C70B7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178 µSv/</w:t>
            </w:r>
            <w:proofErr w:type="spellStart"/>
            <w:r>
              <w:rPr>
                <w:sz w:val="20"/>
                <w:szCs w:val="20"/>
              </w:rPr>
              <w:t>MBq</w:t>
            </w:r>
            <w:proofErr w:type="spellEnd"/>
            <w:r>
              <w:rPr>
                <w:sz w:val="20"/>
                <w:szCs w:val="20"/>
              </w:rPr>
              <w:t xml:space="preserve"> (CIPR 80)</w:t>
            </w:r>
          </w:p>
        </w:tc>
      </w:tr>
      <w:tr w:rsidR="00DC459F" w:rsidTr="00B5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DC459F" w:rsidRPr="00C70B7E" w:rsidRDefault="00DC459F" w:rsidP="00C70B7E">
            <w:pPr>
              <w:jc w:val="center"/>
              <w:rPr>
                <w:sz w:val="20"/>
                <w:szCs w:val="20"/>
                <w:vertAlign w:val="superscript"/>
              </w:rPr>
            </w:pPr>
            <w:r w:rsidRPr="00C70B7E">
              <w:rPr>
                <w:sz w:val="20"/>
                <w:szCs w:val="20"/>
                <w:vertAlign w:val="superscript"/>
              </w:rPr>
              <w:t>201</w:t>
            </w:r>
            <w:r w:rsidRPr="00C70B7E">
              <w:rPr>
                <w:sz w:val="20"/>
                <w:szCs w:val="20"/>
              </w:rPr>
              <w:t>Tl</w:t>
            </w:r>
          </w:p>
        </w:tc>
        <w:tc>
          <w:tcPr>
            <w:tcW w:w="842" w:type="pct"/>
            <w:vAlign w:val="center"/>
          </w:tcPr>
          <w:p w:rsidR="00DC459F" w:rsidRPr="00C70B7E" w:rsidRDefault="00DC459F"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sidRPr="00C70B7E">
              <w:rPr>
                <w:sz w:val="20"/>
                <w:szCs w:val="20"/>
              </w:rPr>
              <w:t>70-110</w:t>
            </w:r>
            <w:r>
              <w:rPr>
                <w:sz w:val="20"/>
                <w:szCs w:val="20"/>
              </w:rPr>
              <w:t xml:space="preserve"> </w:t>
            </w:r>
            <w:proofErr w:type="spellStart"/>
            <w:r>
              <w:rPr>
                <w:sz w:val="20"/>
                <w:szCs w:val="20"/>
              </w:rPr>
              <w:t>MBq</w:t>
            </w:r>
            <w:proofErr w:type="spellEnd"/>
          </w:p>
        </w:tc>
        <w:tc>
          <w:tcPr>
            <w:tcW w:w="1353" w:type="pct"/>
            <w:vAlign w:val="center"/>
          </w:tcPr>
          <w:p w:rsidR="00DC459F" w:rsidRPr="00C70B7E" w:rsidRDefault="00DC459F"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sidRPr="00C70B7E">
              <w:rPr>
                <w:sz w:val="20"/>
                <w:szCs w:val="20"/>
              </w:rPr>
              <w:t>Temps précoce : 10 - 30 min</w:t>
            </w:r>
          </w:p>
          <w:p w:rsidR="00DC459F" w:rsidRPr="00C70B7E" w:rsidRDefault="00DC459F"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sidRPr="00C70B7E">
              <w:rPr>
                <w:sz w:val="20"/>
                <w:szCs w:val="20"/>
              </w:rPr>
              <w:t>Temps tardif : 2 - 3 h</w:t>
            </w:r>
          </w:p>
        </w:tc>
        <w:tc>
          <w:tcPr>
            <w:tcW w:w="418" w:type="pct"/>
            <w:vAlign w:val="center"/>
          </w:tcPr>
          <w:p w:rsidR="00DC459F" w:rsidRPr="00C70B7E" w:rsidRDefault="00DC459F"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sidRPr="00C70B7E">
              <w:rPr>
                <w:sz w:val="20"/>
                <w:szCs w:val="20"/>
              </w:rPr>
              <w:t>10 min</w:t>
            </w:r>
          </w:p>
          <w:p w:rsidR="00DC459F" w:rsidRPr="00C70B7E" w:rsidRDefault="00DC459F"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sidRPr="00C70B7E">
              <w:rPr>
                <w:sz w:val="20"/>
                <w:szCs w:val="20"/>
              </w:rPr>
              <w:t>10 min</w:t>
            </w:r>
          </w:p>
        </w:tc>
        <w:tc>
          <w:tcPr>
            <w:tcW w:w="908" w:type="pct"/>
            <w:vAlign w:val="center"/>
          </w:tcPr>
          <w:p w:rsidR="00DC459F" w:rsidRDefault="00DC459F"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500 </w:t>
            </w:r>
            <w:proofErr w:type="spellStart"/>
            <w:r>
              <w:rPr>
                <w:sz w:val="20"/>
                <w:szCs w:val="20"/>
              </w:rPr>
              <w:t>kcps</w:t>
            </w:r>
            <w:proofErr w:type="spellEnd"/>
          </w:p>
          <w:p w:rsidR="00DC459F" w:rsidRPr="00C70B7E" w:rsidRDefault="00DC459F"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300 </w:t>
            </w:r>
            <w:proofErr w:type="spellStart"/>
            <w:r>
              <w:rPr>
                <w:sz w:val="20"/>
                <w:szCs w:val="20"/>
              </w:rPr>
              <w:t>kcps</w:t>
            </w:r>
            <w:proofErr w:type="spellEnd"/>
          </w:p>
        </w:tc>
        <w:tc>
          <w:tcPr>
            <w:tcW w:w="1135" w:type="pct"/>
            <w:vAlign w:val="center"/>
          </w:tcPr>
          <w:p w:rsidR="00DC459F" w:rsidRDefault="00DC459F"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231 µSv/</w:t>
            </w:r>
            <w:proofErr w:type="spellStart"/>
            <w:r>
              <w:rPr>
                <w:sz w:val="20"/>
                <w:szCs w:val="20"/>
              </w:rPr>
              <w:t>MBq</w:t>
            </w:r>
            <w:proofErr w:type="spellEnd"/>
            <w:r>
              <w:rPr>
                <w:sz w:val="20"/>
                <w:szCs w:val="20"/>
              </w:rPr>
              <w:t>(CIPR 80)</w:t>
            </w:r>
          </w:p>
        </w:tc>
      </w:tr>
    </w:tbl>
    <w:p w:rsidR="00DC459F" w:rsidRPr="000D4AF9" w:rsidRDefault="00DC459F" w:rsidP="000D4AF9">
      <w:pPr>
        <w:pStyle w:val="Paragraphedeliste"/>
        <w:numPr>
          <w:ilvl w:val="0"/>
          <w:numId w:val="24"/>
        </w:numPr>
        <w:spacing w:line="240" w:lineRule="auto"/>
        <w:ind w:left="714" w:hanging="357"/>
        <w:rPr>
          <w:sz w:val="20"/>
          <w:szCs w:val="20"/>
        </w:rPr>
      </w:pPr>
      <w:r w:rsidRPr="000D4AF9">
        <w:rPr>
          <w:sz w:val="20"/>
          <w:szCs w:val="20"/>
        </w:rPr>
        <w:t xml:space="preserve">La durée d’acquisition et l’activité injectée dépend de la sensibilité du système colmaté. </w:t>
      </w:r>
    </w:p>
    <w:p w:rsidR="00DC459F" w:rsidRPr="000D4AF9" w:rsidRDefault="00DC459F" w:rsidP="000D4AF9">
      <w:pPr>
        <w:pStyle w:val="Paragraphedeliste"/>
        <w:numPr>
          <w:ilvl w:val="0"/>
          <w:numId w:val="24"/>
        </w:numPr>
        <w:spacing w:line="240" w:lineRule="auto"/>
        <w:ind w:left="714" w:hanging="357"/>
        <w:rPr>
          <w:sz w:val="20"/>
          <w:szCs w:val="20"/>
        </w:rPr>
      </w:pPr>
      <w:r w:rsidRPr="000D4AF9">
        <w:rPr>
          <w:sz w:val="20"/>
          <w:szCs w:val="20"/>
        </w:rPr>
        <w:t xml:space="preserve">La voie intraveineuse est recommandée mais les </w:t>
      </w:r>
      <w:proofErr w:type="spellStart"/>
      <w:r w:rsidRPr="000D4AF9">
        <w:rPr>
          <w:sz w:val="20"/>
          <w:szCs w:val="20"/>
        </w:rPr>
        <w:t>radiopharmaceutiques</w:t>
      </w:r>
      <w:proofErr w:type="spellEnd"/>
      <w:r w:rsidRPr="000D4AF9">
        <w:rPr>
          <w:sz w:val="20"/>
          <w:szCs w:val="20"/>
        </w:rPr>
        <w:t xml:space="preserve"> peuvent également être ingérés.</w:t>
      </w:r>
    </w:p>
    <w:p w:rsidR="003911CA" w:rsidRPr="000A37A4" w:rsidRDefault="000D4F80" w:rsidP="00DD7024">
      <w:pPr>
        <w:pStyle w:val="Titre1"/>
        <w:numPr>
          <w:ilvl w:val="0"/>
          <w:numId w:val="2"/>
        </w:numPr>
        <w:spacing w:after="0"/>
        <w:rPr>
          <w:color w:val="ED7D31" w:themeColor="accent2"/>
        </w:rPr>
      </w:pPr>
      <w:r w:rsidRPr="000A37A4">
        <w:rPr>
          <w:color w:val="ED7D31" w:themeColor="accent2"/>
        </w:rPr>
        <w:t xml:space="preserve">Acquisition </w:t>
      </w:r>
      <w:r w:rsidR="00F942A9" w:rsidRPr="000A37A4">
        <w:rPr>
          <w:color w:val="ED7D31" w:themeColor="accent2"/>
        </w:rPr>
        <w:t xml:space="preserve">et traitement </w:t>
      </w:r>
      <w:r w:rsidRPr="000A37A4">
        <w:rPr>
          <w:color w:val="ED7D31" w:themeColor="accent2"/>
        </w:rPr>
        <w:t xml:space="preserve">des images </w:t>
      </w:r>
      <w:proofErr w:type="spellStart"/>
      <w:r w:rsidRPr="000A37A4">
        <w:rPr>
          <w:color w:val="ED7D31" w:themeColor="accent2"/>
        </w:rPr>
        <w:t>scintigraphiques</w:t>
      </w:r>
      <w:proofErr w:type="spellEnd"/>
    </w:p>
    <w:p w:rsidR="000A37A4" w:rsidRPr="000A37A4" w:rsidRDefault="000A37A4" w:rsidP="000A37A4">
      <w:pPr>
        <w:pStyle w:val="Paragraphedeliste"/>
        <w:numPr>
          <w:ilvl w:val="0"/>
          <w:numId w:val="26"/>
        </w:numPr>
        <w:spacing w:after="0" w:line="240" w:lineRule="auto"/>
        <w:rPr>
          <w:sz w:val="20"/>
          <w:szCs w:val="20"/>
        </w:rPr>
      </w:pPr>
      <w:r w:rsidRPr="000A37A4">
        <w:rPr>
          <w:sz w:val="20"/>
          <w:szCs w:val="20"/>
        </w:rPr>
        <w:t xml:space="preserve">Acquisition statique, patient en décubitus dorsal, avec matrice 256*256 et collimateur sténopé dont l’opercule d’entrée est de 4 à 6 mm (haute </w:t>
      </w:r>
      <w:proofErr w:type="spellStart"/>
      <w:r w:rsidRPr="000A37A4">
        <w:rPr>
          <w:sz w:val="20"/>
          <w:szCs w:val="20"/>
        </w:rPr>
        <w:t>resolution</w:t>
      </w:r>
      <w:proofErr w:type="spellEnd"/>
      <w:r w:rsidRPr="000A37A4">
        <w:rPr>
          <w:sz w:val="20"/>
          <w:szCs w:val="20"/>
        </w:rPr>
        <w:t xml:space="preserve">). </w:t>
      </w:r>
    </w:p>
    <w:p w:rsidR="000A37A4" w:rsidRPr="000A37A4" w:rsidRDefault="000A37A4" w:rsidP="000A37A4">
      <w:pPr>
        <w:pStyle w:val="Paragraphedeliste"/>
        <w:numPr>
          <w:ilvl w:val="0"/>
          <w:numId w:val="26"/>
        </w:numPr>
        <w:spacing w:after="0" w:line="240" w:lineRule="auto"/>
        <w:rPr>
          <w:sz w:val="20"/>
          <w:szCs w:val="20"/>
        </w:rPr>
      </w:pPr>
      <w:r w:rsidRPr="000A37A4">
        <w:rPr>
          <w:color w:val="000000"/>
          <w:sz w:val="20"/>
          <w:szCs w:val="20"/>
        </w:rPr>
        <w:t xml:space="preserve">L’image </w:t>
      </w:r>
      <w:proofErr w:type="spellStart"/>
      <w:r w:rsidRPr="000A37A4">
        <w:rPr>
          <w:color w:val="000000"/>
          <w:sz w:val="20"/>
          <w:szCs w:val="20"/>
        </w:rPr>
        <w:t>scintigraphique</w:t>
      </w:r>
      <w:proofErr w:type="spellEnd"/>
      <w:r w:rsidRPr="000A37A4">
        <w:rPr>
          <w:color w:val="000000"/>
          <w:sz w:val="20"/>
          <w:szCs w:val="20"/>
        </w:rPr>
        <w:t xml:space="preserve"> peut être utilisée pour calculer la fixation thyroïdienne.</w:t>
      </w:r>
    </w:p>
    <w:p w:rsidR="000A37A4" w:rsidRPr="000A37A4" w:rsidRDefault="000A37A4" w:rsidP="000A37A4">
      <w:pPr>
        <w:pStyle w:val="Paragraphedeliste"/>
        <w:numPr>
          <w:ilvl w:val="0"/>
          <w:numId w:val="26"/>
        </w:numPr>
        <w:spacing w:after="0" w:line="240" w:lineRule="auto"/>
        <w:rPr>
          <w:sz w:val="20"/>
          <w:szCs w:val="20"/>
        </w:rPr>
      </w:pPr>
      <w:r w:rsidRPr="000A37A4">
        <w:rPr>
          <w:color w:val="000000"/>
          <w:sz w:val="20"/>
          <w:szCs w:val="20"/>
        </w:rPr>
        <w:t>En cas de nodule mal contrasté de face, on indiquera des vues obliques complémentaires.</w:t>
      </w:r>
    </w:p>
    <w:p w:rsidR="000A37A4" w:rsidRPr="000A37A4" w:rsidRDefault="000A37A4" w:rsidP="000A37A4">
      <w:pPr>
        <w:pStyle w:val="Paragraphedeliste"/>
        <w:numPr>
          <w:ilvl w:val="0"/>
          <w:numId w:val="26"/>
        </w:numPr>
        <w:spacing w:after="0" w:line="240" w:lineRule="auto"/>
        <w:rPr>
          <w:sz w:val="20"/>
          <w:szCs w:val="20"/>
        </w:rPr>
      </w:pPr>
      <w:r w:rsidRPr="000A37A4">
        <w:rPr>
          <w:color w:val="000000"/>
          <w:sz w:val="20"/>
          <w:szCs w:val="20"/>
        </w:rPr>
        <w:t xml:space="preserve">On pourra réaliser une acquisition tomographique en collimation </w:t>
      </w:r>
      <w:proofErr w:type="spellStart"/>
      <w:r w:rsidRPr="000A37A4">
        <w:rPr>
          <w:color w:val="000000"/>
          <w:sz w:val="20"/>
          <w:szCs w:val="20"/>
        </w:rPr>
        <w:t>sténopée</w:t>
      </w:r>
      <w:proofErr w:type="spellEnd"/>
      <w:r w:rsidRPr="000A37A4">
        <w:rPr>
          <w:color w:val="000000"/>
          <w:sz w:val="20"/>
          <w:szCs w:val="20"/>
        </w:rPr>
        <w:t xml:space="preserve"> (logiciel de reconstruction dédié).</w:t>
      </w:r>
    </w:p>
    <w:p w:rsidR="000A37A4" w:rsidRPr="000A37A4" w:rsidRDefault="000A37A4" w:rsidP="000A37A4">
      <w:pPr>
        <w:pStyle w:val="Paragraphedeliste"/>
        <w:numPr>
          <w:ilvl w:val="0"/>
          <w:numId w:val="26"/>
        </w:numPr>
        <w:spacing w:after="120" w:line="240" w:lineRule="auto"/>
        <w:ind w:left="714" w:hanging="357"/>
        <w:contextualSpacing w:val="0"/>
        <w:rPr>
          <w:sz w:val="20"/>
          <w:szCs w:val="20"/>
        </w:rPr>
      </w:pPr>
      <w:r w:rsidRPr="000A37A4">
        <w:rPr>
          <w:color w:val="000000"/>
          <w:sz w:val="20"/>
          <w:szCs w:val="20"/>
        </w:rPr>
        <w:t>On pourra réaliser une acquisition double isotope (123I ou 99mTc et 201 Tl). On pourra réaliser une image antérieure puis postérieure en pédiatrie (méthodes des vues conjuguées pour le calcul de la fixation).</w:t>
      </w:r>
    </w:p>
    <w:p w:rsidR="000A37A4" w:rsidRPr="000A37A4" w:rsidRDefault="000A37A4" w:rsidP="000A37A4">
      <w:pPr>
        <w:pStyle w:val="Paragraphedeliste"/>
        <w:numPr>
          <w:ilvl w:val="0"/>
          <w:numId w:val="2"/>
        </w:numPr>
        <w:spacing w:after="0" w:line="240" w:lineRule="auto"/>
        <w:ind w:left="714" w:hanging="357"/>
        <w:rPr>
          <w:color w:val="ED7D31" w:themeColor="accent2"/>
          <w:sz w:val="32"/>
          <w:szCs w:val="32"/>
        </w:rPr>
      </w:pPr>
      <w:r w:rsidRPr="000A37A4">
        <w:rPr>
          <w:color w:val="ED7D31" w:themeColor="accent2"/>
          <w:sz w:val="32"/>
          <w:szCs w:val="32"/>
        </w:rPr>
        <w:t xml:space="preserve">Analyse des images </w:t>
      </w:r>
      <w:bookmarkStart w:id="0" w:name="_GoBack"/>
      <w:bookmarkEnd w:id="0"/>
    </w:p>
    <w:p w:rsidR="000A37A4" w:rsidRPr="000A37A4" w:rsidRDefault="000A37A4" w:rsidP="000A37A4">
      <w:pPr>
        <w:spacing w:after="0" w:line="240" w:lineRule="auto"/>
        <w:rPr>
          <w:b/>
        </w:rPr>
      </w:pPr>
      <w:r w:rsidRPr="000A37A4">
        <w:rPr>
          <w:b/>
        </w:rPr>
        <w:t>Evaluation de la répartition du traceur :</w:t>
      </w:r>
    </w:p>
    <w:p w:rsidR="000A37A4" w:rsidRDefault="000A37A4" w:rsidP="000A37A4">
      <w:pPr>
        <w:pStyle w:val="Paragraphedeliste"/>
        <w:numPr>
          <w:ilvl w:val="0"/>
          <w:numId w:val="28"/>
        </w:numPr>
        <w:spacing w:after="0" w:line="240" w:lineRule="auto"/>
        <w:rPr>
          <w:sz w:val="20"/>
          <w:szCs w:val="20"/>
        </w:rPr>
      </w:pPr>
      <w:proofErr w:type="spellStart"/>
      <w:r>
        <w:rPr>
          <w:sz w:val="20"/>
          <w:szCs w:val="20"/>
        </w:rPr>
        <w:t>Homogene</w:t>
      </w:r>
      <w:proofErr w:type="spellEnd"/>
    </w:p>
    <w:p w:rsidR="000A37A4" w:rsidRDefault="000A37A4" w:rsidP="000A37A4">
      <w:pPr>
        <w:pStyle w:val="Paragraphedeliste"/>
        <w:numPr>
          <w:ilvl w:val="0"/>
          <w:numId w:val="28"/>
        </w:numPr>
        <w:spacing w:after="0" w:line="240" w:lineRule="auto"/>
        <w:rPr>
          <w:sz w:val="20"/>
          <w:szCs w:val="20"/>
        </w:rPr>
      </w:pPr>
      <w:proofErr w:type="spellStart"/>
      <w:r>
        <w:rPr>
          <w:sz w:val="20"/>
          <w:szCs w:val="20"/>
        </w:rPr>
        <w:t>Inhomogene</w:t>
      </w:r>
      <w:proofErr w:type="spellEnd"/>
    </w:p>
    <w:p w:rsidR="000A37A4" w:rsidRDefault="000A37A4" w:rsidP="000A37A4">
      <w:pPr>
        <w:pStyle w:val="Paragraphedeliste"/>
        <w:numPr>
          <w:ilvl w:val="0"/>
          <w:numId w:val="28"/>
        </w:numPr>
        <w:spacing w:after="0" w:line="240" w:lineRule="auto"/>
        <w:rPr>
          <w:sz w:val="20"/>
          <w:szCs w:val="20"/>
        </w:rPr>
      </w:pPr>
      <w:r>
        <w:rPr>
          <w:sz w:val="20"/>
          <w:szCs w:val="20"/>
        </w:rPr>
        <w:t xml:space="preserve">Nodulaire (froid, chaud, </w:t>
      </w:r>
      <w:proofErr w:type="spellStart"/>
      <w:r>
        <w:rPr>
          <w:sz w:val="20"/>
          <w:szCs w:val="20"/>
        </w:rPr>
        <w:t>hyperfixant</w:t>
      </w:r>
      <w:proofErr w:type="spellEnd"/>
      <w:r>
        <w:rPr>
          <w:sz w:val="20"/>
          <w:szCs w:val="20"/>
        </w:rPr>
        <w:t>)</w:t>
      </w:r>
    </w:p>
    <w:p w:rsidR="000A37A4" w:rsidRPr="000A37A4" w:rsidRDefault="000A37A4" w:rsidP="000A37A4">
      <w:pPr>
        <w:spacing w:before="120" w:after="0" w:line="240" w:lineRule="auto"/>
        <w:rPr>
          <w:b/>
        </w:rPr>
      </w:pPr>
      <w:r w:rsidRPr="000A37A4">
        <w:rPr>
          <w:b/>
        </w:rPr>
        <w:lastRenderedPageBreak/>
        <w:t>L’intensité de la fixation lorsque la répartition du traceur est homogène :</w:t>
      </w:r>
    </w:p>
    <w:p w:rsidR="000A37A4" w:rsidRPr="000A37A4" w:rsidRDefault="000A37A4" w:rsidP="000A37A4">
      <w:pPr>
        <w:pStyle w:val="Paragraphedeliste"/>
        <w:numPr>
          <w:ilvl w:val="0"/>
          <w:numId w:val="28"/>
        </w:numPr>
        <w:spacing w:after="0" w:line="240" w:lineRule="auto"/>
        <w:ind w:left="714" w:hanging="357"/>
        <w:rPr>
          <w:sz w:val="20"/>
          <w:szCs w:val="20"/>
        </w:rPr>
      </w:pPr>
      <w:proofErr w:type="gramStart"/>
      <w:r w:rsidRPr="000A37A4">
        <w:rPr>
          <w:sz w:val="20"/>
          <w:szCs w:val="20"/>
        </w:rPr>
        <w:t>faible</w:t>
      </w:r>
      <w:proofErr w:type="gramEnd"/>
      <w:r w:rsidRPr="000A37A4">
        <w:rPr>
          <w:sz w:val="20"/>
          <w:szCs w:val="20"/>
        </w:rPr>
        <w:t xml:space="preserve"> si inférieure à 0.5 % de fixation</w:t>
      </w:r>
    </w:p>
    <w:p w:rsidR="000A37A4" w:rsidRPr="000A37A4" w:rsidRDefault="000A37A4" w:rsidP="000A37A4">
      <w:pPr>
        <w:pStyle w:val="Paragraphedeliste"/>
        <w:numPr>
          <w:ilvl w:val="0"/>
          <w:numId w:val="28"/>
        </w:numPr>
        <w:spacing w:after="0" w:line="240" w:lineRule="auto"/>
        <w:ind w:left="714" w:hanging="357"/>
        <w:rPr>
          <w:sz w:val="20"/>
          <w:szCs w:val="20"/>
        </w:rPr>
      </w:pPr>
      <w:proofErr w:type="gramStart"/>
      <w:r w:rsidRPr="000A37A4">
        <w:rPr>
          <w:sz w:val="20"/>
          <w:szCs w:val="20"/>
        </w:rPr>
        <w:t>moyenne</w:t>
      </w:r>
      <w:proofErr w:type="gramEnd"/>
      <w:r w:rsidRPr="000A37A4">
        <w:rPr>
          <w:sz w:val="20"/>
          <w:szCs w:val="20"/>
        </w:rPr>
        <w:t xml:space="preserve"> de 0.5 à 1 % de fixation</w:t>
      </w:r>
    </w:p>
    <w:p w:rsidR="000A37A4" w:rsidRPr="000A37A4" w:rsidRDefault="000A37A4" w:rsidP="000A37A4">
      <w:pPr>
        <w:pStyle w:val="Paragraphedeliste"/>
        <w:numPr>
          <w:ilvl w:val="0"/>
          <w:numId w:val="28"/>
        </w:numPr>
        <w:spacing w:after="0" w:line="240" w:lineRule="auto"/>
        <w:ind w:left="714" w:hanging="357"/>
        <w:rPr>
          <w:sz w:val="20"/>
          <w:szCs w:val="20"/>
        </w:rPr>
      </w:pPr>
      <w:proofErr w:type="gramStart"/>
      <w:r w:rsidRPr="000A37A4">
        <w:rPr>
          <w:sz w:val="20"/>
          <w:szCs w:val="20"/>
        </w:rPr>
        <w:t>normale</w:t>
      </w:r>
      <w:proofErr w:type="gramEnd"/>
      <w:r w:rsidRPr="000A37A4">
        <w:rPr>
          <w:sz w:val="20"/>
          <w:szCs w:val="20"/>
        </w:rPr>
        <w:t xml:space="preserve"> de 1 à 2 % de fixation</w:t>
      </w:r>
    </w:p>
    <w:p w:rsidR="000A37A4" w:rsidRPr="000A37A4" w:rsidRDefault="000A37A4" w:rsidP="000A37A4">
      <w:pPr>
        <w:pStyle w:val="Paragraphedeliste"/>
        <w:numPr>
          <w:ilvl w:val="0"/>
          <w:numId w:val="28"/>
        </w:numPr>
        <w:spacing w:after="0" w:line="240" w:lineRule="auto"/>
        <w:ind w:left="714" w:hanging="357"/>
        <w:rPr>
          <w:sz w:val="20"/>
          <w:szCs w:val="20"/>
        </w:rPr>
      </w:pPr>
      <w:proofErr w:type="gramStart"/>
      <w:r w:rsidRPr="000A37A4">
        <w:rPr>
          <w:sz w:val="20"/>
          <w:szCs w:val="20"/>
        </w:rPr>
        <w:t>intense</w:t>
      </w:r>
      <w:proofErr w:type="gramEnd"/>
      <w:r w:rsidRPr="000A37A4">
        <w:rPr>
          <w:sz w:val="20"/>
          <w:szCs w:val="20"/>
        </w:rPr>
        <w:t xml:space="preserve"> de 2 à 5 % de fixation</w:t>
      </w:r>
    </w:p>
    <w:p w:rsidR="000A37A4" w:rsidRPr="000A37A4" w:rsidRDefault="000A37A4" w:rsidP="000A37A4">
      <w:pPr>
        <w:pStyle w:val="Paragraphedeliste"/>
        <w:numPr>
          <w:ilvl w:val="0"/>
          <w:numId w:val="28"/>
        </w:numPr>
        <w:spacing w:after="0" w:line="240" w:lineRule="auto"/>
        <w:ind w:left="714" w:hanging="357"/>
        <w:rPr>
          <w:sz w:val="20"/>
          <w:szCs w:val="20"/>
        </w:rPr>
      </w:pPr>
      <w:proofErr w:type="gramStart"/>
      <w:r w:rsidRPr="000A37A4">
        <w:rPr>
          <w:sz w:val="20"/>
          <w:szCs w:val="20"/>
        </w:rPr>
        <w:t>hyperfixation</w:t>
      </w:r>
      <w:proofErr w:type="gramEnd"/>
      <w:r w:rsidRPr="000A37A4">
        <w:rPr>
          <w:sz w:val="20"/>
          <w:szCs w:val="20"/>
        </w:rPr>
        <w:t xml:space="preserve"> au-delà de 5 % de fixation.</w:t>
      </w:r>
    </w:p>
    <w:p w:rsidR="000A37A4" w:rsidRPr="000A37A4" w:rsidRDefault="000A37A4" w:rsidP="000A37A4">
      <w:pPr>
        <w:spacing w:after="0" w:line="240" w:lineRule="auto"/>
        <w:rPr>
          <w:sz w:val="20"/>
          <w:szCs w:val="20"/>
        </w:rPr>
      </w:pPr>
    </w:p>
    <w:p w:rsidR="000A37A4" w:rsidRPr="000A37A4" w:rsidRDefault="000A37A4" w:rsidP="000A37A4">
      <w:pPr>
        <w:spacing w:after="0" w:line="240" w:lineRule="auto"/>
        <w:rPr>
          <w:sz w:val="20"/>
          <w:szCs w:val="20"/>
        </w:rPr>
      </w:pPr>
    </w:p>
    <w:p w:rsidR="000A37A4" w:rsidRPr="000A37A4" w:rsidRDefault="000A37A4" w:rsidP="000A37A4">
      <w:pPr>
        <w:spacing w:after="0" w:line="240" w:lineRule="auto"/>
        <w:rPr>
          <w:sz w:val="20"/>
          <w:szCs w:val="20"/>
        </w:rPr>
      </w:pPr>
    </w:p>
    <w:p w:rsidR="000A37A4" w:rsidRPr="000A37A4" w:rsidRDefault="000A37A4" w:rsidP="000A37A4">
      <w:pPr>
        <w:spacing w:after="0" w:line="240" w:lineRule="auto"/>
        <w:rPr>
          <w:sz w:val="20"/>
          <w:szCs w:val="20"/>
        </w:rPr>
      </w:pPr>
    </w:p>
    <w:sectPr w:rsidR="000A37A4" w:rsidRPr="000A37A4" w:rsidSect="009F0C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1B6"/>
    <w:multiLevelType w:val="hybridMultilevel"/>
    <w:tmpl w:val="AD007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13779"/>
    <w:multiLevelType w:val="hybridMultilevel"/>
    <w:tmpl w:val="C37C1D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03296E"/>
    <w:multiLevelType w:val="hybridMultilevel"/>
    <w:tmpl w:val="1B946A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031EE6"/>
    <w:multiLevelType w:val="hybridMultilevel"/>
    <w:tmpl w:val="237A7E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BF7E94"/>
    <w:multiLevelType w:val="hybridMultilevel"/>
    <w:tmpl w:val="8C2A9D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1C729E"/>
    <w:multiLevelType w:val="hybridMultilevel"/>
    <w:tmpl w:val="10307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B440C5"/>
    <w:multiLevelType w:val="hybridMultilevel"/>
    <w:tmpl w:val="04601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D6365A"/>
    <w:multiLevelType w:val="hybridMultilevel"/>
    <w:tmpl w:val="220C74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BA6235"/>
    <w:multiLevelType w:val="hybridMultilevel"/>
    <w:tmpl w:val="CB96AE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9297AA6"/>
    <w:multiLevelType w:val="hybridMultilevel"/>
    <w:tmpl w:val="5C080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886F2B"/>
    <w:multiLevelType w:val="hybridMultilevel"/>
    <w:tmpl w:val="F3FED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E366F1"/>
    <w:multiLevelType w:val="hybridMultilevel"/>
    <w:tmpl w:val="060C40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B672AD"/>
    <w:multiLevelType w:val="hybridMultilevel"/>
    <w:tmpl w:val="545A5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50703C"/>
    <w:multiLevelType w:val="hybridMultilevel"/>
    <w:tmpl w:val="115A0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FF7EFF"/>
    <w:multiLevelType w:val="hybridMultilevel"/>
    <w:tmpl w:val="7E282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4160F2"/>
    <w:multiLevelType w:val="hybridMultilevel"/>
    <w:tmpl w:val="09E28C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F756F0"/>
    <w:multiLevelType w:val="hybridMultilevel"/>
    <w:tmpl w:val="1E227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7C05B6"/>
    <w:multiLevelType w:val="hybridMultilevel"/>
    <w:tmpl w:val="A82A08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58E2ADF"/>
    <w:multiLevelType w:val="hybridMultilevel"/>
    <w:tmpl w:val="D666A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7B1A87"/>
    <w:multiLevelType w:val="hybridMultilevel"/>
    <w:tmpl w:val="D01A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5660"/>
    <w:multiLevelType w:val="hybridMultilevel"/>
    <w:tmpl w:val="C6A05C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7E648E2"/>
    <w:multiLevelType w:val="hybridMultilevel"/>
    <w:tmpl w:val="8BCEC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CF2E85"/>
    <w:multiLevelType w:val="hybridMultilevel"/>
    <w:tmpl w:val="1BE68C2A"/>
    <w:lvl w:ilvl="0" w:tplc="040C0001">
      <w:start w:val="1"/>
      <w:numFmt w:val="bullet"/>
      <w:lvlText w:val=""/>
      <w:lvlJc w:val="left"/>
      <w:pPr>
        <w:ind w:left="764" w:hanging="360"/>
      </w:pPr>
      <w:rPr>
        <w:rFonts w:ascii="Symbol" w:hAnsi="Symbol"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23" w15:restartNumberingAfterBreak="0">
    <w:nsid w:val="66A063E9"/>
    <w:multiLevelType w:val="hybridMultilevel"/>
    <w:tmpl w:val="45948E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92865AD"/>
    <w:multiLevelType w:val="hybridMultilevel"/>
    <w:tmpl w:val="14E02A6A"/>
    <w:lvl w:ilvl="0" w:tplc="BCD24F34">
      <w:start w:val="2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FE50FA"/>
    <w:multiLevelType w:val="hybridMultilevel"/>
    <w:tmpl w:val="BE7E8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AF6723D"/>
    <w:multiLevelType w:val="hybridMultilevel"/>
    <w:tmpl w:val="2DDCB250"/>
    <w:lvl w:ilvl="0" w:tplc="D03045B2">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F147B90"/>
    <w:multiLevelType w:val="hybridMultilevel"/>
    <w:tmpl w:val="498E1C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26"/>
  </w:num>
  <w:num w:numId="3">
    <w:abstractNumId w:val="24"/>
  </w:num>
  <w:num w:numId="4">
    <w:abstractNumId w:val="20"/>
  </w:num>
  <w:num w:numId="5">
    <w:abstractNumId w:val="22"/>
  </w:num>
  <w:num w:numId="6">
    <w:abstractNumId w:val="5"/>
  </w:num>
  <w:num w:numId="7">
    <w:abstractNumId w:val="9"/>
  </w:num>
  <w:num w:numId="8">
    <w:abstractNumId w:val="7"/>
  </w:num>
  <w:num w:numId="9">
    <w:abstractNumId w:val="10"/>
  </w:num>
  <w:num w:numId="10">
    <w:abstractNumId w:val="27"/>
  </w:num>
  <w:num w:numId="11">
    <w:abstractNumId w:val="3"/>
  </w:num>
  <w:num w:numId="12">
    <w:abstractNumId w:val="21"/>
  </w:num>
  <w:num w:numId="13">
    <w:abstractNumId w:val="16"/>
  </w:num>
  <w:num w:numId="14">
    <w:abstractNumId w:val="2"/>
  </w:num>
  <w:num w:numId="15">
    <w:abstractNumId w:val="23"/>
  </w:num>
  <w:num w:numId="16">
    <w:abstractNumId w:val="19"/>
  </w:num>
  <w:num w:numId="17">
    <w:abstractNumId w:val="13"/>
  </w:num>
  <w:num w:numId="18">
    <w:abstractNumId w:val="15"/>
  </w:num>
  <w:num w:numId="19">
    <w:abstractNumId w:val="25"/>
  </w:num>
  <w:num w:numId="20">
    <w:abstractNumId w:val="4"/>
  </w:num>
  <w:num w:numId="21">
    <w:abstractNumId w:val="1"/>
  </w:num>
  <w:num w:numId="22">
    <w:abstractNumId w:val="8"/>
  </w:num>
  <w:num w:numId="23">
    <w:abstractNumId w:val="11"/>
  </w:num>
  <w:num w:numId="24">
    <w:abstractNumId w:val="14"/>
  </w:num>
  <w:num w:numId="25">
    <w:abstractNumId w:val="12"/>
  </w:num>
  <w:num w:numId="26">
    <w:abstractNumId w:val="0"/>
  </w:num>
  <w:num w:numId="27">
    <w:abstractNumId w:val="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11"/>
    <w:rsid w:val="000A37A4"/>
    <w:rsid w:val="000B7190"/>
    <w:rsid w:val="000D4AF9"/>
    <w:rsid w:val="000D4F80"/>
    <w:rsid w:val="000E2924"/>
    <w:rsid w:val="00125498"/>
    <w:rsid w:val="00183BED"/>
    <w:rsid w:val="001C6FB1"/>
    <w:rsid w:val="002A0801"/>
    <w:rsid w:val="002C0BA5"/>
    <w:rsid w:val="002C4901"/>
    <w:rsid w:val="00354F9E"/>
    <w:rsid w:val="00372AEA"/>
    <w:rsid w:val="003911CA"/>
    <w:rsid w:val="003F197D"/>
    <w:rsid w:val="00442FF7"/>
    <w:rsid w:val="0047540C"/>
    <w:rsid w:val="0051575D"/>
    <w:rsid w:val="00572CF2"/>
    <w:rsid w:val="005E233F"/>
    <w:rsid w:val="005F5C63"/>
    <w:rsid w:val="006636DA"/>
    <w:rsid w:val="006F6CE7"/>
    <w:rsid w:val="00711D35"/>
    <w:rsid w:val="0075774F"/>
    <w:rsid w:val="0079679B"/>
    <w:rsid w:val="00800E53"/>
    <w:rsid w:val="00935317"/>
    <w:rsid w:val="00956601"/>
    <w:rsid w:val="009F0C11"/>
    <w:rsid w:val="00A73CE6"/>
    <w:rsid w:val="00AD13EC"/>
    <w:rsid w:val="00B1742C"/>
    <w:rsid w:val="00B5386F"/>
    <w:rsid w:val="00B567DE"/>
    <w:rsid w:val="00B7479F"/>
    <w:rsid w:val="00C70B7E"/>
    <w:rsid w:val="00C727BA"/>
    <w:rsid w:val="00C759BC"/>
    <w:rsid w:val="00D44A03"/>
    <w:rsid w:val="00D75CD5"/>
    <w:rsid w:val="00D956CD"/>
    <w:rsid w:val="00DC459F"/>
    <w:rsid w:val="00DD7024"/>
    <w:rsid w:val="00F758A8"/>
    <w:rsid w:val="00F942A9"/>
    <w:rsid w:val="00FC7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7D81"/>
  <w15:chartTrackingRefBased/>
  <w15:docId w15:val="{15CCBD6B-6B53-4C1C-A559-04EEA942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540C"/>
    <w:pPr>
      <w:keepNext/>
      <w:keepLines/>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0C11"/>
    <w:pPr>
      <w:ind w:left="720"/>
      <w:contextualSpacing/>
    </w:pPr>
  </w:style>
  <w:style w:type="character" w:customStyle="1" w:styleId="Titre1Car">
    <w:name w:val="Titre 1 Car"/>
    <w:basedOn w:val="Policepardfaut"/>
    <w:link w:val="Titre1"/>
    <w:uiPriority w:val="9"/>
    <w:rsid w:val="0047540C"/>
    <w:rPr>
      <w:rFonts w:asciiTheme="majorHAnsi" w:eastAsiaTheme="majorEastAsia" w:hAnsiTheme="majorHAnsi" w:cstheme="majorBidi"/>
      <w:b/>
      <w:color w:val="2E74B5" w:themeColor="accent1" w:themeShade="BF"/>
      <w:sz w:val="32"/>
      <w:szCs w:val="32"/>
    </w:rPr>
  </w:style>
  <w:style w:type="table" w:styleId="Grilledutableau">
    <w:name w:val="Table Grid"/>
    <w:basedOn w:val="TableauNormal"/>
    <w:uiPriority w:val="39"/>
    <w:rsid w:val="0047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2C49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2C49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2C49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2">
    <w:name w:val="Grid Table 5 Dark Accent 2"/>
    <w:basedOn w:val="TableauNormal"/>
    <w:uiPriority w:val="50"/>
    <w:rsid w:val="002C4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DefaultParagraphFontParaCharCarCarCarCarCarCarCarCarCarCarCarCarCarCar">
    <w:name w:val="Default Paragraph Font Para Char Car Car Car Car Car Car Car Car Car Car Car Car Car Car"/>
    <w:basedOn w:val="Normal"/>
    <w:rsid w:val="000A37A4"/>
    <w:pPr>
      <w:spacing w:line="240" w:lineRule="exact"/>
    </w:pPr>
    <w:rPr>
      <w:rFonts w:ascii="Trebuchet MS" w:eastAsia="Times New Roman" w:hAnsi="Trebuchet MS" w:cs="Trebuchet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613647">
      <w:bodyDiv w:val="1"/>
      <w:marLeft w:val="0"/>
      <w:marRight w:val="0"/>
      <w:marTop w:val="0"/>
      <w:marBottom w:val="0"/>
      <w:divBdr>
        <w:top w:val="none" w:sz="0" w:space="0" w:color="auto"/>
        <w:left w:val="none" w:sz="0" w:space="0" w:color="auto"/>
        <w:bottom w:val="none" w:sz="0" w:space="0" w:color="auto"/>
        <w:right w:val="none" w:sz="0" w:space="0" w:color="auto"/>
      </w:divBdr>
      <w:divsChild>
        <w:div w:id="2068608280">
          <w:marLeft w:val="0"/>
          <w:marRight w:val="0"/>
          <w:marTop w:val="0"/>
          <w:marBottom w:val="0"/>
          <w:divBdr>
            <w:top w:val="none" w:sz="0" w:space="0" w:color="auto"/>
            <w:left w:val="none" w:sz="0" w:space="0" w:color="auto"/>
            <w:bottom w:val="none" w:sz="0" w:space="0" w:color="auto"/>
            <w:right w:val="none" w:sz="0" w:space="0" w:color="auto"/>
          </w:divBdr>
          <w:divsChild>
            <w:div w:id="1991664797">
              <w:marLeft w:val="0"/>
              <w:marRight w:val="0"/>
              <w:marTop w:val="0"/>
              <w:marBottom w:val="0"/>
              <w:divBdr>
                <w:top w:val="none" w:sz="0" w:space="0" w:color="auto"/>
                <w:left w:val="none" w:sz="0" w:space="0" w:color="auto"/>
                <w:bottom w:val="none" w:sz="0" w:space="0" w:color="auto"/>
                <w:right w:val="none" w:sz="0" w:space="0" w:color="auto"/>
              </w:divBdr>
              <w:divsChild>
                <w:div w:id="1333608419">
                  <w:marLeft w:val="0"/>
                  <w:marRight w:val="0"/>
                  <w:marTop w:val="0"/>
                  <w:marBottom w:val="0"/>
                  <w:divBdr>
                    <w:top w:val="none" w:sz="0" w:space="0" w:color="auto"/>
                    <w:left w:val="none" w:sz="0" w:space="0" w:color="auto"/>
                    <w:bottom w:val="none" w:sz="0" w:space="0" w:color="auto"/>
                    <w:right w:val="none" w:sz="0" w:space="0" w:color="auto"/>
                  </w:divBdr>
                  <w:divsChild>
                    <w:div w:id="2139637393">
                      <w:marLeft w:val="0"/>
                      <w:marRight w:val="0"/>
                      <w:marTop w:val="0"/>
                      <w:marBottom w:val="0"/>
                      <w:divBdr>
                        <w:top w:val="none" w:sz="0" w:space="0" w:color="auto"/>
                        <w:left w:val="none" w:sz="0" w:space="0" w:color="auto"/>
                        <w:bottom w:val="none" w:sz="0" w:space="0" w:color="auto"/>
                        <w:right w:val="none" w:sz="0" w:space="0" w:color="auto"/>
                      </w:divBdr>
                      <w:divsChild>
                        <w:div w:id="225989925">
                          <w:marLeft w:val="0"/>
                          <w:marRight w:val="0"/>
                          <w:marTop w:val="0"/>
                          <w:marBottom w:val="0"/>
                          <w:divBdr>
                            <w:top w:val="none" w:sz="0" w:space="0" w:color="auto"/>
                            <w:left w:val="none" w:sz="0" w:space="0" w:color="auto"/>
                            <w:bottom w:val="none" w:sz="0" w:space="0" w:color="auto"/>
                            <w:right w:val="none" w:sz="0" w:space="0" w:color="auto"/>
                          </w:divBdr>
                          <w:divsChild>
                            <w:div w:id="353968251">
                              <w:marLeft w:val="0"/>
                              <w:marRight w:val="0"/>
                              <w:marTop w:val="0"/>
                              <w:marBottom w:val="0"/>
                              <w:divBdr>
                                <w:top w:val="none" w:sz="0" w:space="0" w:color="auto"/>
                                <w:left w:val="none" w:sz="0" w:space="0" w:color="auto"/>
                                <w:bottom w:val="none" w:sz="0" w:space="0" w:color="auto"/>
                                <w:right w:val="none" w:sz="0" w:space="0" w:color="auto"/>
                              </w:divBdr>
                              <w:divsChild>
                                <w:div w:id="1072393214">
                                  <w:marLeft w:val="0"/>
                                  <w:marRight w:val="0"/>
                                  <w:marTop w:val="0"/>
                                  <w:marBottom w:val="0"/>
                                  <w:divBdr>
                                    <w:top w:val="none" w:sz="0" w:space="0" w:color="auto"/>
                                    <w:left w:val="none" w:sz="0" w:space="0" w:color="auto"/>
                                    <w:bottom w:val="none" w:sz="0" w:space="0" w:color="auto"/>
                                    <w:right w:val="none" w:sz="0" w:space="0" w:color="auto"/>
                                  </w:divBdr>
                                  <w:divsChild>
                                    <w:div w:id="64912865">
                                      <w:marLeft w:val="0"/>
                                      <w:marRight w:val="0"/>
                                      <w:marTop w:val="0"/>
                                      <w:marBottom w:val="0"/>
                                      <w:divBdr>
                                        <w:top w:val="none" w:sz="0" w:space="0" w:color="auto"/>
                                        <w:left w:val="none" w:sz="0" w:space="0" w:color="auto"/>
                                        <w:bottom w:val="none" w:sz="0" w:space="0" w:color="auto"/>
                                        <w:right w:val="none" w:sz="0" w:space="0" w:color="auto"/>
                                      </w:divBdr>
                                      <w:divsChild>
                                        <w:div w:id="1834833983">
                                          <w:marLeft w:val="0"/>
                                          <w:marRight w:val="0"/>
                                          <w:marTop w:val="0"/>
                                          <w:marBottom w:val="0"/>
                                          <w:divBdr>
                                            <w:top w:val="none" w:sz="0" w:space="0" w:color="auto"/>
                                            <w:left w:val="none" w:sz="0" w:space="0" w:color="auto"/>
                                            <w:bottom w:val="none" w:sz="0" w:space="0" w:color="auto"/>
                                            <w:right w:val="none" w:sz="0" w:space="0" w:color="auto"/>
                                          </w:divBdr>
                                          <w:divsChild>
                                            <w:div w:id="914556631">
                                              <w:marLeft w:val="0"/>
                                              <w:marRight w:val="0"/>
                                              <w:marTop w:val="0"/>
                                              <w:marBottom w:val="0"/>
                                              <w:divBdr>
                                                <w:top w:val="single" w:sz="12" w:space="2" w:color="FFFFCC"/>
                                                <w:left w:val="single" w:sz="12" w:space="2" w:color="FFFFCC"/>
                                                <w:bottom w:val="single" w:sz="12" w:space="2" w:color="FFFFCC"/>
                                                <w:right w:val="single" w:sz="12" w:space="0" w:color="FFFFCC"/>
                                              </w:divBdr>
                                              <w:divsChild>
                                                <w:div w:id="1491948771">
                                                  <w:marLeft w:val="0"/>
                                                  <w:marRight w:val="0"/>
                                                  <w:marTop w:val="0"/>
                                                  <w:marBottom w:val="0"/>
                                                  <w:divBdr>
                                                    <w:top w:val="none" w:sz="0" w:space="0" w:color="auto"/>
                                                    <w:left w:val="none" w:sz="0" w:space="0" w:color="auto"/>
                                                    <w:bottom w:val="none" w:sz="0" w:space="0" w:color="auto"/>
                                                    <w:right w:val="none" w:sz="0" w:space="0" w:color="auto"/>
                                                  </w:divBdr>
                                                  <w:divsChild>
                                                    <w:div w:id="909778475">
                                                      <w:marLeft w:val="0"/>
                                                      <w:marRight w:val="0"/>
                                                      <w:marTop w:val="0"/>
                                                      <w:marBottom w:val="0"/>
                                                      <w:divBdr>
                                                        <w:top w:val="none" w:sz="0" w:space="0" w:color="auto"/>
                                                        <w:left w:val="none" w:sz="0" w:space="0" w:color="auto"/>
                                                        <w:bottom w:val="none" w:sz="0" w:space="0" w:color="auto"/>
                                                        <w:right w:val="none" w:sz="0" w:space="0" w:color="auto"/>
                                                      </w:divBdr>
                                                      <w:divsChild>
                                                        <w:div w:id="1445953236">
                                                          <w:marLeft w:val="0"/>
                                                          <w:marRight w:val="0"/>
                                                          <w:marTop w:val="0"/>
                                                          <w:marBottom w:val="0"/>
                                                          <w:divBdr>
                                                            <w:top w:val="none" w:sz="0" w:space="0" w:color="auto"/>
                                                            <w:left w:val="none" w:sz="0" w:space="0" w:color="auto"/>
                                                            <w:bottom w:val="none" w:sz="0" w:space="0" w:color="auto"/>
                                                            <w:right w:val="none" w:sz="0" w:space="0" w:color="auto"/>
                                                          </w:divBdr>
                                                          <w:divsChild>
                                                            <w:div w:id="2020042101">
                                                              <w:marLeft w:val="0"/>
                                                              <w:marRight w:val="0"/>
                                                              <w:marTop w:val="0"/>
                                                              <w:marBottom w:val="0"/>
                                                              <w:divBdr>
                                                                <w:top w:val="none" w:sz="0" w:space="0" w:color="auto"/>
                                                                <w:left w:val="none" w:sz="0" w:space="0" w:color="auto"/>
                                                                <w:bottom w:val="none" w:sz="0" w:space="0" w:color="auto"/>
                                                                <w:right w:val="none" w:sz="0" w:space="0" w:color="auto"/>
                                                              </w:divBdr>
                                                              <w:divsChild>
                                                                <w:div w:id="382563339">
                                                                  <w:marLeft w:val="0"/>
                                                                  <w:marRight w:val="0"/>
                                                                  <w:marTop w:val="0"/>
                                                                  <w:marBottom w:val="0"/>
                                                                  <w:divBdr>
                                                                    <w:top w:val="none" w:sz="0" w:space="0" w:color="auto"/>
                                                                    <w:left w:val="none" w:sz="0" w:space="0" w:color="auto"/>
                                                                    <w:bottom w:val="none" w:sz="0" w:space="0" w:color="auto"/>
                                                                    <w:right w:val="none" w:sz="0" w:space="0" w:color="auto"/>
                                                                  </w:divBdr>
                                                                  <w:divsChild>
                                                                    <w:div w:id="822770214">
                                                                      <w:marLeft w:val="0"/>
                                                                      <w:marRight w:val="0"/>
                                                                      <w:marTop w:val="0"/>
                                                                      <w:marBottom w:val="0"/>
                                                                      <w:divBdr>
                                                                        <w:top w:val="none" w:sz="0" w:space="0" w:color="auto"/>
                                                                        <w:left w:val="none" w:sz="0" w:space="0" w:color="auto"/>
                                                                        <w:bottom w:val="none" w:sz="0" w:space="0" w:color="auto"/>
                                                                        <w:right w:val="none" w:sz="0" w:space="0" w:color="auto"/>
                                                                      </w:divBdr>
                                                                      <w:divsChild>
                                                                        <w:div w:id="1732655800">
                                                                          <w:marLeft w:val="0"/>
                                                                          <w:marRight w:val="0"/>
                                                                          <w:marTop w:val="0"/>
                                                                          <w:marBottom w:val="0"/>
                                                                          <w:divBdr>
                                                                            <w:top w:val="none" w:sz="0" w:space="0" w:color="auto"/>
                                                                            <w:left w:val="none" w:sz="0" w:space="0" w:color="auto"/>
                                                                            <w:bottom w:val="none" w:sz="0" w:space="0" w:color="auto"/>
                                                                            <w:right w:val="none" w:sz="0" w:space="0" w:color="auto"/>
                                                                          </w:divBdr>
                                                                          <w:divsChild>
                                                                            <w:div w:id="1733849686">
                                                                              <w:marLeft w:val="0"/>
                                                                              <w:marRight w:val="0"/>
                                                                              <w:marTop w:val="0"/>
                                                                              <w:marBottom w:val="0"/>
                                                                              <w:divBdr>
                                                                                <w:top w:val="none" w:sz="0" w:space="0" w:color="auto"/>
                                                                                <w:left w:val="none" w:sz="0" w:space="0" w:color="auto"/>
                                                                                <w:bottom w:val="none" w:sz="0" w:space="0" w:color="auto"/>
                                                                                <w:right w:val="none" w:sz="0" w:space="0" w:color="auto"/>
                                                                              </w:divBdr>
                                                                              <w:divsChild>
                                                                                <w:div w:id="894389593">
                                                                                  <w:marLeft w:val="0"/>
                                                                                  <w:marRight w:val="0"/>
                                                                                  <w:marTop w:val="0"/>
                                                                                  <w:marBottom w:val="0"/>
                                                                                  <w:divBdr>
                                                                                    <w:top w:val="none" w:sz="0" w:space="0" w:color="auto"/>
                                                                                    <w:left w:val="none" w:sz="0" w:space="0" w:color="auto"/>
                                                                                    <w:bottom w:val="none" w:sz="0" w:space="0" w:color="auto"/>
                                                                                    <w:right w:val="none" w:sz="0" w:space="0" w:color="auto"/>
                                                                                  </w:divBdr>
                                                                                  <w:divsChild>
                                                                                    <w:div w:id="1200626611">
                                                                                      <w:marLeft w:val="0"/>
                                                                                      <w:marRight w:val="0"/>
                                                                                      <w:marTop w:val="0"/>
                                                                                      <w:marBottom w:val="0"/>
                                                                                      <w:divBdr>
                                                                                        <w:top w:val="none" w:sz="0" w:space="0" w:color="auto"/>
                                                                                        <w:left w:val="none" w:sz="0" w:space="0" w:color="auto"/>
                                                                                        <w:bottom w:val="none" w:sz="0" w:space="0" w:color="auto"/>
                                                                                        <w:right w:val="none" w:sz="0" w:space="0" w:color="auto"/>
                                                                                      </w:divBdr>
                                                                                      <w:divsChild>
                                                                                        <w:div w:id="1029375872">
                                                                                          <w:marLeft w:val="0"/>
                                                                                          <w:marRight w:val="120"/>
                                                                                          <w:marTop w:val="0"/>
                                                                                          <w:marBottom w:val="150"/>
                                                                                          <w:divBdr>
                                                                                            <w:top w:val="single" w:sz="2" w:space="0" w:color="EFEFEF"/>
                                                                                            <w:left w:val="single" w:sz="6" w:space="0" w:color="EFEFEF"/>
                                                                                            <w:bottom w:val="single" w:sz="6" w:space="0" w:color="E2E2E2"/>
                                                                                            <w:right w:val="single" w:sz="6" w:space="0" w:color="EFEFEF"/>
                                                                                          </w:divBdr>
                                                                                          <w:divsChild>
                                                                                            <w:div w:id="790633475">
                                                                                              <w:marLeft w:val="0"/>
                                                                                              <w:marRight w:val="0"/>
                                                                                              <w:marTop w:val="0"/>
                                                                                              <w:marBottom w:val="0"/>
                                                                                              <w:divBdr>
                                                                                                <w:top w:val="none" w:sz="0" w:space="0" w:color="auto"/>
                                                                                                <w:left w:val="none" w:sz="0" w:space="0" w:color="auto"/>
                                                                                                <w:bottom w:val="none" w:sz="0" w:space="0" w:color="auto"/>
                                                                                                <w:right w:val="none" w:sz="0" w:space="0" w:color="auto"/>
                                                                                              </w:divBdr>
                                                                                              <w:divsChild>
                                                                                                <w:div w:id="809638074">
                                                                                                  <w:marLeft w:val="0"/>
                                                                                                  <w:marRight w:val="0"/>
                                                                                                  <w:marTop w:val="0"/>
                                                                                                  <w:marBottom w:val="0"/>
                                                                                                  <w:divBdr>
                                                                                                    <w:top w:val="none" w:sz="0" w:space="0" w:color="auto"/>
                                                                                                    <w:left w:val="none" w:sz="0" w:space="0" w:color="auto"/>
                                                                                                    <w:bottom w:val="none" w:sz="0" w:space="0" w:color="auto"/>
                                                                                                    <w:right w:val="none" w:sz="0" w:space="0" w:color="auto"/>
                                                                                                  </w:divBdr>
                                                                                                  <w:divsChild>
                                                                                                    <w:div w:id="470755866">
                                                                                                      <w:marLeft w:val="0"/>
                                                                                                      <w:marRight w:val="0"/>
                                                                                                      <w:marTop w:val="0"/>
                                                                                                      <w:marBottom w:val="0"/>
                                                                                                      <w:divBdr>
                                                                                                        <w:top w:val="none" w:sz="0" w:space="0" w:color="auto"/>
                                                                                                        <w:left w:val="none" w:sz="0" w:space="0" w:color="auto"/>
                                                                                                        <w:bottom w:val="none" w:sz="0" w:space="0" w:color="auto"/>
                                                                                                        <w:right w:val="none" w:sz="0" w:space="0" w:color="auto"/>
                                                                                                      </w:divBdr>
                                                                                                      <w:divsChild>
                                                                                                        <w:div w:id="1225877152">
                                                                                                          <w:marLeft w:val="0"/>
                                                                                                          <w:marRight w:val="0"/>
                                                                                                          <w:marTop w:val="0"/>
                                                                                                          <w:marBottom w:val="0"/>
                                                                                                          <w:divBdr>
                                                                                                            <w:top w:val="single" w:sz="6" w:space="0" w:color="E5E5E5"/>
                                                                                                            <w:left w:val="none" w:sz="0" w:space="0" w:color="auto"/>
                                                                                                            <w:bottom w:val="none" w:sz="0" w:space="0" w:color="auto"/>
                                                                                                            <w:right w:val="none" w:sz="0" w:space="0" w:color="auto"/>
                                                                                                          </w:divBdr>
                                                                                                          <w:divsChild>
                                                                                                            <w:div w:id="85733348">
                                                                                                              <w:marLeft w:val="0"/>
                                                                                                              <w:marRight w:val="0"/>
                                                                                                              <w:marTop w:val="0"/>
                                                                                                              <w:marBottom w:val="0"/>
                                                                                                              <w:divBdr>
                                                                                                                <w:top w:val="single" w:sz="6" w:space="9" w:color="D8D8D8"/>
                                                                                                                <w:left w:val="none" w:sz="0" w:space="0" w:color="auto"/>
                                                                                                                <w:bottom w:val="none" w:sz="0" w:space="0" w:color="auto"/>
                                                                                                                <w:right w:val="none" w:sz="0" w:space="0" w:color="auto"/>
                                                                                                              </w:divBdr>
                                                                                                              <w:divsChild>
                                                                                                                <w:div w:id="502938061">
                                                                                                                  <w:marLeft w:val="0"/>
                                                                                                                  <w:marRight w:val="0"/>
                                                                                                                  <w:marTop w:val="0"/>
                                                                                                                  <w:marBottom w:val="0"/>
                                                                                                                  <w:divBdr>
                                                                                                                    <w:top w:val="none" w:sz="0" w:space="0" w:color="auto"/>
                                                                                                                    <w:left w:val="none" w:sz="0" w:space="0" w:color="auto"/>
                                                                                                                    <w:bottom w:val="none" w:sz="0" w:space="0" w:color="auto"/>
                                                                                                                    <w:right w:val="none" w:sz="0" w:space="0" w:color="auto"/>
                                                                                                                  </w:divBdr>
                                                                                                                  <w:divsChild>
                                                                                                                    <w:div w:id="186141735">
                                                                                                                      <w:marLeft w:val="0"/>
                                                                                                                      <w:marRight w:val="0"/>
                                                                                                                      <w:marTop w:val="0"/>
                                                                                                                      <w:marBottom w:val="0"/>
                                                                                                                      <w:divBdr>
                                                                                                                        <w:top w:val="none" w:sz="0" w:space="0" w:color="auto"/>
                                                                                                                        <w:left w:val="none" w:sz="0" w:space="0" w:color="auto"/>
                                                                                                                        <w:bottom w:val="none" w:sz="0" w:space="0" w:color="auto"/>
                                                                                                                        <w:right w:val="none" w:sz="0" w:space="0" w:color="auto"/>
                                                                                                                      </w:divBdr>
                                                                                                                      <w:divsChild>
                                                                                                                        <w:div w:id="1095902534">
                                                                                                                          <w:marLeft w:val="0"/>
                                                                                                                          <w:marRight w:val="0"/>
                                                                                                                          <w:marTop w:val="0"/>
                                                                                                                          <w:marBottom w:val="0"/>
                                                                                                                          <w:divBdr>
                                                                                                                            <w:top w:val="none" w:sz="0" w:space="0" w:color="auto"/>
                                                                                                                            <w:left w:val="none" w:sz="0" w:space="0" w:color="auto"/>
                                                                                                                            <w:bottom w:val="none" w:sz="0" w:space="0" w:color="auto"/>
                                                                                                                            <w:right w:val="none" w:sz="0" w:space="0" w:color="auto"/>
                                                                                                                          </w:divBdr>
                                                                                                                          <w:divsChild>
                                                                                                                            <w:div w:id="1240017539">
                                                                                                                              <w:marLeft w:val="-6000"/>
                                                                                                                              <w:marRight w:val="0"/>
                                                                                                                              <w:marTop w:val="0"/>
                                                                                                                              <w:marBottom w:val="135"/>
                                                                                                                              <w:divBdr>
                                                                                                                                <w:top w:val="none" w:sz="0" w:space="0" w:color="auto"/>
                                                                                                                                <w:left w:val="none" w:sz="0" w:space="0" w:color="auto"/>
                                                                                                                                <w:bottom w:val="single" w:sz="6" w:space="0" w:color="E5E5E5"/>
                                                                                                                                <w:right w:val="none" w:sz="0" w:space="0" w:color="auto"/>
                                                                                                                              </w:divBdr>
                                                                                                                              <w:divsChild>
                                                                                                                                <w:div w:id="1832600789">
                                                                                                                                  <w:marLeft w:val="0"/>
                                                                                                                                  <w:marRight w:val="0"/>
                                                                                                                                  <w:marTop w:val="0"/>
                                                                                                                                  <w:marBottom w:val="0"/>
                                                                                                                                  <w:divBdr>
                                                                                                                                    <w:top w:val="none" w:sz="0" w:space="0" w:color="auto"/>
                                                                                                                                    <w:left w:val="none" w:sz="0" w:space="0" w:color="auto"/>
                                                                                                                                    <w:bottom w:val="none" w:sz="0" w:space="0" w:color="auto"/>
                                                                                                                                    <w:right w:val="none" w:sz="0" w:space="0" w:color="auto"/>
                                                                                                                                  </w:divBdr>
                                                                                                                                  <w:divsChild>
                                                                                                                                    <w:div w:id="266425319">
                                                                                                                                      <w:marLeft w:val="0"/>
                                                                                                                                      <w:marRight w:val="0"/>
                                                                                                                                      <w:marTop w:val="0"/>
                                                                                                                                      <w:marBottom w:val="0"/>
                                                                                                                                      <w:divBdr>
                                                                                                                                        <w:top w:val="none" w:sz="0" w:space="0" w:color="auto"/>
                                                                                                                                        <w:left w:val="none" w:sz="0" w:space="0" w:color="auto"/>
                                                                                                                                        <w:bottom w:val="none" w:sz="0" w:space="0" w:color="auto"/>
                                                                                                                                        <w:right w:val="none" w:sz="0" w:space="0" w:color="auto"/>
                                                                                                                                      </w:divBdr>
                                                                                                                                      <w:divsChild>
                                                                                                                                        <w:div w:id="1664116113">
                                                                                                                                          <w:marLeft w:val="0"/>
                                                                                                                                          <w:marRight w:val="0"/>
                                                                                                                                          <w:marTop w:val="0"/>
                                                                                                                                          <w:marBottom w:val="0"/>
                                                                                                                                          <w:divBdr>
                                                                                                                                            <w:top w:val="none" w:sz="0" w:space="0" w:color="auto"/>
                                                                                                                                            <w:left w:val="none" w:sz="0" w:space="0" w:color="auto"/>
                                                                                                                                            <w:bottom w:val="none" w:sz="0" w:space="0" w:color="auto"/>
                                                                                                                                            <w:right w:val="none" w:sz="0" w:space="0" w:color="auto"/>
                                                                                                                                          </w:divBdr>
                                                                                                                                          <w:divsChild>
                                                                                                                                            <w:div w:id="68620001">
                                                                                                                                              <w:marLeft w:val="0"/>
                                                                                                                                              <w:marRight w:val="0"/>
                                                                                                                                              <w:marTop w:val="0"/>
                                                                                                                                              <w:marBottom w:val="0"/>
                                                                                                                                              <w:divBdr>
                                                                                                                                                <w:top w:val="single" w:sz="6" w:space="0" w:color="666666"/>
                                                                                                                                                <w:left w:val="single" w:sz="6" w:space="0" w:color="CCCCCC"/>
                                                                                                                                                <w:bottom w:val="single" w:sz="6" w:space="0" w:color="CCCCCC"/>
                                                                                                                                                <w:right w:val="single" w:sz="6" w:space="0" w:color="CCCCCC"/>
                                                                                                                                              </w:divBdr>
                                                                                                                                              <w:divsChild>
                                                                                                                                                <w:div w:id="1015567">
                                                                                                                                                  <w:marLeft w:val="30"/>
                                                                                                                                                  <w:marRight w:val="0"/>
                                                                                                                                                  <w:marTop w:val="0"/>
                                                                                                                                                  <w:marBottom w:val="0"/>
                                                                                                                                                  <w:divBdr>
                                                                                                                                                    <w:top w:val="none" w:sz="0" w:space="0" w:color="auto"/>
                                                                                                                                                    <w:left w:val="none" w:sz="0" w:space="0" w:color="auto"/>
                                                                                                                                                    <w:bottom w:val="none" w:sz="0" w:space="0" w:color="auto"/>
                                                                                                                                                    <w:right w:val="none" w:sz="0" w:space="0" w:color="auto"/>
                                                                                                                                                  </w:divBdr>
                                                                                                                                                  <w:divsChild>
                                                                                                                                                    <w:div w:id="1888183652">
                                                                                                                                                      <w:marLeft w:val="0"/>
                                                                                                                                                      <w:marRight w:val="0"/>
                                                                                                                                                      <w:marTop w:val="0"/>
                                                                                                                                                      <w:marBottom w:val="0"/>
                                                                                                                                                      <w:divBdr>
                                                                                                                                                        <w:top w:val="none" w:sz="0" w:space="0" w:color="auto"/>
                                                                                                                                                        <w:left w:val="none" w:sz="0" w:space="0" w:color="auto"/>
                                                                                                                                                        <w:bottom w:val="none" w:sz="0" w:space="0" w:color="auto"/>
                                                                                                                                                        <w:right w:val="none" w:sz="0" w:space="0" w:color="auto"/>
                                                                                                                                                      </w:divBdr>
                                                                                                                                                    </w:div>
                                                                                                                                                    <w:div w:id="11502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592</Words>
  <Characters>3256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dc:creator>
  <cp:keywords/>
  <dc:description/>
  <cp:lastModifiedBy>jsalv</cp:lastModifiedBy>
  <cp:revision>7</cp:revision>
  <dcterms:created xsi:type="dcterms:W3CDTF">2016-03-10T12:23:00Z</dcterms:created>
  <dcterms:modified xsi:type="dcterms:W3CDTF">2016-05-11T11:35:00Z</dcterms:modified>
</cp:coreProperties>
</file>