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41C08" w14:textId="72CD66C3" w:rsidR="009F0C11" w:rsidRDefault="00F30B8B"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 xml:space="preserve">Scintigraphie </w:t>
      </w:r>
      <w:r w:rsidR="006B70A5">
        <w:rPr>
          <w:rFonts w:ascii="Freestyle Script" w:hAnsi="Freestyle Script" w:cs="Arial"/>
          <w:sz w:val="56"/>
          <w:szCs w:val="56"/>
        </w:rPr>
        <w:t xml:space="preserve">des </w:t>
      </w:r>
      <w:r w:rsidR="00555A6A">
        <w:rPr>
          <w:rFonts w:ascii="Freestyle Script" w:hAnsi="Freestyle Script" w:cs="Arial"/>
          <w:sz w:val="56"/>
          <w:szCs w:val="56"/>
        </w:rPr>
        <w:t>récepteurs de la somatostatine (OCTREOSCAN)</w:t>
      </w:r>
    </w:p>
    <w:p w14:paraId="4134E40D" w14:textId="7B7EECC3" w:rsidR="00555A6A" w:rsidRPr="00555A6A" w:rsidRDefault="006B70A5" w:rsidP="006927EF">
      <w:pPr>
        <w:pStyle w:val="Paragraphedeliste"/>
        <w:numPr>
          <w:ilvl w:val="0"/>
          <w:numId w:val="1"/>
        </w:numPr>
        <w:spacing w:after="120" w:line="240" w:lineRule="auto"/>
        <w:rPr>
          <w:rFonts w:asciiTheme="majorHAnsi" w:hAnsiTheme="majorHAnsi" w:cs="Arial"/>
          <w:b/>
          <w:color w:val="ED7D31" w:themeColor="accent2"/>
          <w:sz w:val="32"/>
          <w:szCs w:val="32"/>
        </w:rPr>
      </w:pPr>
      <w:r w:rsidRPr="006B70A5">
        <w:rPr>
          <w:rFonts w:asciiTheme="majorHAnsi" w:hAnsiTheme="majorHAnsi" w:cs="Arial"/>
          <w:b/>
          <w:color w:val="ED7D31" w:themeColor="accent2"/>
          <w:sz w:val="32"/>
          <w:szCs w:val="32"/>
        </w:rPr>
        <w:t>Principe</w:t>
      </w:r>
    </w:p>
    <w:p w14:paraId="1C20BC0C" w14:textId="4799F2D8" w:rsidR="006B70A5" w:rsidRDefault="00555A6A" w:rsidP="0070054A">
      <w:pPr>
        <w:spacing w:after="0" w:line="240" w:lineRule="auto"/>
        <w:jc w:val="both"/>
        <w:rPr>
          <w:rFonts w:cs="Arial"/>
          <w:sz w:val="20"/>
          <w:szCs w:val="20"/>
        </w:rPr>
      </w:pPr>
      <w:r w:rsidRPr="00555A6A">
        <w:rPr>
          <w:rFonts w:cs="Arial"/>
          <w:sz w:val="20"/>
          <w:szCs w:val="20"/>
        </w:rPr>
        <w:t xml:space="preserve">Ce guide ne concerne que l’111In </w:t>
      </w:r>
      <w:proofErr w:type="spellStart"/>
      <w:r w:rsidRPr="00555A6A">
        <w:rPr>
          <w:rFonts w:cs="Arial"/>
          <w:sz w:val="20"/>
          <w:szCs w:val="20"/>
        </w:rPr>
        <w:t>pentétréotide</w:t>
      </w:r>
      <w:proofErr w:type="spellEnd"/>
      <w:r w:rsidRPr="00555A6A">
        <w:rPr>
          <w:rFonts w:cs="Arial"/>
          <w:sz w:val="20"/>
          <w:szCs w:val="20"/>
        </w:rPr>
        <w:t xml:space="preserve"> qui est un 111In DTPA-D-</w:t>
      </w:r>
      <w:proofErr w:type="spellStart"/>
      <w:r w:rsidRPr="00555A6A">
        <w:rPr>
          <w:rFonts w:cs="Arial"/>
          <w:sz w:val="20"/>
          <w:szCs w:val="20"/>
        </w:rPr>
        <w:t>Phe</w:t>
      </w:r>
      <w:proofErr w:type="spellEnd"/>
      <w:r w:rsidRPr="00555A6A">
        <w:rPr>
          <w:rFonts w:cs="Arial"/>
          <w:sz w:val="20"/>
          <w:szCs w:val="20"/>
        </w:rPr>
        <w:t xml:space="preserve"> conjugué de l’</w:t>
      </w:r>
      <w:proofErr w:type="spellStart"/>
      <w:r w:rsidRPr="00555A6A">
        <w:rPr>
          <w:rFonts w:cs="Arial"/>
          <w:sz w:val="20"/>
          <w:szCs w:val="20"/>
        </w:rPr>
        <w:t>Octréotide</w:t>
      </w:r>
      <w:proofErr w:type="spellEnd"/>
      <w:r w:rsidRPr="00555A6A">
        <w:rPr>
          <w:rFonts w:cs="Arial"/>
          <w:sz w:val="20"/>
          <w:szCs w:val="20"/>
        </w:rPr>
        <w:t xml:space="preserve"> </w:t>
      </w:r>
      <w:proofErr w:type="gramStart"/>
      <w:r w:rsidRPr="00555A6A">
        <w:rPr>
          <w:rFonts w:cs="Arial"/>
          <w:sz w:val="20"/>
          <w:szCs w:val="20"/>
        </w:rPr>
        <w:t xml:space="preserve">( </w:t>
      </w:r>
      <w:proofErr w:type="spellStart"/>
      <w:r w:rsidRPr="00555A6A">
        <w:rPr>
          <w:rFonts w:cs="Arial"/>
          <w:sz w:val="20"/>
          <w:szCs w:val="20"/>
        </w:rPr>
        <w:t>Octréoscan</w:t>
      </w:r>
      <w:proofErr w:type="spellEnd"/>
      <w:proofErr w:type="gramEnd"/>
      <w:r w:rsidRPr="00555A6A">
        <w:rPr>
          <w:rFonts w:cs="Arial"/>
          <w:sz w:val="20"/>
          <w:szCs w:val="20"/>
        </w:rPr>
        <w:t>®) un analogue marqué de la somatostatine qui se lie de façon spécifique au niveau des récepteurs membranaires de la somatostatine</w:t>
      </w:r>
      <w:r>
        <w:rPr>
          <w:rFonts w:cs="Arial"/>
          <w:sz w:val="20"/>
          <w:szCs w:val="20"/>
        </w:rPr>
        <w:t>.</w:t>
      </w:r>
    </w:p>
    <w:p w14:paraId="78062959" w14:textId="07944E20" w:rsidR="005220C1" w:rsidRPr="006F408E" w:rsidRDefault="005220C1" w:rsidP="0070054A">
      <w:pPr>
        <w:spacing w:after="0" w:line="240" w:lineRule="auto"/>
        <w:jc w:val="both"/>
        <w:rPr>
          <w:rFonts w:cs="Arial"/>
          <w:b/>
        </w:rPr>
      </w:pPr>
      <w:r w:rsidRPr="006F408E">
        <w:rPr>
          <w:rFonts w:cs="Arial"/>
          <w:b/>
        </w:rPr>
        <w:t>Définition :</w:t>
      </w:r>
    </w:p>
    <w:p w14:paraId="5F85C37E" w14:textId="1899A090" w:rsidR="005220C1" w:rsidRDefault="005220C1" w:rsidP="0070054A">
      <w:pPr>
        <w:spacing w:after="0" w:line="240" w:lineRule="auto"/>
        <w:jc w:val="both"/>
        <w:rPr>
          <w:rFonts w:cs="Arial"/>
          <w:sz w:val="20"/>
          <w:szCs w:val="20"/>
        </w:rPr>
      </w:pPr>
      <w:r>
        <w:rPr>
          <w:rFonts w:cs="Arial"/>
          <w:b/>
          <w:sz w:val="20"/>
          <w:szCs w:val="20"/>
        </w:rPr>
        <w:t xml:space="preserve">Le cancer neuroendocrinien </w:t>
      </w:r>
      <w:r w:rsidRPr="005220C1">
        <w:rPr>
          <w:rFonts w:cs="Arial"/>
          <w:sz w:val="20"/>
          <w:szCs w:val="20"/>
        </w:rPr>
        <w:t>est une tumeur maligne qui prend naissance dans les cellules neuroendocrines.</w:t>
      </w:r>
    </w:p>
    <w:p w14:paraId="58B1640A" w14:textId="3D00B813" w:rsidR="005220C1" w:rsidRPr="005220C1" w:rsidRDefault="005220C1" w:rsidP="005220C1">
      <w:pPr>
        <w:spacing w:after="0" w:line="240" w:lineRule="auto"/>
        <w:rPr>
          <w:rFonts w:cs="Arial"/>
          <w:sz w:val="20"/>
          <w:szCs w:val="20"/>
        </w:rPr>
      </w:pPr>
      <w:r w:rsidRPr="005220C1">
        <w:rPr>
          <w:rFonts w:cs="Arial"/>
          <w:b/>
          <w:sz w:val="20"/>
          <w:szCs w:val="20"/>
        </w:rPr>
        <w:t>Les cellules neuroendocrines</w:t>
      </w:r>
      <w:r>
        <w:rPr>
          <w:rFonts w:cs="Arial"/>
          <w:sz w:val="20"/>
          <w:szCs w:val="20"/>
        </w:rPr>
        <w:t xml:space="preserve"> font partie du système neuroendocrinien diffus, qui est un réseau de cellule neuroendocrines </w:t>
      </w:r>
      <w:r w:rsidRPr="005220C1">
        <w:rPr>
          <w:rFonts w:cs="Arial"/>
          <w:sz w:val="20"/>
          <w:szCs w:val="20"/>
        </w:rPr>
        <w:t xml:space="preserve">dispersées dans tout le corps. Elles sont aussi présentes dans le système endocrinien : hypophyse, glande pinéale, glande thyroïde et parathyroïde, glandes surrénales, ilots pancréatiques. </w:t>
      </w:r>
      <w:r w:rsidRPr="005220C1">
        <w:rPr>
          <w:color w:val="000000"/>
          <w:sz w:val="20"/>
          <w:szCs w:val="20"/>
          <w:shd w:val="clear" w:color="auto" w:fill="FFFFFF"/>
        </w:rPr>
        <w:t>Les cellules neuroendocrines ont une s</w:t>
      </w:r>
      <w:r>
        <w:rPr>
          <w:color w:val="000000"/>
          <w:sz w:val="20"/>
          <w:szCs w:val="20"/>
          <w:shd w:val="clear" w:color="auto" w:fill="FFFFFF"/>
        </w:rPr>
        <w:t xml:space="preserve">tructure semblable à celles des </w:t>
      </w:r>
      <w:r w:rsidRPr="005220C1">
        <w:rPr>
          <w:color w:val="000000"/>
          <w:sz w:val="20"/>
          <w:szCs w:val="20"/>
          <w:shd w:val="clear" w:color="auto" w:fill="FFFFFF"/>
        </w:rPr>
        <w:t>c</w:t>
      </w:r>
      <w:r>
        <w:rPr>
          <w:color w:val="000000"/>
          <w:sz w:val="20"/>
          <w:szCs w:val="20"/>
          <w:shd w:val="clear" w:color="auto" w:fill="FFFFFF"/>
        </w:rPr>
        <w:t xml:space="preserve">ellules nerveuses, ou neurones. </w:t>
      </w:r>
      <w:r w:rsidRPr="005220C1">
        <w:rPr>
          <w:color w:val="000000"/>
          <w:sz w:val="20"/>
          <w:szCs w:val="20"/>
          <w:shd w:val="clear" w:color="auto" w:fill="FFFFFF"/>
        </w:rPr>
        <w:t>Tout comme les cellules endocrines, elles fabriquent des hormones.</w:t>
      </w:r>
    </w:p>
    <w:p w14:paraId="7CFD37BB" w14:textId="287A7F3A" w:rsidR="00D75CD5" w:rsidRDefault="00B74685" w:rsidP="006927EF">
      <w:pPr>
        <w:pStyle w:val="Titre1"/>
        <w:numPr>
          <w:ilvl w:val="0"/>
          <w:numId w:val="1"/>
        </w:numPr>
        <w:spacing w:after="0"/>
        <w:ind w:left="714" w:hanging="357"/>
        <w:rPr>
          <w:color w:val="ED7D31" w:themeColor="accent2"/>
        </w:rPr>
      </w:pPr>
      <w:r>
        <w:rPr>
          <w:color w:val="ED7D31" w:themeColor="accent2"/>
        </w:rPr>
        <w:t>Principales indications</w:t>
      </w:r>
      <w:r w:rsidR="006D3C6F">
        <w:rPr>
          <w:color w:val="ED7D31" w:themeColor="accent2"/>
        </w:rPr>
        <w:t xml:space="preserve"> et contres indications</w:t>
      </w:r>
    </w:p>
    <w:p w14:paraId="7E6F8A3D" w14:textId="489DA0A2" w:rsidR="006D3C6F" w:rsidRDefault="006D3C6F" w:rsidP="00C90D44">
      <w:pPr>
        <w:spacing w:after="0" w:line="240" w:lineRule="auto"/>
        <w:rPr>
          <w:b/>
          <w:sz w:val="24"/>
          <w:szCs w:val="24"/>
        </w:rPr>
      </w:pPr>
      <w:r w:rsidRPr="006D3C6F">
        <w:rPr>
          <w:b/>
          <w:sz w:val="24"/>
          <w:szCs w:val="24"/>
        </w:rPr>
        <w:t>Indication</w:t>
      </w:r>
      <w:r>
        <w:rPr>
          <w:b/>
          <w:sz w:val="24"/>
          <w:szCs w:val="24"/>
        </w:rPr>
        <w:t>s</w:t>
      </w:r>
    </w:p>
    <w:p w14:paraId="62283ED1" w14:textId="1945256A" w:rsidR="0070054A" w:rsidRPr="0070054A" w:rsidRDefault="0070054A" w:rsidP="0070054A">
      <w:pPr>
        <w:pStyle w:val="Paragraphedeliste"/>
        <w:numPr>
          <w:ilvl w:val="0"/>
          <w:numId w:val="7"/>
        </w:numPr>
        <w:spacing w:after="0" w:line="240" w:lineRule="auto"/>
        <w:rPr>
          <w:b/>
          <w:sz w:val="20"/>
          <w:szCs w:val="20"/>
        </w:rPr>
      </w:pPr>
      <w:r w:rsidRPr="0070054A">
        <w:rPr>
          <w:color w:val="000000"/>
          <w:sz w:val="20"/>
          <w:szCs w:val="20"/>
          <w:shd w:val="clear" w:color="auto" w:fill="FFFFFF"/>
        </w:rPr>
        <w:t>Recherche de lésions riches en récepteurs à la Somatostatine</w:t>
      </w:r>
    </w:p>
    <w:p w14:paraId="1D18356E" w14:textId="77777777" w:rsidR="00555A6A" w:rsidRPr="00FD3340" w:rsidRDefault="00555A6A" w:rsidP="006927EF">
      <w:pPr>
        <w:pStyle w:val="Paragraphedeliste"/>
        <w:numPr>
          <w:ilvl w:val="0"/>
          <w:numId w:val="7"/>
        </w:numPr>
        <w:spacing w:after="0" w:line="240" w:lineRule="auto"/>
        <w:rPr>
          <w:sz w:val="20"/>
          <w:szCs w:val="20"/>
        </w:rPr>
      </w:pPr>
      <w:r w:rsidRPr="00CB2BDB">
        <w:rPr>
          <w:sz w:val="20"/>
          <w:szCs w:val="20"/>
        </w:rPr>
        <w:t xml:space="preserve">Bilan des tumeurs </w:t>
      </w:r>
      <w:proofErr w:type="spellStart"/>
      <w:r w:rsidRPr="00CB2BDB">
        <w:rPr>
          <w:sz w:val="20"/>
          <w:szCs w:val="20"/>
        </w:rPr>
        <w:t>neuro-endocrines</w:t>
      </w:r>
      <w:proofErr w:type="spellEnd"/>
      <w:r w:rsidRPr="00CB2BDB">
        <w:rPr>
          <w:sz w:val="20"/>
          <w:szCs w:val="20"/>
        </w:rPr>
        <w:t xml:space="preserve">, et </w:t>
      </w:r>
      <w:r w:rsidRPr="00FD3340">
        <w:rPr>
          <w:sz w:val="20"/>
          <w:szCs w:val="20"/>
        </w:rPr>
        <w:t>en particulier des carcinoïdes (lésions primitives et localisations secondaires).</w:t>
      </w:r>
    </w:p>
    <w:p w14:paraId="5028733A" w14:textId="700F7C15" w:rsidR="006D3C6F" w:rsidRPr="006D3C6F" w:rsidRDefault="006D3C6F" w:rsidP="00C90D44">
      <w:pPr>
        <w:spacing w:after="0" w:line="240" w:lineRule="auto"/>
        <w:rPr>
          <w:b/>
          <w:sz w:val="24"/>
          <w:szCs w:val="24"/>
        </w:rPr>
      </w:pPr>
      <w:r>
        <w:rPr>
          <w:b/>
          <w:sz w:val="24"/>
          <w:szCs w:val="24"/>
        </w:rPr>
        <w:t xml:space="preserve">Contres </w:t>
      </w:r>
      <w:r w:rsidRPr="006D3C6F">
        <w:rPr>
          <w:b/>
          <w:sz w:val="24"/>
          <w:szCs w:val="24"/>
        </w:rPr>
        <w:t>Indications</w:t>
      </w:r>
    </w:p>
    <w:p w14:paraId="343D83A3" w14:textId="6784916A" w:rsidR="006D3C6F" w:rsidRDefault="006D3C6F" w:rsidP="006927EF">
      <w:pPr>
        <w:pStyle w:val="Paragraphedeliste"/>
        <w:numPr>
          <w:ilvl w:val="0"/>
          <w:numId w:val="2"/>
        </w:numPr>
        <w:spacing w:after="0" w:line="240" w:lineRule="auto"/>
        <w:rPr>
          <w:sz w:val="20"/>
          <w:szCs w:val="20"/>
        </w:rPr>
      </w:pPr>
      <w:r>
        <w:rPr>
          <w:sz w:val="20"/>
          <w:szCs w:val="20"/>
        </w:rPr>
        <w:t>Grossesse (relative)</w:t>
      </w:r>
    </w:p>
    <w:p w14:paraId="63CB854B" w14:textId="212FB5E7" w:rsidR="006D3C6F" w:rsidRPr="006D3C6F" w:rsidRDefault="00F30B8B" w:rsidP="006927EF">
      <w:pPr>
        <w:pStyle w:val="Paragraphedeliste"/>
        <w:numPr>
          <w:ilvl w:val="0"/>
          <w:numId w:val="2"/>
        </w:numPr>
        <w:spacing w:after="0" w:line="240" w:lineRule="auto"/>
        <w:rPr>
          <w:sz w:val="20"/>
          <w:szCs w:val="20"/>
        </w:rPr>
      </w:pPr>
      <w:r>
        <w:rPr>
          <w:sz w:val="20"/>
          <w:szCs w:val="20"/>
        </w:rPr>
        <w:t>Allaitement</w:t>
      </w:r>
    </w:p>
    <w:p w14:paraId="2EF1DA53" w14:textId="7FEF2FCC" w:rsidR="009F0C11" w:rsidRDefault="0047540C" w:rsidP="00916130">
      <w:pPr>
        <w:pStyle w:val="Titre1"/>
        <w:numPr>
          <w:ilvl w:val="0"/>
          <w:numId w:val="1"/>
        </w:numPr>
        <w:spacing w:after="0"/>
        <w:ind w:left="714" w:hanging="357"/>
        <w:rPr>
          <w:color w:val="ED7D31" w:themeColor="accent2"/>
        </w:rPr>
      </w:pPr>
      <w:proofErr w:type="spellStart"/>
      <w:r w:rsidRPr="00D44A03">
        <w:rPr>
          <w:color w:val="ED7D31" w:themeColor="accent2"/>
        </w:rPr>
        <w:t>Radiopharmaceutiques</w:t>
      </w:r>
      <w:proofErr w:type="spellEnd"/>
    </w:p>
    <w:p w14:paraId="1609B280" w14:textId="530276D7" w:rsidR="0087260F" w:rsidRPr="0087260F" w:rsidRDefault="0087260F" w:rsidP="00916130">
      <w:pPr>
        <w:spacing w:after="0" w:line="240" w:lineRule="auto"/>
      </w:pPr>
      <w:r w:rsidRPr="00E0384B">
        <w:rPr>
          <w:b/>
          <w:sz w:val="24"/>
          <w:szCs w:val="24"/>
        </w:rPr>
        <w:t>Caractéristiques physiques</w:t>
      </w:r>
      <w:r>
        <w:rPr>
          <w:b/>
          <w:sz w:val="24"/>
          <w:szCs w:val="24"/>
        </w:rPr>
        <w:t> :</w:t>
      </w:r>
    </w:p>
    <w:tbl>
      <w:tblPr>
        <w:tblStyle w:val="TableauGrille5Fonc-Accentuation2"/>
        <w:tblW w:w="10910" w:type="dxa"/>
        <w:tblLook w:val="04A0" w:firstRow="1" w:lastRow="0" w:firstColumn="1" w:lastColumn="0" w:noHBand="0" w:noVBand="1"/>
      </w:tblPr>
      <w:tblGrid>
        <w:gridCol w:w="1397"/>
        <w:gridCol w:w="3560"/>
        <w:gridCol w:w="2394"/>
        <w:gridCol w:w="866"/>
        <w:gridCol w:w="992"/>
        <w:gridCol w:w="1701"/>
      </w:tblGrid>
      <w:tr w:rsidR="0087260F" w:rsidRPr="002C4901" w14:paraId="0C03CB69" w14:textId="77777777" w:rsidTr="0055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B83FB4" w14:textId="77777777" w:rsidR="0087260F" w:rsidRPr="002C4901" w:rsidRDefault="0087260F" w:rsidP="00990230">
            <w:pPr>
              <w:jc w:val="center"/>
              <w:rPr>
                <w:sz w:val="20"/>
                <w:szCs w:val="20"/>
              </w:rPr>
            </w:pPr>
            <w:r w:rsidRPr="002C4901">
              <w:rPr>
                <w:sz w:val="20"/>
                <w:szCs w:val="20"/>
              </w:rPr>
              <w:t>Radionucléide</w:t>
            </w:r>
          </w:p>
        </w:tc>
        <w:tc>
          <w:tcPr>
            <w:tcW w:w="3560" w:type="dxa"/>
            <w:vAlign w:val="center"/>
          </w:tcPr>
          <w:p w14:paraId="6C70AA9D"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Production</w:t>
            </w:r>
          </w:p>
        </w:tc>
        <w:tc>
          <w:tcPr>
            <w:tcW w:w="2394" w:type="dxa"/>
            <w:vAlign w:val="center"/>
          </w:tcPr>
          <w:p w14:paraId="394E3B27"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866" w:type="dxa"/>
            <w:vAlign w:val="center"/>
          </w:tcPr>
          <w:p w14:paraId="09401339"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992" w:type="dxa"/>
            <w:vAlign w:val="center"/>
          </w:tcPr>
          <w:p w14:paraId="7A2E3331"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1701" w:type="dxa"/>
            <w:vAlign w:val="center"/>
          </w:tcPr>
          <w:p w14:paraId="596ED590"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87260F" w:rsidRPr="002C4901" w14:paraId="449365E5" w14:textId="77777777" w:rsidTr="0055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5C276E" w14:textId="0FDEEB45" w:rsidR="0087260F" w:rsidRPr="002C4901" w:rsidRDefault="00555A6A" w:rsidP="00990230">
            <w:pPr>
              <w:jc w:val="center"/>
              <w:rPr>
                <w:sz w:val="20"/>
                <w:szCs w:val="20"/>
                <w:vertAlign w:val="superscript"/>
              </w:rPr>
            </w:pPr>
            <w:r>
              <w:rPr>
                <w:sz w:val="20"/>
                <w:szCs w:val="20"/>
                <w:vertAlign w:val="superscript"/>
              </w:rPr>
              <w:t>111</w:t>
            </w:r>
            <w:r w:rsidR="0087260F" w:rsidRPr="00354F9E">
              <w:rPr>
                <w:sz w:val="20"/>
                <w:szCs w:val="20"/>
              </w:rPr>
              <w:t>I</w:t>
            </w:r>
            <w:r>
              <w:rPr>
                <w:sz w:val="20"/>
                <w:szCs w:val="20"/>
              </w:rPr>
              <w:t>n</w:t>
            </w:r>
          </w:p>
        </w:tc>
        <w:tc>
          <w:tcPr>
            <w:tcW w:w="3560" w:type="dxa"/>
            <w:vAlign w:val="center"/>
          </w:tcPr>
          <w:p w14:paraId="6109A964" w14:textId="77777777" w:rsidR="00B31221" w:rsidRDefault="00B31221" w:rsidP="00B312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Cyclotron</w:t>
            </w:r>
          </w:p>
          <w:p w14:paraId="64F56358" w14:textId="4AB4540B" w:rsidR="0087260F" w:rsidRPr="00183BED" w:rsidRDefault="00916130" w:rsidP="00B31221">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sPre>
                  <m:sPrePr>
                    <m:ctrlPr>
                      <w:rPr>
                        <w:rFonts w:ascii="Cambria Math" w:hAnsi="Cambria Math"/>
                        <w:i/>
                        <w:sz w:val="20"/>
                        <w:szCs w:val="20"/>
                      </w:rPr>
                    </m:ctrlPr>
                  </m:sPrePr>
                  <m:sub>
                    <m:r>
                      <w:rPr>
                        <w:rFonts w:ascii="Cambria Math" w:hAnsi="Cambria Math"/>
                        <w:sz w:val="20"/>
                        <w:szCs w:val="20"/>
                      </w:rPr>
                      <m:t>48</m:t>
                    </m:r>
                  </m:sub>
                  <m:sup>
                    <m:r>
                      <w:rPr>
                        <w:rFonts w:ascii="Cambria Math" w:hAnsi="Cambria Math"/>
                        <w:sz w:val="20"/>
                        <w:szCs w:val="20"/>
                      </w:rPr>
                      <m:t>112</m:t>
                    </m:r>
                  </m:sup>
                  <m:e>
                    <m:r>
                      <w:rPr>
                        <w:rFonts w:ascii="Cambria Math" w:hAnsi="Cambria Math"/>
                        <w:sz w:val="20"/>
                        <w:szCs w:val="20"/>
                      </w:rPr>
                      <m:t>Cd</m:t>
                    </m:r>
                  </m:e>
                </m:sPre>
                <m:r>
                  <w:rPr>
                    <w:rFonts w:ascii="Cambria Math" w:hAnsi="Cambria Math"/>
                    <w:sz w:val="20"/>
                    <w:szCs w:val="20"/>
                  </w:rPr>
                  <m:t>+</m:t>
                </m:r>
                <m:sPre>
                  <m:sPrePr>
                    <m:ctrlPr>
                      <w:rPr>
                        <w:rFonts w:ascii="Cambria Math" w:hAnsi="Cambria Math"/>
                        <w:i/>
                        <w:sz w:val="20"/>
                        <w:szCs w:val="20"/>
                      </w:rPr>
                    </m:ctrlPr>
                  </m:sPrePr>
                  <m:sub>
                    <m:r>
                      <w:rPr>
                        <w:rFonts w:ascii="Cambria Math" w:hAnsi="Cambria Math"/>
                        <w:sz w:val="20"/>
                        <w:szCs w:val="20"/>
                      </w:rPr>
                      <m:t>1</m:t>
                    </m:r>
                  </m:sub>
                  <m:sup>
                    <m:r>
                      <w:rPr>
                        <w:rFonts w:ascii="Cambria Math" w:hAnsi="Cambria Math"/>
                        <w:sz w:val="20"/>
                        <w:szCs w:val="20"/>
                      </w:rPr>
                      <m:t>1</m:t>
                    </m:r>
                  </m:sup>
                  <m:e>
                    <m:r>
                      <w:rPr>
                        <w:rFonts w:ascii="Cambria Math" w:hAnsi="Cambria Math"/>
                        <w:sz w:val="20"/>
                        <w:szCs w:val="20"/>
                      </w:rPr>
                      <m:t>p</m:t>
                    </m:r>
                  </m:e>
                </m:sPre>
                <m:r>
                  <w:rPr>
                    <w:rFonts w:ascii="Cambria Math" w:hAnsi="Cambria Math"/>
                    <w:sz w:val="20"/>
                    <w:szCs w:val="20"/>
                  </w:rPr>
                  <m:t>→</m:t>
                </m:r>
                <m:sPre>
                  <m:sPrePr>
                    <m:ctrlPr>
                      <w:rPr>
                        <w:rFonts w:ascii="Cambria Math" w:eastAsiaTheme="minorEastAsia" w:hAnsi="Cambria Math"/>
                        <w:i/>
                        <w:sz w:val="20"/>
                        <w:szCs w:val="20"/>
                      </w:rPr>
                    </m:ctrlPr>
                  </m:sPrePr>
                  <m:sub>
                    <m:r>
                      <w:rPr>
                        <w:rFonts w:ascii="Cambria Math" w:eastAsiaTheme="minorEastAsia" w:hAnsi="Cambria Math"/>
                        <w:sz w:val="20"/>
                        <w:szCs w:val="20"/>
                      </w:rPr>
                      <m:t>49</m:t>
                    </m:r>
                  </m:sub>
                  <m:sup>
                    <m:r>
                      <w:rPr>
                        <w:rFonts w:ascii="Cambria Math" w:eastAsiaTheme="minorEastAsia" w:hAnsi="Cambria Math"/>
                        <w:sz w:val="20"/>
                        <w:szCs w:val="20"/>
                      </w:rPr>
                      <m:t>111</m:t>
                    </m:r>
                  </m:sup>
                  <m:e>
                    <m:r>
                      <w:rPr>
                        <w:rFonts w:ascii="Cambria Math" w:eastAsiaTheme="minorEastAsia" w:hAnsi="Cambria Math"/>
                        <w:sz w:val="20"/>
                        <w:szCs w:val="20"/>
                      </w:rPr>
                      <m:t>In</m:t>
                    </m:r>
                  </m:e>
                </m:sPre>
                <m:r>
                  <w:rPr>
                    <w:rFonts w:ascii="Cambria Math" w:eastAsiaTheme="minorEastAsia" w:hAnsi="Cambria Math"/>
                    <w:sz w:val="20"/>
                    <w:szCs w:val="20"/>
                  </w:rPr>
                  <m:t>+2</m:t>
                </m:r>
                <m:sPre>
                  <m:sPrePr>
                    <m:ctrlPr>
                      <w:rPr>
                        <w:rFonts w:ascii="Cambria Math" w:eastAsiaTheme="minorEastAsia" w:hAnsi="Cambria Math"/>
                        <w:i/>
                        <w:sz w:val="20"/>
                        <w:szCs w:val="20"/>
                      </w:rPr>
                    </m:ctrlPr>
                  </m:sPrePr>
                  <m:sub>
                    <m:r>
                      <w:rPr>
                        <w:rFonts w:ascii="Cambria Math" w:eastAsiaTheme="minorEastAsia" w:hAnsi="Cambria Math"/>
                        <w:sz w:val="20"/>
                        <w:szCs w:val="20"/>
                      </w:rPr>
                      <m:t>0</m:t>
                    </m:r>
                  </m:sub>
                  <m:sup>
                    <m:r>
                      <w:rPr>
                        <w:rFonts w:ascii="Cambria Math" w:eastAsiaTheme="minorEastAsia" w:hAnsi="Cambria Math"/>
                        <w:sz w:val="20"/>
                        <w:szCs w:val="20"/>
                      </w:rPr>
                      <m:t>1</m:t>
                    </m:r>
                  </m:sup>
                  <m:e>
                    <m:r>
                      <w:rPr>
                        <w:rFonts w:ascii="Cambria Math" w:eastAsiaTheme="minorEastAsia" w:hAnsi="Cambria Math"/>
                        <w:sz w:val="20"/>
                        <w:szCs w:val="20"/>
                      </w:rPr>
                      <m:t>n</m:t>
                    </m:r>
                  </m:e>
                </m:sPre>
              </m:oMath>
            </m:oMathPara>
          </w:p>
        </w:tc>
        <w:tc>
          <w:tcPr>
            <w:tcW w:w="2394" w:type="dxa"/>
            <w:vAlign w:val="center"/>
          </w:tcPr>
          <w:p w14:paraId="2119E470" w14:textId="0C6C1457" w:rsidR="0087260F" w:rsidRPr="00183BED" w:rsidRDefault="00B31221"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w:t>
            </w:r>
          </w:p>
        </w:tc>
        <w:tc>
          <w:tcPr>
            <w:tcW w:w="866" w:type="dxa"/>
            <w:vAlign w:val="center"/>
          </w:tcPr>
          <w:p w14:paraId="795D53C2" w14:textId="2C7DDE59" w:rsidR="0087260F" w:rsidRPr="002C4901" w:rsidRDefault="00555A6A"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2.83 j</w:t>
            </w:r>
          </w:p>
        </w:tc>
        <w:tc>
          <w:tcPr>
            <w:tcW w:w="992" w:type="dxa"/>
            <w:vAlign w:val="center"/>
          </w:tcPr>
          <w:p w14:paraId="0C6326BA" w14:textId="77777777" w:rsidR="0087260F" w:rsidRPr="002C4901"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01" w:type="dxa"/>
            <w:vAlign w:val="center"/>
          </w:tcPr>
          <w:p w14:paraId="6CC26F59" w14:textId="04D35493" w:rsidR="0087260F" w:rsidRDefault="00555A6A"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2C4901">
              <w:rPr>
                <w:sz w:val="20"/>
                <w:szCs w:val="20"/>
              </w:rPr>
              <w:t>γ</w:t>
            </w:r>
            <w:proofErr w:type="gramEnd"/>
            <w:r>
              <w:rPr>
                <w:sz w:val="20"/>
                <w:szCs w:val="20"/>
              </w:rPr>
              <w:t xml:space="preserve"> :172 </w:t>
            </w:r>
            <w:proofErr w:type="spellStart"/>
            <w:r>
              <w:rPr>
                <w:sz w:val="20"/>
                <w:szCs w:val="20"/>
              </w:rPr>
              <w:t>keV</w:t>
            </w:r>
            <w:proofErr w:type="spellEnd"/>
            <w:r>
              <w:rPr>
                <w:sz w:val="20"/>
                <w:szCs w:val="20"/>
              </w:rPr>
              <w:t xml:space="preserve"> (90%)</w:t>
            </w:r>
          </w:p>
          <w:p w14:paraId="52D15AC0" w14:textId="32F18597" w:rsidR="00555A6A" w:rsidRPr="002C4901" w:rsidRDefault="00555A6A" w:rsidP="00555A6A">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2C4901">
              <w:rPr>
                <w:sz w:val="20"/>
                <w:szCs w:val="20"/>
              </w:rPr>
              <w:t>γ</w:t>
            </w:r>
            <w:proofErr w:type="gramEnd"/>
            <w:r>
              <w:rPr>
                <w:sz w:val="20"/>
                <w:szCs w:val="20"/>
              </w:rPr>
              <w:t xml:space="preserve"> :247 </w:t>
            </w:r>
            <w:proofErr w:type="spellStart"/>
            <w:r>
              <w:rPr>
                <w:sz w:val="20"/>
                <w:szCs w:val="20"/>
              </w:rPr>
              <w:t>keV</w:t>
            </w:r>
            <w:proofErr w:type="spellEnd"/>
            <w:r>
              <w:rPr>
                <w:sz w:val="20"/>
                <w:szCs w:val="20"/>
              </w:rPr>
              <w:t xml:space="preserve"> (94%)</w:t>
            </w:r>
          </w:p>
        </w:tc>
      </w:tr>
    </w:tbl>
    <w:p w14:paraId="336C3EE2" w14:textId="20960082" w:rsidR="00711D35" w:rsidRDefault="00B7479F" w:rsidP="0087260F">
      <w:pPr>
        <w:spacing w:before="120" w:after="0" w:line="240" w:lineRule="auto"/>
        <w:rPr>
          <w:b/>
        </w:rPr>
      </w:pPr>
      <w:r w:rsidRPr="00E0384B">
        <w:rPr>
          <w:b/>
          <w:sz w:val="24"/>
          <w:szCs w:val="24"/>
        </w:rPr>
        <w:t>Caractéristiques des molécules vectrices utilisées :</w:t>
      </w:r>
      <w:r w:rsidR="00711D35">
        <w:rPr>
          <w:b/>
        </w:rPr>
        <w:t xml:space="preserve"> </w:t>
      </w:r>
    </w:p>
    <w:p w14:paraId="359E2C01" w14:textId="3CB566DC" w:rsidR="0087260F" w:rsidRPr="0076696C" w:rsidRDefault="00555A6A" w:rsidP="006927EF">
      <w:pPr>
        <w:pStyle w:val="Paragraphedeliste"/>
        <w:numPr>
          <w:ilvl w:val="0"/>
          <w:numId w:val="5"/>
        </w:numPr>
        <w:spacing w:after="0" w:line="240" w:lineRule="auto"/>
        <w:ind w:left="714" w:hanging="357"/>
        <w:rPr>
          <w:sz w:val="20"/>
          <w:szCs w:val="20"/>
        </w:rPr>
      </w:pPr>
      <w:r w:rsidRPr="0076696C">
        <w:rPr>
          <w:sz w:val="20"/>
          <w:szCs w:val="20"/>
        </w:rPr>
        <w:t>L’</w:t>
      </w:r>
      <w:r w:rsidRPr="0076696C">
        <w:rPr>
          <w:sz w:val="20"/>
          <w:szCs w:val="20"/>
          <w:vertAlign w:val="superscript"/>
        </w:rPr>
        <w:t>111</w:t>
      </w:r>
      <w:r w:rsidRPr="0076696C">
        <w:rPr>
          <w:sz w:val="20"/>
          <w:szCs w:val="20"/>
        </w:rPr>
        <w:t xml:space="preserve">In </w:t>
      </w:r>
      <w:proofErr w:type="spellStart"/>
      <w:r w:rsidRPr="0076696C">
        <w:rPr>
          <w:sz w:val="20"/>
          <w:szCs w:val="20"/>
        </w:rPr>
        <w:t>pentétréotide</w:t>
      </w:r>
      <w:proofErr w:type="spellEnd"/>
      <w:r w:rsidRPr="0076696C">
        <w:rPr>
          <w:sz w:val="20"/>
          <w:szCs w:val="20"/>
        </w:rPr>
        <w:t xml:space="preserve"> (OCTREOSCAN)</w:t>
      </w:r>
    </w:p>
    <w:p w14:paraId="210C55AD" w14:textId="3E7CCC95" w:rsidR="00555A6A" w:rsidRPr="0076696C" w:rsidRDefault="00555A6A" w:rsidP="006927EF">
      <w:pPr>
        <w:pStyle w:val="Paragraphedeliste"/>
        <w:numPr>
          <w:ilvl w:val="0"/>
          <w:numId w:val="5"/>
        </w:numPr>
        <w:spacing w:after="0" w:line="240" w:lineRule="auto"/>
        <w:ind w:left="714" w:hanging="357"/>
        <w:rPr>
          <w:sz w:val="20"/>
          <w:szCs w:val="20"/>
        </w:rPr>
      </w:pPr>
      <w:r w:rsidRPr="00CB2BDB">
        <w:rPr>
          <w:sz w:val="20"/>
          <w:szCs w:val="20"/>
        </w:rPr>
        <w:t xml:space="preserve">Le </w:t>
      </w:r>
      <w:proofErr w:type="spellStart"/>
      <w:r w:rsidRPr="00CB2BDB">
        <w:rPr>
          <w:sz w:val="20"/>
          <w:szCs w:val="20"/>
        </w:rPr>
        <w:t>pentétréotide</w:t>
      </w:r>
      <w:proofErr w:type="spellEnd"/>
      <w:r w:rsidRPr="00CB2BDB">
        <w:rPr>
          <w:sz w:val="20"/>
          <w:szCs w:val="20"/>
        </w:rPr>
        <w:t xml:space="preserve"> </w:t>
      </w:r>
      <w:r w:rsidRPr="0076696C">
        <w:rPr>
          <w:sz w:val="20"/>
          <w:szCs w:val="20"/>
        </w:rPr>
        <w:t>est un analogue marqué de la somatostatine qui se lie de façon spécifique aux récepteurs de la somatostatine</w:t>
      </w:r>
    </w:p>
    <w:p w14:paraId="54C14BFD" w14:textId="3572D751" w:rsidR="00555A6A" w:rsidRPr="0070054A" w:rsidRDefault="00555A6A" w:rsidP="006927EF">
      <w:pPr>
        <w:pStyle w:val="Paragraphedeliste"/>
        <w:numPr>
          <w:ilvl w:val="0"/>
          <w:numId w:val="5"/>
        </w:numPr>
        <w:spacing w:after="0" w:line="240" w:lineRule="auto"/>
        <w:ind w:left="714" w:hanging="357"/>
        <w:rPr>
          <w:color w:val="FF0000"/>
          <w:sz w:val="20"/>
          <w:szCs w:val="20"/>
        </w:rPr>
      </w:pPr>
      <w:r w:rsidRPr="0076696C">
        <w:rPr>
          <w:sz w:val="20"/>
          <w:szCs w:val="20"/>
        </w:rPr>
        <w:t xml:space="preserve">Le </w:t>
      </w:r>
      <w:proofErr w:type="spellStart"/>
      <w:r w:rsidRPr="00CB2BDB">
        <w:rPr>
          <w:sz w:val="20"/>
          <w:szCs w:val="20"/>
        </w:rPr>
        <w:t>pentétréotide</w:t>
      </w:r>
      <w:proofErr w:type="spellEnd"/>
      <w:r w:rsidRPr="00CB2BDB">
        <w:rPr>
          <w:sz w:val="20"/>
          <w:szCs w:val="20"/>
        </w:rPr>
        <w:t xml:space="preserve"> est capté par le foie, la rate et le cortex rénal et plus faiblement la thyroïde, l’hypophyse et la glande mammaire.</w:t>
      </w:r>
    </w:p>
    <w:p w14:paraId="11BB06E2" w14:textId="02C6AB78" w:rsidR="00555A6A" w:rsidRPr="0076696C" w:rsidRDefault="00555A6A" w:rsidP="006927EF">
      <w:pPr>
        <w:pStyle w:val="Paragraphedeliste"/>
        <w:numPr>
          <w:ilvl w:val="0"/>
          <w:numId w:val="5"/>
        </w:numPr>
        <w:spacing w:after="0" w:line="240" w:lineRule="auto"/>
        <w:ind w:left="714" w:hanging="357"/>
        <w:rPr>
          <w:sz w:val="20"/>
          <w:szCs w:val="20"/>
        </w:rPr>
      </w:pPr>
      <w:r w:rsidRPr="0076696C">
        <w:rPr>
          <w:sz w:val="20"/>
          <w:szCs w:val="20"/>
        </w:rPr>
        <w:t>Elimination principalement urinaire</w:t>
      </w:r>
    </w:p>
    <w:p w14:paraId="5199E7DD" w14:textId="12A7851A" w:rsidR="006D148E" w:rsidRDefault="0075774F" w:rsidP="00916130">
      <w:pPr>
        <w:pStyle w:val="Titre1"/>
        <w:numPr>
          <w:ilvl w:val="0"/>
          <w:numId w:val="1"/>
        </w:numPr>
        <w:spacing w:after="0"/>
        <w:ind w:left="714" w:hanging="357"/>
        <w:rPr>
          <w:color w:val="ED7D31" w:themeColor="accent2"/>
        </w:rPr>
      </w:pPr>
      <w:r>
        <w:rPr>
          <w:color w:val="ED7D31" w:themeColor="accent2"/>
        </w:rPr>
        <w:t>A</w:t>
      </w:r>
      <w:r w:rsidR="00555A6A">
        <w:rPr>
          <w:color w:val="ED7D31" w:themeColor="accent2"/>
        </w:rPr>
        <w:t>ctivité injectée</w:t>
      </w:r>
      <w:r w:rsidR="00916130">
        <w:rPr>
          <w:color w:val="ED7D31" w:themeColor="accent2"/>
        </w:rPr>
        <w:t>, mode d’administration et dose efficace</w:t>
      </w:r>
    </w:p>
    <w:p w14:paraId="46F818A4" w14:textId="7297D557" w:rsidR="00F30B8B" w:rsidRPr="00227181" w:rsidRDefault="00F30B8B" w:rsidP="00F30B8B">
      <w:pPr>
        <w:spacing w:after="0" w:line="240" w:lineRule="auto"/>
        <w:rPr>
          <w:b/>
        </w:rPr>
      </w:pPr>
      <w:r w:rsidRPr="00227181">
        <w:rPr>
          <w:b/>
        </w:rPr>
        <w:t xml:space="preserve"> Adulte :  </w:t>
      </w:r>
    </w:p>
    <w:p w14:paraId="2676FA8D" w14:textId="3FA9FD2E" w:rsidR="00DB1455" w:rsidRDefault="0087260F" w:rsidP="006927EF">
      <w:pPr>
        <w:pStyle w:val="Paragraphedeliste"/>
        <w:numPr>
          <w:ilvl w:val="0"/>
          <w:numId w:val="3"/>
        </w:numPr>
        <w:spacing w:after="0" w:line="240" w:lineRule="auto"/>
        <w:ind w:left="714" w:hanging="357"/>
        <w:rPr>
          <w:sz w:val="20"/>
          <w:szCs w:val="20"/>
        </w:rPr>
      </w:pPr>
      <w:r>
        <w:rPr>
          <w:sz w:val="20"/>
          <w:szCs w:val="20"/>
        </w:rPr>
        <w:t xml:space="preserve">Entre </w:t>
      </w:r>
      <w:r w:rsidR="00F43868">
        <w:rPr>
          <w:sz w:val="20"/>
          <w:szCs w:val="20"/>
        </w:rPr>
        <w:t>100 et 200</w:t>
      </w:r>
      <w:r w:rsidR="00555A6A">
        <w:rPr>
          <w:sz w:val="20"/>
          <w:szCs w:val="20"/>
        </w:rPr>
        <w:t xml:space="preserve"> </w:t>
      </w:r>
      <w:proofErr w:type="spellStart"/>
      <w:r w:rsidR="00555A6A">
        <w:rPr>
          <w:sz w:val="20"/>
          <w:szCs w:val="20"/>
        </w:rPr>
        <w:t>MBq</w:t>
      </w:r>
      <w:proofErr w:type="spellEnd"/>
      <w:r w:rsidR="00555A6A">
        <w:rPr>
          <w:sz w:val="20"/>
          <w:szCs w:val="20"/>
        </w:rPr>
        <w:t xml:space="preserve"> par voie IV lente</w:t>
      </w:r>
    </w:p>
    <w:p w14:paraId="7762932B" w14:textId="79FC0C36" w:rsidR="00916130" w:rsidRPr="00F30B8B" w:rsidRDefault="00916130" w:rsidP="006927EF">
      <w:pPr>
        <w:pStyle w:val="Paragraphedeliste"/>
        <w:numPr>
          <w:ilvl w:val="0"/>
          <w:numId w:val="3"/>
        </w:numPr>
        <w:spacing w:after="0" w:line="240" w:lineRule="auto"/>
        <w:ind w:left="714" w:hanging="357"/>
        <w:rPr>
          <w:sz w:val="20"/>
          <w:szCs w:val="20"/>
        </w:rPr>
      </w:pPr>
      <w:r>
        <w:rPr>
          <w:sz w:val="20"/>
          <w:szCs w:val="20"/>
        </w:rPr>
        <w:t>Dose efficace : 55 µSv/</w:t>
      </w:r>
      <w:proofErr w:type="spellStart"/>
      <w:r>
        <w:rPr>
          <w:sz w:val="20"/>
          <w:szCs w:val="20"/>
        </w:rPr>
        <w:t>MBq</w:t>
      </w:r>
      <w:proofErr w:type="spellEnd"/>
    </w:p>
    <w:p w14:paraId="03D37CE8" w14:textId="414234A5" w:rsidR="009B2BA3" w:rsidRDefault="00DB1455" w:rsidP="006927EF">
      <w:pPr>
        <w:pStyle w:val="Titre1"/>
        <w:numPr>
          <w:ilvl w:val="0"/>
          <w:numId w:val="1"/>
        </w:numPr>
        <w:spacing w:after="0"/>
        <w:ind w:left="714" w:hanging="357"/>
        <w:rPr>
          <w:color w:val="ED7D31" w:themeColor="accent2"/>
        </w:rPr>
      </w:pPr>
      <w:r w:rsidRPr="00F30B8B">
        <w:rPr>
          <w:color w:val="ED7D31" w:themeColor="accent2"/>
        </w:rPr>
        <w:t>Déroulement de l’examen</w:t>
      </w:r>
      <w:r w:rsidR="00B04176">
        <w:rPr>
          <w:color w:val="ED7D31" w:themeColor="accent2"/>
        </w:rPr>
        <w:t> </w:t>
      </w:r>
    </w:p>
    <w:p w14:paraId="23EA8592" w14:textId="2E52B9F4" w:rsidR="0087260F" w:rsidRDefault="00D14DB3" w:rsidP="006927EF">
      <w:pPr>
        <w:pStyle w:val="Paragraphedeliste"/>
        <w:numPr>
          <w:ilvl w:val="0"/>
          <w:numId w:val="3"/>
        </w:numPr>
        <w:spacing w:after="0" w:line="240" w:lineRule="auto"/>
        <w:ind w:hanging="357"/>
        <w:rPr>
          <w:sz w:val="20"/>
          <w:szCs w:val="20"/>
        </w:rPr>
      </w:pPr>
      <w:r w:rsidRPr="00810626">
        <w:rPr>
          <w:sz w:val="20"/>
          <w:szCs w:val="20"/>
        </w:rPr>
        <w:t>Non à jeun</w:t>
      </w:r>
      <w:r w:rsidR="0076696C">
        <w:rPr>
          <w:sz w:val="20"/>
          <w:szCs w:val="20"/>
        </w:rPr>
        <w:t>. Suivre un régime sans résidu 2 jours avant l’examen</w:t>
      </w:r>
    </w:p>
    <w:p w14:paraId="1E1CC4D8" w14:textId="3DE9CFDB" w:rsidR="00FD3340" w:rsidRDefault="00FD3340" w:rsidP="006927EF">
      <w:pPr>
        <w:pStyle w:val="Paragraphedeliste"/>
        <w:numPr>
          <w:ilvl w:val="0"/>
          <w:numId w:val="3"/>
        </w:numPr>
        <w:spacing w:after="0" w:line="240" w:lineRule="auto"/>
        <w:ind w:hanging="357"/>
        <w:rPr>
          <w:sz w:val="20"/>
          <w:szCs w:val="20"/>
        </w:rPr>
      </w:pPr>
      <w:r>
        <w:rPr>
          <w:sz w:val="20"/>
          <w:szCs w:val="20"/>
        </w:rPr>
        <w:t>Images 4 heures post injection : Balayage corps entier</w:t>
      </w:r>
    </w:p>
    <w:p w14:paraId="4DD7CEE2" w14:textId="12BB5EC9" w:rsidR="00FD3340" w:rsidRDefault="00FD3340" w:rsidP="006927EF">
      <w:pPr>
        <w:pStyle w:val="Paragraphedeliste"/>
        <w:numPr>
          <w:ilvl w:val="0"/>
          <w:numId w:val="3"/>
        </w:numPr>
        <w:spacing w:after="0" w:line="240" w:lineRule="auto"/>
        <w:ind w:hanging="357"/>
        <w:rPr>
          <w:sz w:val="20"/>
          <w:szCs w:val="20"/>
        </w:rPr>
      </w:pPr>
      <w:r>
        <w:rPr>
          <w:sz w:val="20"/>
          <w:szCs w:val="20"/>
        </w:rPr>
        <w:t xml:space="preserve">Images 24 heures post injection : </w:t>
      </w:r>
    </w:p>
    <w:p w14:paraId="392FF7BF" w14:textId="1C248847" w:rsidR="00FD3340" w:rsidRDefault="00FD3340" w:rsidP="006927EF">
      <w:pPr>
        <w:pStyle w:val="Paragraphedeliste"/>
        <w:numPr>
          <w:ilvl w:val="0"/>
          <w:numId w:val="6"/>
        </w:numPr>
        <w:spacing w:after="0" w:line="240" w:lineRule="auto"/>
        <w:rPr>
          <w:sz w:val="20"/>
          <w:szCs w:val="20"/>
        </w:rPr>
      </w:pPr>
      <w:r w:rsidRPr="00FD3340">
        <w:rPr>
          <w:sz w:val="20"/>
          <w:szCs w:val="20"/>
        </w:rPr>
        <w:t>Des acquisitions planaires, en incidence antérieure et postérieure, sont obtenues en regard de l’abdomen, du pelvis, du thorax et du crâne (de 15 minutes chacune)</w:t>
      </w:r>
      <w:r>
        <w:rPr>
          <w:sz w:val="20"/>
          <w:szCs w:val="20"/>
        </w:rPr>
        <w:t>.</w:t>
      </w:r>
    </w:p>
    <w:p w14:paraId="751FD6BF" w14:textId="16E34B29" w:rsidR="00FD3340" w:rsidRPr="00FD3340" w:rsidRDefault="00FD3340" w:rsidP="006927EF">
      <w:pPr>
        <w:pStyle w:val="Paragraphedeliste"/>
        <w:numPr>
          <w:ilvl w:val="0"/>
          <w:numId w:val="6"/>
        </w:numPr>
        <w:spacing w:after="0" w:line="240" w:lineRule="auto"/>
        <w:rPr>
          <w:sz w:val="20"/>
          <w:szCs w:val="20"/>
        </w:rPr>
      </w:pPr>
      <w:r w:rsidRPr="00FD3340">
        <w:rPr>
          <w:sz w:val="20"/>
          <w:szCs w:val="20"/>
        </w:rPr>
        <w:t>Une tomographie abdominale sur 360° doit être systématiquement réalisée, avec si possible un repérage tomodensitométrique.</w:t>
      </w:r>
    </w:p>
    <w:p w14:paraId="45D8D92C" w14:textId="1967D3D2" w:rsidR="002A0B84" w:rsidRDefault="00DB1455" w:rsidP="006927EF">
      <w:pPr>
        <w:pStyle w:val="Titre1"/>
        <w:numPr>
          <w:ilvl w:val="0"/>
          <w:numId w:val="1"/>
        </w:numPr>
        <w:spacing w:after="0"/>
        <w:ind w:left="714" w:hanging="357"/>
        <w:rPr>
          <w:color w:val="ED7D31" w:themeColor="accent2"/>
        </w:rPr>
      </w:pPr>
      <w:r w:rsidRPr="00F30B8B">
        <w:rPr>
          <w:color w:val="ED7D31" w:themeColor="accent2"/>
        </w:rPr>
        <w:t>Acquisition</w:t>
      </w:r>
    </w:p>
    <w:p w14:paraId="118CBC3A" w14:textId="77777777" w:rsidR="003C699B" w:rsidRPr="00C90D44" w:rsidRDefault="003C699B" w:rsidP="006927EF">
      <w:pPr>
        <w:pStyle w:val="Paragraphedeliste"/>
        <w:numPr>
          <w:ilvl w:val="0"/>
          <w:numId w:val="4"/>
        </w:numPr>
        <w:spacing w:after="0" w:line="240" w:lineRule="auto"/>
        <w:ind w:hanging="357"/>
        <w:rPr>
          <w:sz w:val="20"/>
          <w:szCs w:val="20"/>
        </w:rPr>
      </w:pPr>
      <w:r w:rsidRPr="00C90D44">
        <w:rPr>
          <w:sz w:val="20"/>
          <w:szCs w:val="20"/>
        </w:rPr>
        <w:t>Patient en DD, bras le long du corps</w:t>
      </w:r>
    </w:p>
    <w:p w14:paraId="1415B97D" w14:textId="7699247C" w:rsidR="003C699B" w:rsidRDefault="00810626" w:rsidP="006927EF">
      <w:pPr>
        <w:pStyle w:val="Paragraphedeliste"/>
        <w:numPr>
          <w:ilvl w:val="0"/>
          <w:numId w:val="4"/>
        </w:numPr>
        <w:spacing w:after="0" w:line="240" w:lineRule="auto"/>
        <w:ind w:hanging="357"/>
        <w:rPr>
          <w:sz w:val="20"/>
          <w:szCs w:val="20"/>
        </w:rPr>
      </w:pPr>
      <w:r>
        <w:rPr>
          <w:sz w:val="20"/>
          <w:szCs w:val="20"/>
        </w:rPr>
        <w:t>Collimateur M</w:t>
      </w:r>
      <w:r w:rsidR="003C699B" w:rsidRPr="00C90D44">
        <w:rPr>
          <w:sz w:val="20"/>
          <w:szCs w:val="20"/>
        </w:rPr>
        <w:t xml:space="preserve">EHR </w:t>
      </w:r>
    </w:p>
    <w:p w14:paraId="6C19ABCB" w14:textId="36FD41E7" w:rsidR="0076696C" w:rsidRDefault="0076696C" w:rsidP="006927EF">
      <w:pPr>
        <w:pStyle w:val="Paragraphedeliste"/>
        <w:numPr>
          <w:ilvl w:val="0"/>
          <w:numId w:val="4"/>
        </w:numPr>
        <w:spacing w:after="0" w:line="240" w:lineRule="auto"/>
        <w:ind w:hanging="357"/>
        <w:rPr>
          <w:sz w:val="20"/>
          <w:szCs w:val="20"/>
        </w:rPr>
      </w:pPr>
      <w:r>
        <w:rPr>
          <w:sz w:val="20"/>
          <w:szCs w:val="20"/>
        </w:rPr>
        <w:t xml:space="preserve">Fenêtre en énergie de 20 % autour des deux pics de l’Indium (173 </w:t>
      </w:r>
      <w:proofErr w:type="spellStart"/>
      <w:r>
        <w:rPr>
          <w:sz w:val="20"/>
          <w:szCs w:val="20"/>
        </w:rPr>
        <w:t>keV</w:t>
      </w:r>
      <w:proofErr w:type="spellEnd"/>
      <w:r>
        <w:rPr>
          <w:sz w:val="20"/>
          <w:szCs w:val="20"/>
        </w:rPr>
        <w:t xml:space="preserve"> et 247 </w:t>
      </w:r>
      <w:proofErr w:type="spellStart"/>
      <w:r>
        <w:rPr>
          <w:sz w:val="20"/>
          <w:szCs w:val="20"/>
        </w:rPr>
        <w:t>keV</w:t>
      </w:r>
      <w:proofErr w:type="spellEnd"/>
      <w:r>
        <w:rPr>
          <w:sz w:val="20"/>
          <w:szCs w:val="20"/>
        </w:rPr>
        <w:t>)</w:t>
      </w:r>
    </w:p>
    <w:p w14:paraId="2CD61548" w14:textId="2501365D" w:rsidR="0076696C" w:rsidRDefault="00B31221" w:rsidP="006927EF">
      <w:pPr>
        <w:pStyle w:val="Paragraphedeliste"/>
        <w:numPr>
          <w:ilvl w:val="0"/>
          <w:numId w:val="4"/>
        </w:numPr>
        <w:spacing w:after="0" w:line="240" w:lineRule="auto"/>
        <w:ind w:hanging="357"/>
        <w:rPr>
          <w:sz w:val="20"/>
          <w:szCs w:val="20"/>
        </w:rPr>
      </w:pPr>
      <w:r>
        <w:rPr>
          <w:sz w:val="20"/>
          <w:szCs w:val="20"/>
        </w:rPr>
        <w:t>Zoo</w:t>
      </w:r>
      <w:r w:rsidR="0076696C">
        <w:rPr>
          <w:sz w:val="20"/>
          <w:szCs w:val="20"/>
        </w:rPr>
        <w:t>m 1</w:t>
      </w:r>
    </w:p>
    <w:p w14:paraId="222DCB05" w14:textId="7143E928" w:rsidR="0076696C" w:rsidRPr="0070054A" w:rsidRDefault="0076696C" w:rsidP="006927EF">
      <w:pPr>
        <w:pStyle w:val="Paragraphedeliste"/>
        <w:numPr>
          <w:ilvl w:val="0"/>
          <w:numId w:val="4"/>
        </w:numPr>
        <w:spacing w:after="0" w:line="240" w:lineRule="auto"/>
        <w:ind w:hanging="357"/>
        <w:rPr>
          <w:b/>
        </w:rPr>
      </w:pPr>
      <w:r w:rsidRPr="0070054A">
        <w:rPr>
          <w:b/>
        </w:rPr>
        <w:t>Balayage CE :</w:t>
      </w:r>
    </w:p>
    <w:p w14:paraId="3D138B60" w14:textId="243EE651" w:rsidR="0076696C" w:rsidRDefault="0076696C" w:rsidP="006927EF">
      <w:pPr>
        <w:pStyle w:val="Paragraphedeliste"/>
        <w:numPr>
          <w:ilvl w:val="0"/>
          <w:numId w:val="8"/>
        </w:numPr>
        <w:spacing w:after="0" w:line="240" w:lineRule="auto"/>
        <w:rPr>
          <w:sz w:val="20"/>
          <w:szCs w:val="20"/>
        </w:rPr>
      </w:pPr>
      <w:r w:rsidRPr="0076696C">
        <w:rPr>
          <w:sz w:val="20"/>
          <w:szCs w:val="20"/>
        </w:rPr>
        <w:t xml:space="preserve">Vitesse de balayage lente </w:t>
      </w:r>
      <w:r>
        <w:rPr>
          <w:sz w:val="20"/>
          <w:szCs w:val="20"/>
        </w:rPr>
        <w:t>(5-</w:t>
      </w:r>
      <w:r w:rsidRPr="0076696C">
        <w:rPr>
          <w:sz w:val="20"/>
          <w:szCs w:val="20"/>
        </w:rPr>
        <w:t>7 cm/min</w:t>
      </w:r>
      <w:r>
        <w:rPr>
          <w:sz w:val="20"/>
          <w:szCs w:val="20"/>
        </w:rPr>
        <w:t>)</w:t>
      </w:r>
    </w:p>
    <w:p w14:paraId="771D3B73" w14:textId="13F9D232" w:rsidR="0076696C" w:rsidRPr="0070054A" w:rsidRDefault="0076696C" w:rsidP="006927EF">
      <w:pPr>
        <w:pStyle w:val="Paragraphedeliste"/>
        <w:numPr>
          <w:ilvl w:val="0"/>
          <w:numId w:val="9"/>
        </w:numPr>
        <w:spacing w:after="0" w:line="240" w:lineRule="auto"/>
        <w:rPr>
          <w:b/>
        </w:rPr>
      </w:pPr>
      <w:r w:rsidRPr="0070054A">
        <w:rPr>
          <w:b/>
        </w:rPr>
        <w:t>Acquisitions planaire :</w:t>
      </w:r>
      <w:bookmarkStart w:id="0" w:name="_GoBack"/>
      <w:bookmarkEnd w:id="0"/>
    </w:p>
    <w:p w14:paraId="72018A19" w14:textId="0CDA6145" w:rsidR="0076696C" w:rsidRDefault="0076696C" w:rsidP="006927EF">
      <w:pPr>
        <w:pStyle w:val="Paragraphedeliste"/>
        <w:numPr>
          <w:ilvl w:val="0"/>
          <w:numId w:val="8"/>
        </w:numPr>
        <w:spacing w:after="0" w:line="240" w:lineRule="auto"/>
        <w:rPr>
          <w:sz w:val="20"/>
          <w:szCs w:val="20"/>
        </w:rPr>
      </w:pPr>
      <w:r>
        <w:rPr>
          <w:sz w:val="20"/>
          <w:szCs w:val="20"/>
        </w:rPr>
        <w:t>Matrice 256*256, 900 s</w:t>
      </w:r>
    </w:p>
    <w:p w14:paraId="30D23915" w14:textId="7A392E95" w:rsidR="0076696C" w:rsidRDefault="0076696C" w:rsidP="006927EF">
      <w:pPr>
        <w:pStyle w:val="Paragraphedeliste"/>
        <w:numPr>
          <w:ilvl w:val="0"/>
          <w:numId w:val="9"/>
        </w:numPr>
        <w:spacing w:after="0" w:line="240" w:lineRule="auto"/>
        <w:rPr>
          <w:sz w:val="20"/>
          <w:szCs w:val="20"/>
        </w:rPr>
      </w:pPr>
      <w:r>
        <w:rPr>
          <w:sz w:val="20"/>
          <w:szCs w:val="20"/>
        </w:rPr>
        <w:t>SPECT-CT 2 lits : Bassin + thorax :</w:t>
      </w:r>
    </w:p>
    <w:p w14:paraId="7EBCF32D" w14:textId="50C01F2B" w:rsidR="0076696C" w:rsidRDefault="0076696C" w:rsidP="006927EF">
      <w:pPr>
        <w:pStyle w:val="Paragraphedeliste"/>
        <w:numPr>
          <w:ilvl w:val="0"/>
          <w:numId w:val="8"/>
        </w:numPr>
        <w:spacing w:after="0" w:line="240" w:lineRule="auto"/>
        <w:rPr>
          <w:sz w:val="20"/>
          <w:szCs w:val="20"/>
        </w:rPr>
      </w:pPr>
      <w:r>
        <w:rPr>
          <w:sz w:val="20"/>
          <w:szCs w:val="20"/>
        </w:rPr>
        <w:lastRenderedPageBreak/>
        <w:t>Matrice 128*128</w:t>
      </w:r>
    </w:p>
    <w:p w14:paraId="7578A65C" w14:textId="03A60EF1" w:rsidR="0076696C" w:rsidRDefault="0076696C" w:rsidP="006927EF">
      <w:pPr>
        <w:pStyle w:val="Paragraphedeliste"/>
        <w:numPr>
          <w:ilvl w:val="0"/>
          <w:numId w:val="8"/>
        </w:numPr>
        <w:spacing w:after="0" w:line="240" w:lineRule="auto"/>
        <w:rPr>
          <w:sz w:val="20"/>
          <w:szCs w:val="20"/>
        </w:rPr>
      </w:pPr>
      <w:r>
        <w:rPr>
          <w:sz w:val="20"/>
          <w:szCs w:val="20"/>
        </w:rPr>
        <w:t>180° par tête</w:t>
      </w:r>
    </w:p>
    <w:p w14:paraId="333C6AA3" w14:textId="3560D219" w:rsidR="006F408E" w:rsidRPr="007961D2" w:rsidRDefault="00D46B99" w:rsidP="007961D2">
      <w:pPr>
        <w:pStyle w:val="Paragraphedeliste"/>
        <w:numPr>
          <w:ilvl w:val="0"/>
          <w:numId w:val="8"/>
        </w:numPr>
        <w:spacing w:after="120" w:line="240" w:lineRule="auto"/>
        <w:ind w:left="1434" w:hanging="357"/>
        <w:contextualSpacing w:val="0"/>
        <w:rPr>
          <w:sz w:val="20"/>
          <w:szCs w:val="20"/>
        </w:rPr>
      </w:pPr>
      <w:r>
        <w:rPr>
          <w:sz w:val="20"/>
          <w:szCs w:val="20"/>
        </w:rPr>
        <w:t>64 projection sur 360° (</w:t>
      </w:r>
      <w:r w:rsidR="0076696C">
        <w:rPr>
          <w:sz w:val="20"/>
          <w:szCs w:val="20"/>
        </w:rPr>
        <w:t xml:space="preserve">32 </w:t>
      </w:r>
      <w:r>
        <w:rPr>
          <w:sz w:val="20"/>
          <w:szCs w:val="20"/>
        </w:rPr>
        <w:t>projections</w:t>
      </w:r>
      <w:r w:rsidR="0076696C">
        <w:rPr>
          <w:sz w:val="20"/>
          <w:szCs w:val="20"/>
        </w:rPr>
        <w:t xml:space="preserve"> de 30 s par tête</w:t>
      </w:r>
      <w:r>
        <w:rPr>
          <w:sz w:val="20"/>
          <w:szCs w:val="20"/>
        </w:rPr>
        <w:t>)</w:t>
      </w:r>
    </w:p>
    <w:p w14:paraId="2FBC3DE4" w14:textId="1FA6329C" w:rsidR="00C90D44" w:rsidRDefault="00C90D44" w:rsidP="007961D2">
      <w:pPr>
        <w:pStyle w:val="Paragraphedeliste"/>
        <w:numPr>
          <w:ilvl w:val="0"/>
          <w:numId w:val="1"/>
        </w:numPr>
        <w:spacing w:after="0" w:line="240" w:lineRule="auto"/>
        <w:ind w:left="714" w:hanging="357"/>
        <w:rPr>
          <w:color w:val="ED7D31" w:themeColor="accent2"/>
          <w:sz w:val="32"/>
          <w:szCs w:val="32"/>
        </w:rPr>
      </w:pPr>
      <w:r w:rsidRPr="00C90D44">
        <w:rPr>
          <w:color w:val="ED7D31" w:themeColor="accent2"/>
          <w:sz w:val="32"/>
          <w:szCs w:val="32"/>
        </w:rPr>
        <w:t>Analyse de</w:t>
      </w:r>
      <w:r w:rsidR="0076696C">
        <w:rPr>
          <w:color w:val="ED7D31" w:themeColor="accent2"/>
          <w:sz w:val="32"/>
          <w:szCs w:val="32"/>
        </w:rPr>
        <w:t xml:space="preserve">s </w:t>
      </w:r>
      <w:r w:rsidRPr="00C90D44">
        <w:rPr>
          <w:color w:val="ED7D31" w:themeColor="accent2"/>
          <w:sz w:val="32"/>
          <w:szCs w:val="32"/>
        </w:rPr>
        <w:t>image</w:t>
      </w:r>
      <w:r w:rsidR="0076696C">
        <w:rPr>
          <w:color w:val="ED7D31" w:themeColor="accent2"/>
          <w:sz w:val="32"/>
          <w:szCs w:val="32"/>
        </w:rPr>
        <w:t>s</w:t>
      </w:r>
    </w:p>
    <w:p w14:paraId="2904C393" w14:textId="4F085BEA" w:rsidR="002A0B84" w:rsidRDefault="0076696C" w:rsidP="007961D2">
      <w:pPr>
        <w:tabs>
          <w:tab w:val="left" w:pos="2329"/>
        </w:tabs>
        <w:spacing w:after="0" w:line="240" w:lineRule="auto"/>
        <w:rPr>
          <w:sz w:val="20"/>
          <w:szCs w:val="20"/>
        </w:rPr>
      </w:pPr>
      <w:r w:rsidRPr="0076696C">
        <w:rPr>
          <w:b/>
        </w:rPr>
        <w:t xml:space="preserve">Aspects </w:t>
      </w:r>
      <w:proofErr w:type="spellStart"/>
      <w:r w:rsidRPr="0076696C">
        <w:rPr>
          <w:b/>
        </w:rPr>
        <w:t>scintigraphiques</w:t>
      </w:r>
      <w:proofErr w:type="spellEnd"/>
      <w:r w:rsidRPr="0076696C">
        <w:rPr>
          <w:b/>
        </w:rPr>
        <w:t xml:space="preserve"> normaux</w:t>
      </w:r>
      <w:r>
        <w:rPr>
          <w:b/>
        </w:rPr>
        <w:t xml:space="preserve"> : </w:t>
      </w:r>
      <w:r w:rsidRPr="0076696C">
        <w:rPr>
          <w:sz w:val="20"/>
          <w:szCs w:val="20"/>
        </w:rPr>
        <w:t xml:space="preserve">L’aspect </w:t>
      </w:r>
      <w:proofErr w:type="spellStart"/>
      <w:r w:rsidRPr="0076696C">
        <w:rPr>
          <w:sz w:val="20"/>
          <w:szCs w:val="20"/>
        </w:rPr>
        <w:t>scintigraphique</w:t>
      </w:r>
      <w:proofErr w:type="spellEnd"/>
      <w:r w:rsidRPr="0076696C">
        <w:rPr>
          <w:sz w:val="20"/>
          <w:szCs w:val="20"/>
        </w:rPr>
        <w:t xml:space="preserve"> normal montre une visualisation faible de la thyroïde et de l’hypophyse, plus marquée et homogène au niveau du foie et intense au niveau des reins et de la rate. Une activité biliaire et intestinale est souvent observée du fait de l’élimination du </w:t>
      </w:r>
      <w:proofErr w:type="spellStart"/>
      <w:r w:rsidRPr="0076696C">
        <w:rPr>
          <w:sz w:val="20"/>
          <w:szCs w:val="20"/>
        </w:rPr>
        <w:t>radiopharmaceutique</w:t>
      </w:r>
      <w:proofErr w:type="spellEnd"/>
      <w:r w:rsidRPr="0076696C">
        <w:rPr>
          <w:sz w:val="20"/>
          <w:szCs w:val="20"/>
        </w:rPr>
        <w:t>.</w:t>
      </w:r>
    </w:p>
    <w:p w14:paraId="0EBB1067" w14:textId="64127C02" w:rsidR="0076696C" w:rsidRPr="0076696C" w:rsidRDefault="0076696C" w:rsidP="007961D2">
      <w:pPr>
        <w:tabs>
          <w:tab w:val="left" w:pos="2329"/>
        </w:tabs>
        <w:spacing w:after="0" w:line="240" w:lineRule="auto"/>
        <w:rPr>
          <w:sz w:val="20"/>
          <w:szCs w:val="20"/>
        </w:rPr>
      </w:pPr>
      <w:r w:rsidRPr="0076696C">
        <w:rPr>
          <w:b/>
          <w:sz w:val="20"/>
          <w:szCs w:val="20"/>
        </w:rPr>
        <w:t xml:space="preserve">Aspects </w:t>
      </w:r>
      <w:proofErr w:type="spellStart"/>
      <w:r>
        <w:rPr>
          <w:b/>
          <w:sz w:val="20"/>
          <w:szCs w:val="20"/>
        </w:rPr>
        <w:t>scintigraphiques</w:t>
      </w:r>
      <w:proofErr w:type="spellEnd"/>
      <w:r>
        <w:rPr>
          <w:b/>
          <w:sz w:val="20"/>
          <w:szCs w:val="20"/>
        </w:rPr>
        <w:t xml:space="preserve"> pathologiques :</w:t>
      </w:r>
      <w:r w:rsidRPr="0076696C">
        <w:rPr>
          <w:b/>
          <w:sz w:val="20"/>
          <w:szCs w:val="20"/>
        </w:rPr>
        <w:t xml:space="preserve"> </w:t>
      </w:r>
      <w:r w:rsidRPr="0076696C">
        <w:rPr>
          <w:sz w:val="20"/>
          <w:szCs w:val="20"/>
        </w:rPr>
        <w:t xml:space="preserve">Outre la répartition physiologique du </w:t>
      </w:r>
      <w:proofErr w:type="spellStart"/>
      <w:r w:rsidRPr="0076696C">
        <w:rPr>
          <w:sz w:val="20"/>
          <w:szCs w:val="20"/>
        </w:rPr>
        <w:t>radiopharmaceutique</w:t>
      </w:r>
      <w:proofErr w:type="spellEnd"/>
      <w:r w:rsidRPr="0076696C">
        <w:rPr>
          <w:sz w:val="20"/>
          <w:szCs w:val="20"/>
        </w:rPr>
        <w:t>, quel que soit le niveau d’intensité, l’existence d’une fixation est considérée comme anormale. En effet l’intensité est fonction de la densité de récepteurs de la somatostatine et certaines tumeurs expriment une faible densité de ces récepteurs</w:t>
      </w:r>
      <w:r w:rsidR="006F408E">
        <w:rPr>
          <w:sz w:val="20"/>
          <w:szCs w:val="20"/>
        </w:rPr>
        <w:t>.</w:t>
      </w:r>
    </w:p>
    <w:sectPr w:rsidR="0076696C" w:rsidRPr="0076696C" w:rsidSect="007C0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C018F"/>
    <w:multiLevelType w:val="hybridMultilevel"/>
    <w:tmpl w:val="FF060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46F0F"/>
    <w:multiLevelType w:val="hybridMultilevel"/>
    <w:tmpl w:val="CAE42D48"/>
    <w:lvl w:ilvl="0" w:tplc="695666C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406429"/>
    <w:multiLevelType w:val="hybridMultilevel"/>
    <w:tmpl w:val="911C5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D17848"/>
    <w:multiLevelType w:val="hybridMultilevel"/>
    <w:tmpl w:val="9BB28C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6D54E0F"/>
    <w:multiLevelType w:val="hybridMultilevel"/>
    <w:tmpl w:val="D8E8C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605494"/>
    <w:multiLevelType w:val="hybridMultilevel"/>
    <w:tmpl w:val="F5626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C50EBF"/>
    <w:multiLevelType w:val="hybridMultilevel"/>
    <w:tmpl w:val="70A8463E"/>
    <w:lvl w:ilvl="0" w:tplc="040C000B">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3E4839"/>
    <w:multiLevelType w:val="hybridMultilevel"/>
    <w:tmpl w:val="1BCE2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F6723D"/>
    <w:multiLevelType w:val="hybridMultilevel"/>
    <w:tmpl w:val="42067328"/>
    <w:lvl w:ilvl="0" w:tplc="5D9A450A">
      <w:start w:val="1"/>
      <w:numFmt w:val="upperRoman"/>
      <w:lvlText w:val="%1."/>
      <w:lvlJc w:val="right"/>
      <w:pPr>
        <w:ind w:left="720" w:hanging="360"/>
      </w:pPr>
      <w:rPr>
        <w:rFonts w:asciiTheme="majorHAnsi" w:hAnsiTheme="majorHAnsi" w:hint="default"/>
        <w:color w:val="ED7D31" w:themeColor="accent2"/>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1"/>
  </w:num>
  <w:num w:numId="6">
    <w:abstractNumId w:val="6"/>
  </w:num>
  <w:num w:numId="7">
    <w:abstractNumId w:val="0"/>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14E51"/>
    <w:rsid w:val="00026C54"/>
    <w:rsid w:val="00061DAF"/>
    <w:rsid w:val="00063B4E"/>
    <w:rsid w:val="000B305D"/>
    <w:rsid w:val="000B7190"/>
    <w:rsid w:val="000C5D79"/>
    <w:rsid w:val="000D4F80"/>
    <w:rsid w:val="00125498"/>
    <w:rsid w:val="0017487D"/>
    <w:rsid w:val="001760B8"/>
    <w:rsid w:val="00183BED"/>
    <w:rsid w:val="00185CF4"/>
    <w:rsid w:val="00227181"/>
    <w:rsid w:val="00260B92"/>
    <w:rsid w:val="002A0801"/>
    <w:rsid w:val="002A0B84"/>
    <w:rsid w:val="002C0BA5"/>
    <w:rsid w:val="002C4901"/>
    <w:rsid w:val="00354F9E"/>
    <w:rsid w:val="00372AEA"/>
    <w:rsid w:val="003911CA"/>
    <w:rsid w:val="003C699B"/>
    <w:rsid w:val="003F197D"/>
    <w:rsid w:val="00440979"/>
    <w:rsid w:val="00457C10"/>
    <w:rsid w:val="0046170C"/>
    <w:rsid w:val="00465CEE"/>
    <w:rsid w:val="0047540C"/>
    <w:rsid w:val="004D71EB"/>
    <w:rsid w:val="0051575D"/>
    <w:rsid w:val="005220C1"/>
    <w:rsid w:val="0052767D"/>
    <w:rsid w:val="0053506C"/>
    <w:rsid w:val="00555A6A"/>
    <w:rsid w:val="00566B83"/>
    <w:rsid w:val="005B68C3"/>
    <w:rsid w:val="005E233F"/>
    <w:rsid w:val="005F5C63"/>
    <w:rsid w:val="00651641"/>
    <w:rsid w:val="006636DA"/>
    <w:rsid w:val="00663D2A"/>
    <w:rsid w:val="006927EF"/>
    <w:rsid w:val="006B70A5"/>
    <w:rsid w:val="006C38D5"/>
    <w:rsid w:val="006D148E"/>
    <w:rsid w:val="006D3C6F"/>
    <w:rsid w:val="006F408E"/>
    <w:rsid w:val="006F6CE7"/>
    <w:rsid w:val="0070054A"/>
    <w:rsid w:val="00700BAE"/>
    <w:rsid w:val="00711D35"/>
    <w:rsid w:val="0075774F"/>
    <w:rsid w:val="0076696C"/>
    <w:rsid w:val="007961D2"/>
    <w:rsid w:val="0079679B"/>
    <w:rsid w:val="007C006E"/>
    <w:rsid w:val="00800E53"/>
    <w:rsid w:val="00810626"/>
    <w:rsid w:val="00810FE0"/>
    <w:rsid w:val="00821AAC"/>
    <w:rsid w:val="008407DA"/>
    <w:rsid w:val="00851728"/>
    <w:rsid w:val="008625AE"/>
    <w:rsid w:val="0087260F"/>
    <w:rsid w:val="0087706A"/>
    <w:rsid w:val="00916130"/>
    <w:rsid w:val="00935317"/>
    <w:rsid w:val="00956601"/>
    <w:rsid w:val="00985FA1"/>
    <w:rsid w:val="009867BC"/>
    <w:rsid w:val="009B0A38"/>
    <w:rsid w:val="009B2BA3"/>
    <w:rsid w:val="009F0C11"/>
    <w:rsid w:val="00A10B46"/>
    <w:rsid w:val="00A73CE6"/>
    <w:rsid w:val="00AA4971"/>
    <w:rsid w:val="00AC2C8D"/>
    <w:rsid w:val="00AD13EC"/>
    <w:rsid w:val="00B04176"/>
    <w:rsid w:val="00B24EE3"/>
    <w:rsid w:val="00B2516B"/>
    <w:rsid w:val="00B31221"/>
    <w:rsid w:val="00B3201B"/>
    <w:rsid w:val="00B5386F"/>
    <w:rsid w:val="00B567DE"/>
    <w:rsid w:val="00B6779A"/>
    <w:rsid w:val="00B74685"/>
    <w:rsid w:val="00B7479F"/>
    <w:rsid w:val="00BB2679"/>
    <w:rsid w:val="00BC1BB1"/>
    <w:rsid w:val="00C167BE"/>
    <w:rsid w:val="00C26993"/>
    <w:rsid w:val="00C51B04"/>
    <w:rsid w:val="00C54787"/>
    <w:rsid w:val="00C70B7E"/>
    <w:rsid w:val="00C759BC"/>
    <w:rsid w:val="00C90D44"/>
    <w:rsid w:val="00CB2BDB"/>
    <w:rsid w:val="00CB641E"/>
    <w:rsid w:val="00CD4E6B"/>
    <w:rsid w:val="00D06FED"/>
    <w:rsid w:val="00D14DB3"/>
    <w:rsid w:val="00D44A03"/>
    <w:rsid w:val="00D46B99"/>
    <w:rsid w:val="00D56E05"/>
    <w:rsid w:val="00D75CD5"/>
    <w:rsid w:val="00D956CD"/>
    <w:rsid w:val="00DB1455"/>
    <w:rsid w:val="00DB63ED"/>
    <w:rsid w:val="00DC459F"/>
    <w:rsid w:val="00DE577C"/>
    <w:rsid w:val="00E0384B"/>
    <w:rsid w:val="00F25975"/>
    <w:rsid w:val="00F30B8B"/>
    <w:rsid w:val="00F43868"/>
    <w:rsid w:val="00F758A8"/>
    <w:rsid w:val="00F942A9"/>
    <w:rsid w:val="00FC7896"/>
    <w:rsid w:val="00FD33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6B4E"/>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arquedecommentaire">
    <w:name w:val="annotation reference"/>
    <w:basedOn w:val="Policepardfaut"/>
    <w:uiPriority w:val="99"/>
    <w:semiHidden/>
    <w:unhideWhenUsed/>
    <w:rsid w:val="00821AAC"/>
    <w:rPr>
      <w:sz w:val="16"/>
      <w:szCs w:val="16"/>
    </w:rPr>
  </w:style>
  <w:style w:type="paragraph" w:styleId="Commentaire">
    <w:name w:val="annotation text"/>
    <w:basedOn w:val="Normal"/>
    <w:link w:val="CommentaireCar"/>
    <w:uiPriority w:val="99"/>
    <w:semiHidden/>
    <w:unhideWhenUsed/>
    <w:rsid w:val="00821AAC"/>
    <w:pPr>
      <w:spacing w:line="240" w:lineRule="auto"/>
    </w:pPr>
    <w:rPr>
      <w:sz w:val="20"/>
      <w:szCs w:val="20"/>
    </w:rPr>
  </w:style>
  <w:style w:type="character" w:customStyle="1" w:styleId="CommentaireCar">
    <w:name w:val="Commentaire Car"/>
    <w:basedOn w:val="Policepardfaut"/>
    <w:link w:val="Commentaire"/>
    <w:uiPriority w:val="99"/>
    <w:semiHidden/>
    <w:rsid w:val="00821AAC"/>
    <w:rPr>
      <w:sz w:val="20"/>
      <w:szCs w:val="20"/>
    </w:rPr>
  </w:style>
  <w:style w:type="paragraph" w:styleId="Objetducommentaire">
    <w:name w:val="annotation subject"/>
    <w:basedOn w:val="Commentaire"/>
    <w:next w:val="Commentaire"/>
    <w:link w:val="ObjetducommentaireCar"/>
    <w:uiPriority w:val="99"/>
    <w:semiHidden/>
    <w:unhideWhenUsed/>
    <w:rsid w:val="00821AAC"/>
    <w:rPr>
      <w:b/>
      <w:bCs/>
    </w:rPr>
  </w:style>
  <w:style w:type="character" w:customStyle="1" w:styleId="ObjetducommentaireCar">
    <w:name w:val="Objet du commentaire Car"/>
    <w:basedOn w:val="CommentaireCar"/>
    <w:link w:val="Objetducommentaire"/>
    <w:uiPriority w:val="99"/>
    <w:semiHidden/>
    <w:rsid w:val="00821AAC"/>
    <w:rPr>
      <w:b/>
      <w:bCs/>
      <w:sz w:val="20"/>
      <w:szCs w:val="20"/>
    </w:rPr>
  </w:style>
  <w:style w:type="paragraph" w:styleId="Textedebulles">
    <w:name w:val="Balloon Text"/>
    <w:basedOn w:val="Normal"/>
    <w:link w:val="TextedebullesCar"/>
    <w:uiPriority w:val="99"/>
    <w:semiHidden/>
    <w:unhideWhenUsed/>
    <w:rsid w:val="00821A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1AAC"/>
    <w:rPr>
      <w:rFonts w:ascii="Segoe UI" w:hAnsi="Segoe UI" w:cs="Segoe UI"/>
      <w:sz w:val="18"/>
      <w:szCs w:val="18"/>
    </w:rPr>
  </w:style>
  <w:style w:type="table" w:styleId="TableauGrille4-Accentuation2">
    <w:name w:val="Grid Table 4 Accent 2"/>
    <w:basedOn w:val="TableauNormal"/>
    <w:uiPriority w:val="49"/>
    <w:rsid w:val="00260B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185CF4"/>
    <w:rPr>
      <w:b/>
      <w:bCs/>
    </w:rPr>
  </w:style>
  <w:style w:type="character" w:customStyle="1" w:styleId="apple-converted-space">
    <w:name w:val="apple-converted-space"/>
    <w:basedOn w:val="Policepardfaut"/>
    <w:rsid w:val="005220C1"/>
  </w:style>
  <w:style w:type="character" w:styleId="Lienhypertexte">
    <w:name w:val="Hyperlink"/>
    <w:basedOn w:val="Policepardfaut"/>
    <w:uiPriority w:val="99"/>
    <w:semiHidden/>
    <w:unhideWhenUsed/>
    <w:rsid w:val="00522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D9A6F-A12A-40C0-99FC-60A1FBBE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539</Words>
  <Characters>2967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11</cp:revision>
  <dcterms:created xsi:type="dcterms:W3CDTF">2016-05-07T08:53:00Z</dcterms:created>
  <dcterms:modified xsi:type="dcterms:W3CDTF">2016-05-11T11:37:00Z</dcterms:modified>
</cp:coreProperties>
</file>